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2669B">
      <w:pPr>
        <w:keepNext w:val="0"/>
        <w:keepLines w:val="0"/>
        <w:pageBreakBefore w:val="0"/>
        <w:widowControl w:val="0"/>
        <w:kinsoku/>
        <w:wordWrap/>
        <w:overflowPunct/>
        <w:topLinePunct w:val="0"/>
        <w:autoSpaceDE/>
        <w:autoSpaceDN/>
        <w:bidi w:val="0"/>
        <w:adjustRightInd/>
        <w:snapToGrid/>
        <w:ind w:firstLine="562" w:firstLineChars="200"/>
        <w:jc w:val="center"/>
        <w:textAlignment w:val="auto"/>
        <w:rPr>
          <w:rFonts w:hint="eastAsia"/>
          <w:b/>
          <w:bCs/>
          <w:sz w:val="28"/>
          <w:szCs w:val="36"/>
          <w:lang w:eastAsia="zh-CN"/>
        </w:rPr>
      </w:pPr>
    </w:p>
    <w:p w14:paraId="7F2682CB">
      <w:pPr>
        <w:keepNext w:val="0"/>
        <w:keepLines w:val="0"/>
        <w:pageBreakBefore w:val="0"/>
        <w:widowControl w:val="0"/>
        <w:kinsoku/>
        <w:wordWrap/>
        <w:overflowPunct/>
        <w:topLinePunct w:val="0"/>
        <w:autoSpaceDE/>
        <w:autoSpaceDN/>
        <w:bidi w:val="0"/>
        <w:adjustRightInd/>
        <w:snapToGrid/>
        <w:ind w:firstLine="562" w:firstLineChars="200"/>
        <w:jc w:val="center"/>
        <w:textAlignment w:val="auto"/>
        <w:rPr>
          <w:rFonts w:hint="eastAsia"/>
          <w:b/>
          <w:bCs/>
          <w:sz w:val="28"/>
          <w:szCs w:val="36"/>
          <w:lang w:eastAsia="zh-CN"/>
        </w:rPr>
      </w:pPr>
      <w:r>
        <w:rPr>
          <w:rFonts w:hint="default"/>
          <w:b/>
          <w:bCs/>
          <w:sz w:val="28"/>
          <w:szCs w:val="36"/>
        </w:rPr>
        <w:t>性别视角下的人文关怀：中国与西方文学中的性别与人文主义</w:t>
      </w:r>
    </w:p>
    <w:p w14:paraId="02132755">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b/>
          <w:bCs/>
          <w:sz w:val="24"/>
          <w:szCs w:val="32"/>
          <w:lang w:val="en-US" w:eastAsia="zh-CN"/>
        </w:rPr>
      </w:pPr>
    </w:p>
    <w:p w14:paraId="54F35616">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b/>
          <w:bCs/>
          <w:sz w:val="24"/>
          <w:szCs w:val="32"/>
          <w:lang w:val="en-US" w:eastAsia="zh-CN"/>
        </w:rPr>
      </w:pPr>
    </w:p>
    <w:p w14:paraId="345E506B">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b/>
          <w:bCs/>
          <w:sz w:val="24"/>
          <w:szCs w:val="32"/>
        </w:rPr>
      </w:pPr>
      <w:r>
        <w:rPr>
          <w:rFonts w:hint="eastAsia"/>
          <w:b/>
          <w:bCs/>
          <w:sz w:val="24"/>
          <w:szCs w:val="32"/>
          <w:lang w:val="en-US" w:eastAsia="zh-CN"/>
        </w:rPr>
        <w:t>一、</w:t>
      </w:r>
      <w:r>
        <w:rPr>
          <w:rFonts w:hint="default"/>
          <w:b/>
          <w:bCs/>
          <w:sz w:val="24"/>
          <w:szCs w:val="32"/>
        </w:rPr>
        <w:t>引言</w:t>
      </w:r>
    </w:p>
    <w:p w14:paraId="711F42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rPr>
      </w:pPr>
      <w:r>
        <w:rPr>
          <w:rFonts w:hint="default"/>
        </w:rPr>
        <w:t>人文主义作为一种文化和哲学运动，强调人的尊严、价值和潜能。在文学领域，人文主义思想通过角色的塑造和表现，传达了对个体自由、平等和尊严的追求。</w:t>
      </w:r>
      <w:r>
        <w:rPr>
          <w:rFonts w:hint="eastAsia"/>
          <w:lang w:val="en-US" w:eastAsia="zh-CN"/>
        </w:rPr>
        <w:t>而性别的不同也常常导致了在不同视角下人文主义表现具有一定的区别。</w:t>
      </w:r>
      <w:r>
        <w:rPr>
          <w:rFonts w:hint="default"/>
        </w:rPr>
        <w:t>本文旨在探讨中国与西方文学中性别与人文主义的关系，分析不同文化背景下文学作品如何反映和塑造性别角色，以及这些角色如何体现人文主义精神。通过比较分析，本文揭示了性别在文学中的复杂性和多样性，以及文学在推动性别平等和人文关怀方面的作用。</w:t>
      </w:r>
    </w:p>
    <w:p w14:paraId="1EA169E7">
      <w:pPr>
        <w:keepNext w:val="0"/>
        <w:keepLines w:val="0"/>
        <w:pageBreakBefore w:val="0"/>
        <w:widowControl w:val="0"/>
        <w:numPr>
          <w:ilvl w:val="0"/>
          <w:numId w:val="1"/>
        </w:numPr>
        <w:kinsoku/>
        <w:wordWrap/>
        <w:overflowPunct/>
        <w:topLinePunct w:val="0"/>
        <w:autoSpaceDE/>
        <w:autoSpaceDN/>
        <w:bidi w:val="0"/>
        <w:adjustRightInd/>
        <w:snapToGrid/>
        <w:ind w:firstLine="482" w:firstLineChars="200"/>
        <w:textAlignment w:val="auto"/>
        <w:rPr>
          <w:rFonts w:hint="eastAsia"/>
          <w:b/>
          <w:bCs/>
          <w:sz w:val="24"/>
          <w:szCs w:val="24"/>
          <w:lang w:val="en-US" w:eastAsia="zh-CN"/>
        </w:rPr>
      </w:pPr>
      <w:r>
        <w:rPr>
          <w:rFonts w:hint="eastAsia"/>
          <w:b/>
          <w:bCs/>
          <w:sz w:val="24"/>
          <w:szCs w:val="24"/>
          <w:lang w:val="en-US" w:eastAsia="zh-CN"/>
        </w:rPr>
        <w:t>人文主义是什么</w:t>
      </w:r>
    </w:p>
    <w:p w14:paraId="029D88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b w:val="0"/>
          <w:bCs w:val="0"/>
          <w:sz w:val="21"/>
          <w:szCs w:val="21"/>
          <w:lang w:val="en-US" w:eastAsia="zh-CN"/>
        </w:rPr>
      </w:pPr>
      <w:r>
        <w:rPr>
          <w:rFonts w:hint="eastAsia"/>
          <w:b w:val="0"/>
          <w:bCs w:val="0"/>
          <w:sz w:val="21"/>
          <w:szCs w:val="21"/>
          <w:lang w:val="en-US" w:eastAsia="zh-CN"/>
        </w:rPr>
        <w:t>广为人知的“人文主义”是形成于</w:t>
      </w:r>
      <w:r>
        <w:rPr>
          <w:rFonts w:hint="eastAsia"/>
          <w:b w:val="0"/>
          <w:bCs w:val="0"/>
          <w:sz w:val="21"/>
          <w:szCs w:val="21"/>
          <w:lang w:val="en-US" w:eastAsia="zh-CN"/>
        </w:rPr>
        <w:fldChar w:fldCharType="begin"/>
      </w:r>
      <w:r>
        <w:rPr>
          <w:rFonts w:hint="eastAsia"/>
          <w:b w:val="0"/>
          <w:bCs w:val="0"/>
          <w:sz w:val="21"/>
          <w:szCs w:val="21"/>
          <w:lang w:val="en-US" w:eastAsia="zh-CN"/>
        </w:rPr>
        <w:instrText xml:space="preserve"> HYPERLINK "https://baike.baidu.com/item/%E6%96%87%E8%89%BA%E5%A4%8D%E5%85%B4%E6%97%B6%E6%9C%9F/0?fromModule=lemma_inlink" \t "https://baike.baidu.com/item/%E4%BA%BA%E6%96%87%E4%B8%BB%E4%B9%89/_blank" </w:instrText>
      </w:r>
      <w:r>
        <w:rPr>
          <w:rFonts w:hint="eastAsia"/>
          <w:b w:val="0"/>
          <w:bCs w:val="0"/>
          <w:sz w:val="21"/>
          <w:szCs w:val="21"/>
          <w:lang w:val="en-US" w:eastAsia="zh-CN"/>
        </w:rPr>
        <w:fldChar w:fldCharType="separate"/>
      </w:r>
      <w:r>
        <w:rPr>
          <w:rFonts w:hint="eastAsia"/>
          <w:b w:val="0"/>
          <w:bCs w:val="0"/>
          <w:sz w:val="21"/>
          <w:szCs w:val="21"/>
          <w:lang w:val="en-US" w:eastAsia="zh-CN"/>
        </w:rPr>
        <w:t>文艺复兴时期</w:t>
      </w:r>
      <w:r>
        <w:rPr>
          <w:rFonts w:hint="eastAsia"/>
          <w:b w:val="0"/>
          <w:bCs w:val="0"/>
          <w:sz w:val="21"/>
          <w:szCs w:val="21"/>
          <w:lang w:val="en-US" w:eastAsia="zh-CN"/>
        </w:rPr>
        <w:fldChar w:fldCharType="end"/>
      </w:r>
      <w:r>
        <w:rPr>
          <w:rFonts w:hint="eastAsia"/>
          <w:b w:val="0"/>
          <w:bCs w:val="0"/>
          <w:sz w:val="21"/>
          <w:szCs w:val="21"/>
          <w:lang w:val="en-US" w:eastAsia="zh-CN"/>
        </w:rPr>
        <w:t>的</w:t>
      </w:r>
      <w:r>
        <w:rPr>
          <w:rFonts w:hint="eastAsia"/>
          <w:b w:val="0"/>
          <w:bCs w:val="0"/>
          <w:sz w:val="21"/>
          <w:szCs w:val="21"/>
          <w:lang w:val="en-US" w:eastAsia="zh-CN"/>
        </w:rPr>
        <w:fldChar w:fldCharType="begin"/>
      </w:r>
      <w:r>
        <w:rPr>
          <w:rFonts w:hint="eastAsia"/>
          <w:b w:val="0"/>
          <w:bCs w:val="0"/>
          <w:sz w:val="21"/>
          <w:szCs w:val="21"/>
          <w:lang w:val="en-US" w:eastAsia="zh-CN"/>
        </w:rPr>
        <w:instrText xml:space="preserve"> HYPERLINK "https://baike.baidu.com/item/%E6%80%9D%E6%83%B3%E4%BD%93%E7%B3%BB/0?fromModule=lemma_inlink" \t "https://baike.baidu.com/item/%E4%BA%BA%E6%96%87%E4%B8%BB%E4%B9%89/_blank" </w:instrText>
      </w:r>
      <w:r>
        <w:rPr>
          <w:rFonts w:hint="eastAsia"/>
          <w:b w:val="0"/>
          <w:bCs w:val="0"/>
          <w:sz w:val="21"/>
          <w:szCs w:val="21"/>
          <w:lang w:val="en-US" w:eastAsia="zh-CN"/>
        </w:rPr>
        <w:fldChar w:fldCharType="separate"/>
      </w:r>
      <w:r>
        <w:rPr>
          <w:rFonts w:hint="eastAsia"/>
          <w:b w:val="0"/>
          <w:bCs w:val="0"/>
          <w:sz w:val="21"/>
          <w:szCs w:val="21"/>
          <w:lang w:val="en-US" w:eastAsia="zh-CN"/>
        </w:rPr>
        <w:t>思想体系</w:t>
      </w:r>
      <w:r>
        <w:rPr>
          <w:rFonts w:hint="eastAsia"/>
          <w:b w:val="0"/>
          <w:bCs w:val="0"/>
          <w:sz w:val="21"/>
          <w:szCs w:val="21"/>
          <w:lang w:val="en-US" w:eastAsia="zh-CN"/>
        </w:rPr>
        <w:fldChar w:fldCharType="end"/>
      </w:r>
      <w:r>
        <w:rPr>
          <w:rFonts w:hint="eastAsia"/>
          <w:b w:val="0"/>
          <w:bCs w:val="0"/>
          <w:sz w:val="21"/>
          <w:szCs w:val="21"/>
          <w:lang w:val="en-US" w:eastAsia="zh-CN"/>
        </w:rPr>
        <w:t>或世界观。它主张一切以人为本，把人从中世纪的神学枷锁下解放出来。宣扬个性解放，追求现世</w:t>
      </w:r>
      <w:r>
        <w:rPr>
          <w:rFonts w:hint="eastAsia"/>
          <w:b w:val="0"/>
          <w:bCs w:val="0"/>
          <w:sz w:val="21"/>
          <w:szCs w:val="21"/>
          <w:lang w:val="en-US" w:eastAsia="zh-CN"/>
        </w:rPr>
        <w:fldChar w:fldCharType="begin"/>
      </w:r>
      <w:r>
        <w:rPr>
          <w:rFonts w:hint="eastAsia"/>
          <w:b w:val="0"/>
          <w:bCs w:val="0"/>
          <w:sz w:val="21"/>
          <w:szCs w:val="21"/>
          <w:lang w:val="en-US" w:eastAsia="zh-CN"/>
        </w:rPr>
        <w:instrText xml:space="preserve"> HYPERLINK "https://baike.baidu.com/item/%E5%B9%B8%E7%A6%8F/0?fromModule=lemma_inlink" \t "https://baike.baidu.com/item/%E4%BA%BA%E6%96%87%E4%B8%BB%E4%B9%89/_blank" </w:instrText>
      </w:r>
      <w:r>
        <w:rPr>
          <w:rFonts w:hint="eastAsia"/>
          <w:b w:val="0"/>
          <w:bCs w:val="0"/>
          <w:sz w:val="21"/>
          <w:szCs w:val="21"/>
          <w:lang w:val="en-US" w:eastAsia="zh-CN"/>
        </w:rPr>
        <w:fldChar w:fldCharType="separate"/>
      </w:r>
      <w:r>
        <w:rPr>
          <w:rFonts w:hint="eastAsia"/>
          <w:b w:val="0"/>
          <w:bCs w:val="0"/>
          <w:sz w:val="21"/>
          <w:szCs w:val="21"/>
          <w:lang w:val="en-US" w:eastAsia="zh-CN"/>
        </w:rPr>
        <w:t>幸福</w:t>
      </w:r>
      <w:r>
        <w:rPr>
          <w:rFonts w:hint="eastAsia"/>
          <w:b w:val="0"/>
          <w:bCs w:val="0"/>
          <w:sz w:val="21"/>
          <w:szCs w:val="21"/>
          <w:lang w:val="en-US" w:eastAsia="zh-CN"/>
        </w:rPr>
        <w:fldChar w:fldCharType="end"/>
      </w:r>
      <w:r>
        <w:rPr>
          <w:rFonts w:hint="eastAsia"/>
          <w:b w:val="0"/>
          <w:bCs w:val="0"/>
          <w:sz w:val="21"/>
          <w:szCs w:val="21"/>
          <w:lang w:val="en-US" w:eastAsia="zh-CN"/>
        </w:rPr>
        <w:t>；追求自由平等，反对等级观念；崇尚理性，反对蒙昧。英国著名历史学家</w:t>
      </w:r>
      <w:r>
        <w:rPr>
          <w:rStyle w:val="10"/>
          <w:rFonts w:hint="eastAsia"/>
          <w:b w:val="0"/>
          <w:bCs w:val="0"/>
          <w:sz w:val="21"/>
          <w:szCs w:val="21"/>
          <w:lang w:val="en-US" w:eastAsia="zh-CN"/>
        </w:rPr>
        <w:footnoteReference w:id="0"/>
      </w:r>
      <w:r>
        <w:rPr>
          <w:rFonts w:hint="eastAsia"/>
          <w:b w:val="0"/>
          <w:bCs w:val="0"/>
          <w:sz w:val="21"/>
          <w:szCs w:val="21"/>
          <w:lang w:val="en-US" w:eastAsia="zh-CN"/>
        </w:rPr>
        <w:t>阿伦·布洛克也对其进行了限制和定义，强调人的地位、价值、尊严和个人主义，尊重理性和个性自由。</w:t>
      </w:r>
    </w:p>
    <w:p w14:paraId="134648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b w:val="0"/>
          <w:bCs w:val="0"/>
          <w:sz w:val="21"/>
          <w:szCs w:val="21"/>
          <w:lang w:val="en-US" w:eastAsia="zh-CN"/>
        </w:rPr>
      </w:pPr>
      <w:r>
        <w:rPr>
          <w:rFonts w:hint="eastAsia"/>
          <w:b w:val="0"/>
          <w:bCs w:val="0"/>
          <w:sz w:val="21"/>
          <w:szCs w:val="21"/>
          <w:lang w:val="en-US" w:eastAsia="zh-CN"/>
        </w:rPr>
        <w:t>除此之外，中国也有属于自己的“人道主义”起源。</w:t>
      </w:r>
      <w:r>
        <w:rPr>
          <w:rStyle w:val="10"/>
          <w:rFonts w:hint="eastAsia"/>
          <w:b w:val="0"/>
          <w:bCs w:val="0"/>
          <w:sz w:val="21"/>
          <w:szCs w:val="21"/>
          <w:lang w:val="en-US" w:eastAsia="zh-CN"/>
        </w:rPr>
        <w:footnoteReference w:id="1"/>
      </w:r>
      <w:r>
        <w:rPr>
          <w:rFonts w:hint="eastAsia"/>
          <w:b w:val="0"/>
          <w:bCs w:val="0"/>
          <w:sz w:val="21"/>
          <w:szCs w:val="21"/>
          <w:lang w:val="en-US" w:eastAsia="zh-CN"/>
        </w:rPr>
        <w:t>《易经》贲卦的象辞上讲：“刚柔交错，天文也；文明以止，人文也。观乎天文，以察时变；观乎人文，以化成天下。”这就是说阴阳互生、刚柔交易是天象的特点；行己有度、举止止于礼仪规范乃人类文明的象征。“关乎天文”，意在把握和明辨天时的变化；“观乎人文”，用以化育成就天下大业。“天文”、“人文”对举的事实说明，在先人看来，探索自然与追求自身是人类的两大基本主题。也就是说中国传统文化的“人文”以人之所以异于万物为价值支点，以人与人的关系为核心内容，表征着人对自我存在的理性审视和现实关切。</w:t>
      </w:r>
    </w:p>
    <w:p w14:paraId="0AD59E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b w:val="0"/>
          <w:bCs w:val="0"/>
          <w:sz w:val="21"/>
          <w:szCs w:val="21"/>
          <w:lang w:val="en-US" w:eastAsia="zh-CN"/>
        </w:rPr>
      </w:pPr>
      <w:r>
        <w:rPr>
          <w:rFonts w:hint="default"/>
          <w:b w:val="0"/>
          <w:bCs w:val="0"/>
          <w:sz w:val="21"/>
          <w:szCs w:val="21"/>
          <w:lang w:val="en-US" w:eastAsia="zh-CN"/>
        </w:rPr>
        <w:t>考虑到东西方对“人文”概念的不同诠释，</w:t>
      </w:r>
      <w:r>
        <w:rPr>
          <w:rFonts w:hint="eastAsia"/>
          <w:b w:val="0"/>
          <w:bCs w:val="0"/>
          <w:sz w:val="21"/>
          <w:szCs w:val="21"/>
          <w:lang w:val="en-US" w:eastAsia="zh-CN"/>
        </w:rPr>
        <w:t>故而</w:t>
      </w:r>
      <w:r>
        <w:rPr>
          <w:rFonts w:hint="default"/>
          <w:b w:val="0"/>
          <w:bCs w:val="0"/>
          <w:sz w:val="21"/>
          <w:szCs w:val="21"/>
          <w:lang w:val="en-US" w:eastAsia="zh-CN"/>
        </w:rPr>
        <w:t>在探讨人文主义时，</w:t>
      </w:r>
      <w:r>
        <w:rPr>
          <w:rFonts w:hint="eastAsia"/>
          <w:b w:val="0"/>
          <w:bCs w:val="0"/>
          <w:sz w:val="21"/>
          <w:szCs w:val="21"/>
          <w:lang w:val="en-US" w:eastAsia="zh-CN"/>
        </w:rPr>
        <w:t>我们</w:t>
      </w:r>
      <w:r>
        <w:rPr>
          <w:rFonts w:hint="default"/>
          <w:b w:val="0"/>
          <w:bCs w:val="0"/>
          <w:sz w:val="21"/>
          <w:szCs w:val="21"/>
          <w:lang w:val="en-US" w:eastAsia="zh-CN"/>
        </w:rPr>
        <w:t>需要将西方的人文主义理念与东方传统中的“人文”思想相结合</w:t>
      </w:r>
      <w:r>
        <w:rPr>
          <w:rFonts w:hint="eastAsia"/>
          <w:b w:val="0"/>
          <w:bCs w:val="0"/>
          <w:sz w:val="21"/>
          <w:szCs w:val="21"/>
          <w:lang w:val="en-US" w:eastAsia="zh-CN"/>
        </w:rPr>
        <w:t>，</w:t>
      </w:r>
      <w:r>
        <w:rPr>
          <w:rFonts w:hint="default"/>
          <w:b w:val="0"/>
          <w:bCs w:val="0"/>
          <w:sz w:val="21"/>
          <w:szCs w:val="21"/>
          <w:lang w:val="en-US" w:eastAsia="zh-CN"/>
        </w:rPr>
        <w:t>通过跨文化的融合与理解，提升我们对“人文主义”认识的深度，拓展人文主义理论的广度。</w:t>
      </w:r>
      <w:r>
        <w:rPr>
          <w:rFonts w:hint="eastAsia"/>
          <w:b w:val="0"/>
          <w:bCs w:val="0"/>
          <w:sz w:val="21"/>
          <w:szCs w:val="21"/>
          <w:lang w:val="en-US" w:eastAsia="zh-CN"/>
        </w:rPr>
        <w:t>而同时不同文化下的不同性别视角，对于人文主义的表达方式也各有千秋，值得进一步的深入探索。</w:t>
      </w:r>
    </w:p>
    <w:p w14:paraId="0AD9F2E7">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b/>
          <w:bCs/>
          <w:sz w:val="24"/>
          <w:szCs w:val="32"/>
        </w:rPr>
      </w:pPr>
      <w:r>
        <w:rPr>
          <w:rFonts w:hint="eastAsia"/>
          <w:b/>
          <w:bCs/>
          <w:sz w:val="24"/>
          <w:szCs w:val="32"/>
          <w:lang w:val="en-US" w:eastAsia="zh-CN"/>
        </w:rPr>
        <w:t>三、</w:t>
      </w:r>
      <w:r>
        <w:rPr>
          <w:rFonts w:hint="default"/>
          <w:b/>
          <w:bCs/>
          <w:sz w:val="24"/>
          <w:szCs w:val="32"/>
        </w:rPr>
        <w:t>中国文学中的性别与人文主义</w:t>
      </w:r>
    </w:p>
    <w:p w14:paraId="1CCF282C">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b/>
          <w:bCs/>
          <w:sz w:val="21"/>
          <w:szCs w:val="24"/>
        </w:rPr>
      </w:pPr>
      <w:r>
        <w:rPr>
          <w:rFonts w:hint="default"/>
          <w:b/>
          <w:bCs/>
          <w:sz w:val="21"/>
          <w:szCs w:val="24"/>
        </w:rPr>
        <w:t>1.1 传统文学中的性别角色</w:t>
      </w:r>
    </w:p>
    <w:p w14:paraId="46D38B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eastAsiaTheme="minorEastAsia"/>
          <w:lang w:val="en-US" w:eastAsia="zh-CN"/>
        </w:rPr>
      </w:pPr>
      <w:r>
        <w:rPr>
          <w:rFonts w:hint="default"/>
        </w:rPr>
        <w:t>在中国古典文学中，性别角色往往受到儒家思想的影响，强调男性的社会责任和女性的家庭角色。</w:t>
      </w:r>
      <w:r>
        <w:rPr>
          <w:rFonts w:hint="eastAsia"/>
          <w:lang w:val="en-US" w:eastAsia="zh-CN"/>
        </w:rPr>
        <w:t>在儒学思想的熏陶下，无论是《中庸》中:“君子之道, 造端乎夫妇;及其至也, 察乎天地。”又或者《论语·颜渊》篇道:“子贡问政。子曰:足食, 足兵, 民信之矣。子贡曰:必不得已而去, 于斯三者何先?曰:去兵。子贡曰:必不得已而去, 于斯二者何先?曰:去食。自古皆有死, 民无信不立。”，都强调了个人对社会——包括家庭、亲友、国家和历史的价值以及对“君子”品格的追求。但是这样的人</w:t>
      </w:r>
      <w:bookmarkStart w:id="0" w:name="_GoBack"/>
      <w:bookmarkEnd w:id="0"/>
      <w:r>
        <w:rPr>
          <w:rFonts w:hint="eastAsia"/>
          <w:lang w:val="en-US" w:eastAsia="zh-CN"/>
        </w:rPr>
        <w:t>文光辉似乎很少在女性身上得到彰显。在传统文学中，对女性的形象描写依旧基于封建思想下的道德标准，却以束缚为主。</w:t>
      </w:r>
      <w:r>
        <w:rPr>
          <w:rFonts w:hint="default"/>
        </w:rPr>
        <w:t>例如，</w:t>
      </w:r>
      <w:r>
        <w:rPr>
          <w:rFonts w:hint="eastAsia"/>
          <w:lang w:eastAsia="zh-CN"/>
        </w:rPr>
        <w:t>《</w:t>
      </w:r>
      <w:r>
        <w:rPr>
          <w:rFonts w:hint="eastAsia"/>
          <w:lang w:val="en-US" w:eastAsia="zh-CN"/>
        </w:rPr>
        <w:t>窦娥冤</w:t>
      </w:r>
      <w:r>
        <w:rPr>
          <w:rFonts w:hint="eastAsia"/>
          <w:lang w:eastAsia="zh-CN"/>
        </w:rPr>
        <w:t>》</w:t>
      </w:r>
      <w:r>
        <w:rPr>
          <w:rFonts w:hint="eastAsia"/>
          <w:lang w:val="en-US" w:eastAsia="zh-CN"/>
        </w:rPr>
        <w:t>中千古第一冤案的原因正是出于窦娥对贞洁和孝道的坚守：正是出于</w:t>
      </w:r>
      <w:r>
        <w:rPr>
          <w:rStyle w:val="10"/>
          <w:rFonts w:hint="eastAsia"/>
          <w:lang w:val="en-US" w:eastAsia="zh-CN"/>
        </w:rPr>
        <w:footnoteReference w:id="2"/>
      </w:r>
      <w:r>
        <w:rPr>
          <w:rFonts w:hint="eastAsia"/>
          <w:lang w:val="en-US" w:eastAsia="zh-CN"/>
        </w:rPr>
        <w:t>对维护自己的贞洁和名誉, 窦娥拒绝了张驴儿，导致了药死公公的惨剧发生；又因内心的孝道思想，在她看到自己婆婆遭受严刑逼供时选择招认莫须有的罪行。值得高兴的是，在传统的文学中亦有对于女性压迫的深刻认识，正如</w:t>
      </w:r>
      <w:r>
        <w:rPr>
          <w:rFonts w:hint="default"/>
        </w:rPr>
        <w:t>《红楼梦》中</w:t>
      </w:r>
      <w:r>
        <w:rPr>
          <w:rFonts w:hint="eastAsia"/>
          <w:lang w:val="en-US" w:eastAsia="zh-CN"/>
        </w:rPr>
        <w:t>在塑造</w:t>
      </w:r>
      <w:r>
        <w:rPr>
          <w:rFonts w:hint="default"/>
        </w:rPr>
        <w:t>女性</w:t>
      </w:r>
      <w:r>
        <w:rPr>
          <w:rFonts w:hint="eastAsia"/>
          <w:lang w:val="en-US" w:eastAsia="zh-CN"/>
        </w:rPr>
        <w:t>角色的人文特征时赋予了她们</w:t>
      </w:r>
      <w:r>
        <w:rPr>
          <w:rFonts w:hint="default"/>
        </w:rPr>
        <w:t>丰富的个性，但她们的命运多受制于男性主导的社会结构</w:t>
      </w:r>
      <w:r>
        <w:rPr>
          <w:rFonts w:hint="eastAsia"/>
          <w:lang w:eastAsia="zh-CN"/>
        </w:rPr>
        <w:t>，</w:t>
      </w:r>
      <w:r>
        <w:rPr>
          <w:rFonts w:hint="eastAsia"/>
          <w:lang w:val="en-US" w:eastAsia="zh-CN"/>
        </w:rPr>
        <w:t>某种意义上反映出对于封建男权社会的不满和抗争，但囿于时代背景，仅仅基于作者的叙事视角中能让现代读者感悟到其对于女性自由和尊严的追求，并没有通过人物得到直接的表达。</w:t>
      </w:r>
    </w:p>
    <w:p w14:paraId="53C9B4F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b/>
          <w:bCs/>
        </w:rPr>
      </w:pPr>
      <w:r>
        <w:rPr>
          <w:rFonts w:hint="default"/>
          <w:b/>
          <w:bCs/>
        </w:rPr>
        <w:t>1.2 现代文学中的性别觉醒</w:t>
      </w:r>
    </w:p>
    <w:p w14:paraId="3A36AB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eastAsiaTheme="minorEastAsia"/>
          <w:lang w:val="en-US" w:eastAsia="zh-CN"/>
        </w:rPr>
      </w:pPr>
      <w:r>
        <w:rPr>
          <w:rFonts w:hint="default"/>
        </w:rPr>
        <w:t>进入现代，中国文学开始关注女性的自我意识和独立精神</w:t>
      </w:r>
      <w:r>
        <w:rPr>
          <w:rFonts w:hint="eastAsia"/>
          <w:lang w:eastAsia="zh-CN"/>
        </w:rPr>
        <w:t>，</w:t>
      </w:r>
      <w:r>
        <w:rPr>
          <w:rFonts w:hint="eastAsia"/>
          <w:lang w:val="en-US" w:eastAsia="zh-CN"/>
        </w:rPr>
        <w:t>越来越多反抗传统人文主义给女性带来的枷锁的文章开始出现。如</w:t>
      </w:r>
      <w:r>
        <w:rPr>
          <w:rFonts w:hint="default"/>
        </w:rPr>
        <w:t>鲁迅的《伤逝》通过女主角子君的悲剧命运，批判了封建礼教对女性的压迫，体现了对女性解放的人文关怀。</w:t>
      </w:r>
      <w:r>
        <w:rPr>
          <w:rFonts w:hint="eastAsia"/>
          <w:lang w:val="en-US" w:eastAsia="zh-CN"/>
        </w:rPr>
        <w:t>这样的现象除了时代的将要解放和社会的思想进步，也得益于更多女性作家登上历史舞台。以萧红为例，其所著名的女性人文主义，不仅强调了</w:t>
      </w:r>
      <w:r>
        <w:rPr>
          <w:rStyle w:val="10"/>
          <w:rFonts w:hint="eastAsia"/>
          <w:lang w:val="en-US" w:eastAsia="zh-CN"/>
        </w:rPr>
        <w:footnoteReference w:id="3"/>
      </w:r>
      <w:r>
        <w:rPr>
          <w:rFonts w:hint="eastAsia"/>
          <w:lang w:val="en-US" w:eastAsia="zh-CN"/>
        </w:rPr>
        <w:t>女性与自然的关系也着重强调人文二字的含义及从人类学角度出发, 探索男女之间的平衡。萧红也尊重人的自我价值, 因此女性人文主义强调女性作为独立思考的个体, 从人的角度出发, 对自我成长空间及自我主体身份的探讨, 而非局限于从性别角度出发的男女二元对立。但在这一时期，由于当时期的客观事实和残余封建思想，女性的形象并没有通过直观的抗争得以展现，与一般描写默认男性的人文主义不同，在女性身上，对“人”的探索大多以无法反抗而酿成的悲剧的讽刺效果得以彰显。</w:t>
      </w:r>
    </w:p>
    <w:p w14:paraId="294D05C6">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b/>
          <w:bCs/>
        </w:rPr>
      </w:pPr>
      <w:r>
        <w:rPr>
          <w:rFonts w:hint="default"/>
          <w:b/>
          <w:bCs/>
        </w:rPr>
        <w:t>1.3 当代文学中的性别平等</w:t>
      </w:r>
    </w:p>
    <w:p w14:paraId="1D2EAB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eastAsiaTheme="minorEastAsia"/>
          <w:lang w:val="en-US" w:eastAsia="zh-CN"/>
        </w:rPr>
      </w:pPr>
      <w:r>
        <w:rPr>
          <w:rFonts w:hint="default"/>
        </w:rPr>
        <w:t>在当代中国文学中，性别平等和女性主义</w:t>
      </w:r>
      <w:r>
        <w:rPr>
          <w:rFonts w:hint="eastAsia"/>
          <w:lang w:val="en-US" w:eastAsia="zh-CN"/>
        </w:rPr>
        <w:t>更是</w:t>
      </w:r>
      <w:r>
        <w:rPr>
          <w:rFonts w:hint="default"/>
        </w:rPr>
        <w:t>成为重要议题。</w:t>
      </w:r>
      <w:r>
        <w:rPr>
          <w:rFonts w:hint="eastAsia"/>
          <w:lang w:val="en-US" w:eastAsia="zh-CN"/>
        </w:rPr>
        <w:t>在大环境下，女性的地位逐渐被看到，男女之间也更加趋于平等，</w:t>
      </w:r>
      <w:r>
        <w:rPr>
          <w:rFonts w:hint="default"/>
        </w:rPr>
        <w:t>作品中的女性角色更加多元和立体</w:t>
      </w:r>
      <w:r>
        <w:rPr>
          <w:rFonts w:hint="eastAsia"/>
          <w:lang w:eastAsia="zh-CN"/>
        </w:rPr>
        <w:t>，</w:t>
      </w:r>
      <w:r>
        <w:rPr>
          <w:rFonts w:hint="eastAsia"/>
          <w:lang w:val="en-US" w:eastAsia="zh-CN"/>
        </w:rPr>
        <w:t>主动抗争命运的女性角色的结局出现了不同，女性不再是无法摆脱封建思想大山的悲剧，而是成功抗争命运获得权力的英雄，使得女性主义的光辉能够直观的得到展现和发扬。</w:t>
      </w:r>
      <w:r>
        <w:rPr>
          <w:rFonts w:hint="default"/>
        </w:rPr>
        <w:t>如</w:t>
      </w:r>
      <w:r>
        <w:rPr>
          <w:rStyle w:val="10"/>
          <w:rFonts w:hint="default"/>
        </w:rPr>
        <w:footnoteReference w:id="4"/>
      </w:r>
      <w:r>
        <w:rPr>
          <w:rFonts w:hint="default"/>
        </w:rPr>
        <w:t>《作女》颠覆“作女”一词原有的贬义，以赞赏的态度塑造了以卓尔为代表的一群不安分守己、天生爱折腾的京城白领作女群像，肯定了女性遵从内心感受、不受理性规训、不循规蹈矩、不顾忌世俗观念的感性生活态度。展示了作者张扬个体生命意识、抵御世俗羁绊的生命观。</w:t>
      </w:r>
      <w:r>
        <w:rPr>
          <w:rFonts w:hint="eastAsia"/>
          <w:lang w:val="en-US" w:eastAsia="zh-CN"/>
        </w:rPr>
        <w:t>同样的女性群像文学还有《三十而已》《欢乐颂》等，性别不在呈现为二元对立下的悲惨结局，而是给予男女性平等的态度和积极的力量，以聚焦在“人”的自由和尊严，而不是区分为“男人”和“女人的不同。</w:t>
      </w:r>
    </w:p>
    <w:p w14:paraId="29D1898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b/>
          <w:bCs/>
          <w:sz w:val="24"/>
          <w:szCs w:val="24"/>
        </w:rPr>
      </w:pPr>
      <w:r>
        <w:rPr>
          <w:rFonts w:hint="eastAsia"/>
          <w:b/>
          <w:bCs/>
          <w:sz w:val="24"/>
          <w:szCs w:val="24"/>
          <w:lang w:val="en-US" w:eastAsia="zh-CN"/>
        </w:rPr>
        <w:t>四、</w:t>
      </w:r>
      <w:r>
        <w:rPr>
          <w:rFonts w:hint="default"/>
          <w:b/>
          <w:bCs/>
          <w:sz w:val="24"/>
          <w:szCs w:val="24"/>
        </w:rPr>
        <w:t>西方文学中的性别与人文主义</w:t>
      </w:r>
    </w:p>
    <w:p w14:paraId="12268C4D">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eastAsiaTheme="minorEastAsia"/>
          <w:b/>
          <w:bCs/>
          <w:lang w:val="en-US" w:eastAsia="zh-CN"/>
        </w:rPr>
      </w:pPr>
      <w:r>
        <w:rPr>
          <w:rFonts w:hint="default"/>
          <w:b/>
          <w:bCs/>
        </w:rPr>
        <w:t>2.1 文艺复兴时期的</w:t>
      </w:r>
      <w:r>
        <w:rPr>
          <w:rFonts w:hint="eastAsia"/>
          <w:b/>
          <w:bCs/>
          <w:lang w:val="en-US" w:eastAsia="zh-CN"/>
        </w:rPr>
        <w:t>性别差异</w:t>
      </w:r>
    </w:p>
    <w:p w14:paraId="54DD32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eastAsiaTheme="minorEastAsia"/>
          <w:lang w:val="en-US" w:eastAsia="zh-CN"/>
        </w:rPr>
      </w:pPr>
      <w:r>
        <w:rPr>
          <w:rFonts w:hint="default"/>
        </w:rPr>
        <w:t>西方文艺复兴时期，人文主义思想开始关注个体的价值和尊严，但性别角色依然受到传统观念的束缚。莎士比亚的《哈姆雷特》中</w:t>
      </w:r>
      <w:r>
        <w:rPr>
          <w:rFonts w:hint="eastAsia"/>
          <w:lang w:eastAsia="zh-CN"/>
        </w:rPr>
        <w:t>，莎士比亚</w:t>
      </w:r>
      <w:r>
        <w:rPr>
          <w:rFonts w:hint="eastAsia"/>
          <w:lang w:val="en-US" w:eastAsia="zh-CN"/>
        </w:rPr>
        <w:t>塑造主人公时将</w:t>
      </w:r>
      <w:r>
        <w:rPr>
          <w:rFonts w:hint="eastAsia"/>
          <w:lang w:eastAsia="zh-CN"/>
        </w:rPr>
        <w:t>人文主义价值观念</w:t>
      </w:r>
      <w:r>
        <w:rPr>
          <w:rFonts w:hint="eastAsia"/>
          <w:lang w:val="en-US" w:eastAsia="zh-CN"/>
        </w:rPr>
        <w:t>的确立和西方</w:t>
      </w:r>
      <w:r>
        <w:rPr>
          <w:rFonts w:hint="eastAsia"/>
          <w:lang w:eastAsia="zh-CN"/>
        </w:rPr>
        <w:t>基督教</w:t>
      </w:r>
      <w:r>
        <w:rPr>
          <w:rFonts w:hint="eastAsia"/>
          <w:lang w:val="en-US" w:eastAsia="zh-CN"/>
        </w:rPr>
        <w:t>思想的束缚进行了融合</w:t>
      </w:r>
      <w:r>
        <w:rPr>
          <w:rFonts w:hint="eastAsia"/>
          <w:lang w:eastAsia="zh-CN"/>
        </w:rPr>
        <w:t>，将世俗情感升华为对人性、命运及人存在意义的探究，哈姆雷特在面对复仇时，他所体现出来的思维方式（罪恶与宽恕）和价值观很好地诠释了西方基督教思想</w:t>
      </w:r>
      <w:r>
        <w:rPr>
          <w:rFonts w:hint="eastAsia"/>
          <w:lang w:val="en-US" w:eastAsia="zh-CN"/>
        </w:rPr>
        <w:t>和人文主义之间的冲突</w:t>
      </w:r>
      <w:r>
        <w:rPr>
          <w:rFonts w:hint="eastAsia"/>
          <w:lang w:eastAsia="zh-CN"/>
        </w:rPr>
        <w:t>，</w:t>
      </w:r>
      <w:r>
        <w:rPr>
          <w:rFonts w:hint="eastAsia"/>
          <w:lang w:val="en-US" w:eastAsia="zh-CN"/>
        </w:rPr>
        <w:t>使得</w:t>
      </w:r>
      <w:r>
        <w:rPr>
          <w:rStyle w:val="10"/>
          <w:rFonts w:hint="eastAsia"/>
          <w:lang w:val="en-US" w:eastAsia="zh-CN"/>
        </w:rPr>
        <w:footnoteReference w:id="5"/>
      </w:r>
      <w:r>
        <w:rPr>
          <w:rFonts w:hint="eastAsia"/>
          <w:lang w:val="en-US" w:eastAsia="zh-CN"/>
        </w:rPr>
        <w:t>“莎士比亚式”的“没有现行基督教的虚伪, 但也不盲目宠信人的力量”</w:t>
      </w:r>
      <w:r>
        <w:rPr>
          <w:rFonts w:hint="default"/>
        </w:rPr>
        <w:t>的</w:t>
      </w:r>
      <w:r>
        <w:rPr>
          <w:rFonts w:hint="eastAsia"/>
          <w:lang w:val="en-US" w:eastAsia="zh-CN"/>
        </w:rPr>
        <w:t>人文力量得以呈现。但其中的</w:t>
      </w:r>
      <w:r>
        <w:rPr>
          <w:rFonts w:hint="default"/>
        </w:rPr>
        <w:t>女性角色</w:t>
      </w:r>
      <w:r>
        <w:rPr>
          <w:rFonts w:hint="eastAsia"/>
          <w:lang w:eastAsia="zh-CN"/>
        </w:rPr>
        <w:t>，</w:t>
      </w:r>
      <w:r>
        <w:rPr>
          <w:rFonts w:hint="eastAsia"/>
          <w:lang w:val="en-US" w:eastAsia="zh-CN"/>
        </w:rPr>
        <w:t>如奥菲利娅，便如安·塞·布雷德利总结的那样：“两个世纪来的评论和奥菲利娅的疯癫形象带给我们是漂亮、甜美、惹人爱的、伤感的和被遗忘的。”</w:t>
      </w:r>
      <w:r>
        <w:rPr>
          <w:rStyle w:val="10"/>
          <w:rFonts w:hint="eastAsia"/>
          <w:lang w:val="en-US" w:eastAsia="zh-CN"/>
        </w:rPr>
        <w:footnoteReference w:id="6"/>
      </w:r>
      <w:r>
        <w:rPr>
          <w:rFonts w:hint="eastAsia"/>
          <w:lang w:val="en-US" w:eastAsia="zh-CN"/>
        </w:rPr>
        <w:t>在《哈姆雷特》整部戏剧中，奥菲利娅是父兄和哈姆雷特的附属品，始终处于被动的从属地位，在亲情里被父兄安排和操控，在爱情里面对羞辱忍气吞声，甚至到最后溺死在水中的结局，都是由王后转述，并没有得到正面描写。在中世纪的西方文学中，女性似乎总是处于“失语”的尴尬境地，或许在软弱和楚楚可怜之外可能存在着明媚智慧的特质，尽管个体价值和尊严得到高歌，但女性的发声</w:t>
      </w:r>
      <w:r>
        <w:rPr>
          <w:rFonts w:hint="default"/>
        </w:rPr>
        <w:t>最终仍受制于男性主导的社会</w:t>
      </w:r>
      <w:r>
        <w:rPr>
          <w:rFonts w:hint="eastAsia"/>
          <w:lang w:eastAsia="zh-CN"/>
        </w:rPr>
        <w:t>，</w:t>
      </w:r>
      <w:r>
        <w:rPr>
          <w:rFonts w:hint="eastAsia"/>
          <w:lang w:val="en-US" w:eastAsia="zh-CN"/>
        </w:rPr>
        <w:t>人文主义的内涵在她们身上显得单薄和难以信服。</w:t>
      </w:r>
    </w:p>
    <w:p w14:paraId="6E3641D3">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b/>
          <w:bCs/>
        </w:rPr>
      </w:pPr>
      <w:r>
        <w:rPr>
          <w:rFonts w:hint="default"/>
          <w:b/>
          <w:bCs/>
        </w:rPr>
        <w:t>2.2 19世纪的女性主义文学</w:t>
      </w:r>
    </w:p>
    <w:p w14:paraId="0F966E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rPr>
      </w:pPr>
      <w:r>
        <w:rPr>
          <w:rFonts w:hint="default"/>
        </w:rPr>
        <w:t>19世纪，西方文学中的女性角色开始展现出更多的独立性和反抗精神。如勃朗特的《简·爱》中，女主角简·爱追求自我实现和平等的爱情，</w:t>
      </w:r>
      <w:r>
        <w:rPr>
          <w:rFonts w:hint="eastAsia"/>
          <w:lang w:val="en-US" w:eastAsia="zh-CN"/>
        </w:rPr>
        <w:t>人们对于女性人文主义的描写不仅仅停留在作者层面，而是从女性的视角赋予主人公意识的觉醒，塑造了一个不安于现状、不甘屈辱、敢于斗争的女性形象。通过冲破传统思想的禁锢，对女性人文主义的定义进行了深刻的反思，在反抗男权社会的过程中</w:t>
      </w:r>
      <w:r>
        <w:rPr>
          <w:rFonts w:hint="default"/>
        </w:rPr>
        <w:t>体现了女性主义的人文关怀。</w:t>
      </w:r>
    </w:p>
    <w:p w14:paraId="22C59326">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b/>
          <w:bCs/>
        </w:rPr>
      </w:pPr>
      <w:r>
        <w:rPr>
          <w:rFonts w:hint="default"/>
          <w:b/>
          <w:bCs/>
        </w:rPr>
        <w:t>2.3 性别</w:t>
      </w:r>
      <w:r>
        <w:rPr>
          <w:rFonts w:hint="eastAsia"/>
          <w:b/>
          <w:bCs/>
          <w:lang w:val="en-US" w:eastAsia="zh-CN"/>
        </w:rPr>
        <w:t>特征的逐渐</w:t>
      </w:r>
      <w:r>
        <w:rPr>
          <w:rFonts w:hint="default"/>
          <w:b/>
          <w:bCs/>
        </w:rPr>
        <w:t>多元</w:t>
      </w:r>
    </w:p>
    <w:p w14:paraId="11DE22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eastAsiaTheme="minorEastAsia"/>
          <w:lang w:val="en-US" w:eastAsia="zh-CN"/>
        </w:rPr>
      </w:pPr>
      <w:r>
        <w:rPr>
          <w:rFonts w:hint="eastAsia"/>
          <w:lang w:val="en-US" w:eastAsia="zh-CN"/>
        </w:rPr>
        <w:t>自</w:t>
      </w:r>
      <w:r>
        <w:rPr>
          <w:rFonts w:hint="default"/>
        </w:rPr>
        <w:t>20世纪</w:t>
      </w:r>
      <w:r>
        <w:rPr>
          <w:rFonts w:hint="eastAsia"/>
          <w:lang w:val="en-US" w:eastAsia="zh-CN"/>
        </w:rPr>
        <w:t>起</w:t>
      </w:r>
      <w:r>
        <w:rPr>
          <w:rFonts w:hint="default"/>
        </w:rPr>
        <w:t>，西方文学中的性别表现更加多元和复杂。</w:t>
      </w:r>
      <w:r>
        <w:rPr>
          <w:rFonts w:hint="eastAsia"/>
          <w:lang w:val="en-US" w:eastAsia="zh-CN"/>
        </w:rPr>
        <w:t>在经历环球航行与世界大战后，世界的思想逐渐交融，人们的理念得到开放，宗教和封建思想的束缚在科技的萌芽里得到反抗和减轻，在关注女性个体时也不仅仅聚焦于她们因男权时代得到的不公和悲剧，而是给予他们多元的人格和自尊，如《飘》的作者玛格丽特，她不曾大肆批驳老旧的陈词滥调，只用一个个坚韧独立的女性剪影，描画出一个个战争中还能挺起胸膛的南方淑女，不再于特定的背景下给予女性特定的人文关怀，而是聚焦在女性独特品质自身，以展现其巨大的力量。</w:t>
      </w:r>
    </w:p>
    <w:p w14:paraId="01E6B1E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eastAsiaTheme="minorEastAsia"/>
          <w:b/>
          <w:bCs/>
          <w:sz w:val="24"/>
          <w:szCs w:val="32"/>
          <w:lang w:val="en-US" w:eastAsia="zh-CN"/>
        </w:rPr>
      </w:pPr>
      <w:r>
        <w:rPr>
          <w:rFonts w:hint="eastAsia"/>
          <w:b/>
          <w:bCs/>
          <w:sz w:val="24"/>
          <w:szCs w:val="32"/>
          <w:lang w:val="en-US" w:eastAsia="zh-CN"/>
        </w:rPr>
        <w:t>五、中西比较分析总结</w:t>
      </w:r>
    </w:p>
    <w:p w14:paraId="042689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rPr>
      </w:pPr>
      <w:r>
        <w:rPr>
          <w:rFonts w:hint="default"/>
        </w:rPr>
        <w:t>3.1 文化背景的差异</w:t>
      </w:r>
    </w:p>
    <w:p w14:paraId="1B02BF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eastAsiaTheme="minorEastAsia"/>
          <w:lang w:val="en-US" w:eastAsia="zh-CN"/>
        </w:rPr>
      </w:pPr>
      <w:r>
        <w:rPr>
          <w:rFonts w:hint="default"/>
        </w:rPr>
        <w:t>中国与西方文学中性别与人文主义的差异，部分源于不同的文化背景和社会价值观。中国文学受到儒家思想</w:t>
      </w:r>
      <w:r>
        <w:rPr>
          <w:rFonts w:hint="eastAsia"/>
          <w:lang w:val="en-US" w:eastAsia="zh-CN"/>
        </w:rPr>
        <w:t>和传统中华道德观念</w:t>
      </w:r>
      <w:r>
        <w:rPr>
          <w:rFonts w:hint="default"/>
        </w:rPr>
        <w:t>的影响，而西方文学则受到</w:t>
      </w:r>
      <w:r>
        <w:rPr>
          <w:rFonts w:hint="eastAsia"/>
          <w:lang w:val="en-US" w:eastAsia="zh-CN"/>
        </w:rPr>
        <w:t>文艺复兴、宗教改革、</w:t>
      </w:r>
      <w:r>
        <w:rPr>
          <w:rFonts w:hint="default"/>
        </w:rPr>
        <w:t>启蒙运动和女性主义运动的</w:t>
      </w:r>
      <w:r>
        <w:rPr>
          <w:rFonts w:hint="eastAsia"/>
          <w:lang w:val="en-US" w:eastAsia="zh-CN"/>
        </w:rPr>
        <w:t>推动，在人文主义思潮的初期都出现了性别上的不平等和束缚，但随着时代的不断发展和思想的逐渐解放，人文主义的彰显在性别上的差异逐渐缩小，女性的地位也在逐渐提升，文学领域的发展呈现向好趋势</w:t>
      </w:r>
    </w:p>
    <w:p w14:paraId="600744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rPr>
      </w:pPr>
      <w:r>
        <w:rPr>
          <w:rFonts w:hint="default"/>
        </w:rPr>
        <w:t>3.2 性别角色的塑造</w:t>
      </w:r>
    </w:p>
    <w:p w14:paraId="41D534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rPr>
      </w:pPr>
      <w:r>
        <w:rPr>
          <w:rFonts w:hint="eastAsia"/>
          <w:lang w:val="en-US" w:eastAsia="zh-CN"/>
        </w:rPr>
        <w:t>由于其文化背景的差异，</w:t>
      </w:r>
      <w:r>
        <w:rPr>
          <w:rFonts w:hint="default"/>
        </w:rPr>
        <w:t>在性别角色的塑造上，中国文学更注重内在的情感和道德，而西方文学则更强调个体的自由和独立。</w:t>
      </w:r>
    </w:p>
    <w:p w14:paraId="54B322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rPr>
      </w:pPr>
      <w:r>
        <w:rPr>
          <w:rFonts w:hint="default"/>
        </w:rPr>
        <w:t>3.3 人文主义的表达</w:t>
      </w:r>
    </w:p>
    <w:p w14:paraId="5CE184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eastAsiaTheme="minorEastAsia"/>
          <w:lang w:val="en-US" w:eastAsia="zh-CN"/>
        </w:rPr>
      </w:pPr>
      <w:r>
        <w:rPr>
          <w:rFonts w:hint="default"/>
        </w:rPr>
        <w:t>尽管存在差异，中国与西方文学都在推动性别平等和人文关怀方面发挥了作用。文学作品通过展现不同性别角色的命运和抗争，传达了对个体尊严和自由的追求</w:t>
      </w:r>
      <w:r>
        <w:rPr>
          <w:rFonts w:hint="eastAsia"/>
          <w:lang w:eastAsia="zh-CN"/>
        </w:rPr>
        <w:t>。</w:t>
      </w:r>
      <w:r>
        <w:rPr>
          <w:rFonts w:hint="eastAsia"/>
          <w:lang w:val="en-US" w:eastAsia="zh-CN"/>
        </w:rPr>
        <w:t>但是人文主义表达中存在一定的共性：在表达男性为主的人文主义时更注重于表现主人公的抗争精神和积极反抗，而在女性的表达里却更倾向于描写苦难于压迫以讽刺女性光辉的难以彰显，相比于平铺直叙，这样的叙事方式使得人文主义的精神不那么直观和易于理解，这样的问题在当代作品中得到一定程度的缓解，更多正面的女性形象开始出现，但也在某种意义上反映了人文主义文学写作在性别上存在的潜在弊端和改进方向。</w:t>
      </w:r>
    </w:p>
    <w:p w14:paraId="054EA0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rPr>
      </w:pPr>
      <w:r>
        <w:rPr>
          <w:rFonts w:hint="eastAsia"/>
          <w:lang w:val="en-US" w:eastAsia="zh-CN"/>
        </w:rPr>
        <w:t>3.4</w:t>
      </w:r>
      <w:r>
        <w:rPr>
          <w:rFonts w:hint="default"/>
        </w:rPr>
        <w:t>结论</w:t>
      </w:r>
    </w:p>
    <w:p w14:paraId="42FC21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rPr>
      </w:pPr>
      <w:r>
        <w:rPr>
          <w:rFonts w:hint="default"/>
        </w:rPr>
        <w:t>性别与人文主义的关系在文学中表现为一种复杂的互动。中国与西方文学虽然在性别表现上有着不同的历史和文化背景，但都体现了对性别平等</w:t>
      </w:r>
      <w:r>
        <w:rPr>
          <w:rFonts w:hint="eastAsia"/>
          <w:lang w:val="en-US" w:eastAsia="zh-CN"/>
        </w:rPr>
        <w:t>的追求</w:t>
      </w:r>
      <w:r>
        <w:rPr>
          <w:rFonts w:hint="default"/>
        </w:rPr>
        <w:t>和个体尊严的人文关怀。通过比较分析，</w:t>
      </w:r>
      <w:r>
        <w:rPr>
          <w:rFonts w:hint="eastAsia"/>
          <w:lang w:val="en-US" w:eastAsia="zh-CN"/>
        </w:rPr>
        <w:t>我们看到了不同时代的文学在性别影响下呈现的不同人格塑造，看到了人文主义思想的趋于平等，看见了作家对于性别二元对立的关注和抗争，看到了</w:t>
      </w:r>
      <w:r>
        <w:rPr>
          <w:rFonts w:hint="default"/>
        </w:rPr>
        <w:t>女性作家为实现自身话语权解构男权主导体系的不懈努力与追求</w:t>
      </w:r>
      <w:r>
        <w:rPr>
          <w:rFonts w:hint="eastAsia"/>
          <w:lang w:eastAsia="zh-CN"/>
        </w:rPr>
        <w:t>。</w:t>
      </w:r>
      <w:r>
        <w:rPr>
          <w:rFonts w:hint="eastAsia"/>
          <w:lang w:val="en-US" w:eastAsia="zh-CN"/>
        </w:rPr>
        <w:t>我们得以</w:t>
      </w:r>
      <w:r>
        <w:rPr>
          <w:rFonts w:hint="default"/>
        </w:rPr>
        <w:t>更深入地理解文学作品中性别与人文主义的</w:t>
      </w:r>
      <w:r>
        <w:rPr>
          <w:rFonts w:hint="eastAsia"/>
          <w:lang w:val="en-US" w:eastAsia="zh-CN"/>
        </w:rPr>
        <w:t>密切交织</w:t>
      </w:r>
      <w:r>
        <w:rPr>
          <w:rFonts w:hint="default"/>
        </w:rPr>
        <w:t>，</w:t>
      </w:r>
      <w:r>
        <w:rPr>
          <w:rFonts w:hint="eastAsia"/>
          <w:lang w:val="en-US" w:eastAsia="zh-CN"/>
        </w:rPr>
        <w:t>对于</w:t>
      </w:r>
      <w:r>
        <w:rPr>
          <w:rFonts w:hint="default"/>
        </w:rPr>
        <w:t>如何建立人与自然和谐的生态文明社会</w:t>
      </w:r>
      <w:r>
        <w:rPr>
          <w:rFonts w:hint="eastAsia"/>
          <w:lang w:val="en-US" w:eastAsia="zh-CN"/>
        </w:rPr>
        <w:t>以及利用</w:t>
      </w:r>
      <w:r>
        <w:rPr>
          <w:rFonts w:hint="default"/>
        </w:rPr>
        <w:t>文学推动社会进步和文化发展</w:t>
      </w:r>
      <w:r>
        <w:rPr>
          <w:rFonts w:hint="eastAsia"/>
          <w:lang w:val="en-US" w:eastAsia="zh-CN"/>
        </w:rPr>
        <w:t>的方面具有</w:t>
      </w:r>
      <w:r>
        <w:rPr>
          <w:rFonts w:hint="default"/>
        </w:rPr>
        <w:t>重要作用。</w:t>
      </w:r>
    </w:p>
    <w:p w14:paraId="13C7F8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rPr>
      </w:pPr>
    </w:p>
    <w:p w14:paraId="27C3C5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
    <w:p>
      <w:r>
        <w:separator/>
      </w:r>
    </w:p>
  </w:footnote>
  <w:footnote w:type="continuationSeparator" w:id="15">
    <w:p>
      <w:r>
        <w:continuationSeparator/>
      </w:r>
    </w:p>
  </w:footnote>
  <w:footnote w:id="0">
    <w:p w14:paraId="6EBDE471">
      <w:pPr>
        <w:pStyle w:val="5"/>
        <w:snapToGrid w:val="0"/>
        <w:rPr>
          <w:rFonts w:hint="eastAsia" w:ascii="仿宋" w:hAnsi="仿宋" w:eastAsia="仿宋" w:cs="仿宋"/>
        </w:rPr>
      </w:pPr>
      <w:r>
        <w:rPr>
          <w:rStyle w:val="10"/>
          <w:rFonts w:hint="eastAsia" w:ascii="仿宋" w:hAnsi="仿宋" w:eastAsia="仿宋" w:cs="仿宋"/>
        </w:rPr>
        <w:footnoteRef/>
      </w:r>
      <w:r>
        <w:rPr>
          <w:rFonts w:hint="eastAsia" w:ascii="仿宋" w:hAnsi="仿宋" w:eastAsia="仿宋" w:cs="仿宋"/>
        </w:rPr>
        <w:t xml:space="preserve"> (英)阿伦·布洛克(AlanBullock)著;董东山译;.西方人文主义传统[M].三联书店,1997.</w:t>
      </w:r>
    </w:p>
  </w:footnote>
  <w:footnote w:id="1">
    <w:p w14:paraId="56ED2851">
      <w:pPr>
        <w:pStyle w:val="5"/>
        <w:snapToGrid w:val="0"/>
        <w:rPr>
          <w:rFonts w:hint="eastAsia" w:ascii="仿宋" w:hAnsi="仿宋" w:eastAsia="仿宋" w:cs="仿宋"/>
        </w:rPr>
      </w:pPr>
      <w:r>
        <w:rPr>
          <w:rStyle w:val="10"/>
          <w:rFonts w:hint="eastAsia" w:ascii="仿宋" w:hAnsi="仿宋" w:eastAsia="仿宋" w:cs="仿宋"/>
        </w:rPr>
        <w:footnoteRef/>
      </w:r>
      <w:r>
        <w:rPr>
          <w:rFonts w:hint="eastAsia" w:ascii="仿宋" w:hAnsi="仿宋" w:eastAsia="仿宋" w:cs="仿宋"/>
        </w:rPr>
        <w:t xml:space="preserve"> 董红新.萧红小说的女性人文主义视角[D].华侨大学,2013.</w:t>
      </w:r>
    </w:p>
    <w:p w14:paraId="4479A51F">
      <w:pPr>
        <w:pStyle w:val="5"/>
        <w:snapToGrid w:val="0"/>
      </w:pPr>
    </w:p>
  </w:footnote>
  <w:footnote w:id="2">
    <w:p w14:paraId="0BB3150D">
      <w:pPr>
        <w:pStyle w:val="5"/>
        <w:snapToGrid w:val="0"/>
        <w:jc w:val="both"/>
      </w:pPr>
      <w:r>
        <w:rPr>
          <w:rStyle w:val="10"/>
        </w:rPr>
        <w:footnoteRef/>
      </w:r>
      <w:r>
        <w:t xml:space="preserve"> </w:t>
      </w:r>
      <w:r>
        <w:rPr>
          <w:rFonts w:hint="eastAsia" w:ascii="仿宋" w:hAnsi="仿宋" w:eastAsia="仿宋" w:cs="仿宋"/>
        </w:rPr>
        <w:t>[1]裴涛.中国传统伦理道德vs基督教义、人文主义——浅析《窦娥冤》与《哈姆雷特》悲剧根源[J].课程教育研究,2015,(08):90-91.</w:t>
      </w:r>
    </w:p>
  </w:footnote>
  <w:footnote w:id="3">
    <w:p w14:paraId="3DCF757D">
      <w:pPr>
        <w:pStyle w:val="5"/>
        <w:snapToGrid w:val="0"/>
        <w:jc w:val="both"/>
        <w:rPr>
          <w:rFonts w:hint="eastAsia" w:ascii="仿宋" w:hAnsi="仿宋" w:eastAsia="仿宋" w:cs="仿宋"/>
        </w:rPr>
      </w:pPr>
      <w:r>
        <w:rPr>
          <w:rStyle w:val="10"/>
        </w:rPr>
        <w:footnoteRef/>
      </w:r>
      <w:r>
        <w:t xml:space="preserve"> </w:t>
      </w:r>
      <w:r>
        <w:rPr>
          <w:rFonts w:hint="eastAsia" w:ascii="仿宋" w:hAnsi="仿宋" w:eastAsia="仿宋" w:cs="仿宋"/>
        </w:rPr>
        <w:t>[1]梁梦鸽,谭惠娟.萧红之女性人文主义与艾利斯·沃克之女人主义对比分析[J].大众文艺,2018,(09):36-37.</w:t>
      </w:r>
    </w:p>
    <w:p w14:paraId="45E5D13A">
      <w:pPr>
        <w:pStyle w:val="5"/>
        <w:snapToGrid w:val="0"/>
        <w:jc w:val="both"/>
      </w:pPr>
    </w:p>
  </w:footnote>
  <w:footnote w:id="4">
    <w:p w14:paraId="1940DCB8">
      <w:pPr>
        <w:pStyle w:val="5"/>
        <w:snapToGrid w:val="0"/>
        <w:rPr>
          <w:sz w:val="24"/>
          <w:szCs w:val="24"/>
        </w:rPr>
      </w:pPr>
      <w:r>
        <w:rPr>
          <w:rStyle w:val="10"/>
        </w:rPr>
        <w:footnoteRef/>
      </w:r>
      <w:r>
        <w:t xml:space="preserve"> </w:t>
      </w:r>
      <w:r>
        <w:rPr>
          <w:rFonts w:hint="eastAsia" w:ascii="仿宋" w:hAnsi="仿宋" w:eastAsia="仿宋" w:cs="仿宋"/>
          <w:sz w:val="18"/>
          <w:szCs w:val="18"/>
          <w:lang w:val="en-US" w:eastAsia="zh-CN"/>
        </w:rPr>
        <w:t>中国作家网.李玲.中国当代女性文学主潮.2024-04-12（2024-12-29）</w:t>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"https://www.chinawriter.com.cn/n1/2024/0412/c458525-40215030.html" </w:instrText>
      </w:r>
      <w:r>
        <w:rPr>
          <w:rFonts w:hint="eastAsia" w:ascii="仿宋" w:hAnsi="仿宋" w:eastAsia="仿宋" w:cs="仿宋"/>
          <w:sz w:val="18"/>
          <w:szCs w:val="18"/>
        </w:rPr>
        <w:fldChar w:fldCharType="separate"/>
      </w:r>
      <w:r>
        <w:rPr>
          <w:rStyle w:val="9"/>
          <w:rFonts w:hint="eastAsia" w:ascii="仿宋" w:hAnsi="仿宋" w:eastAsia="仿宋" w:cs="仿宋"/>
          <w:sz w:val="18"/>
          <w:szCs w:val="18"/>
        </w:rPr>
        <w:t>中国当代女性文学主潮--专题--中国作家网</w:t>
      </w:r>
      <w:r>
        <w:rPr>
          <w:rFonts w:hint="eastAsia" w:ascii="仿宋" w:hAnsi="仿宋" w:eastAsia="仿宋" w:cs="仿宋"/>
          <w:sz w:val="18"/>
          <w:szCs w:val="18"/>
        </w:rPr>
        <w:fldChar w:fldCharType="end"/>
      </w:r>
    </w:p>
  </w:footnote>
  <w:footnote w:id="5">
    <w:p w14:paraId="34D2B76F">
      <w:pPr>
        <w:pStyle w:val="5"/>
        <w:snapToGrid w:val="0"/>
        <w:rPr>
          <w:rFonts w:hint="eastAsia" w:ascii="仿宋" w:hAnsi="仿宋" w:eastAsia="仿宋" w:cs="仿宋"/>
        </w:rPr>
      </w:pPr>
      <w:r>
        <w:rPr>
          <w:rStyle w:val="10"/>
        </w:rPr>
        <w:footnoteRef/>
      </w:r>
      <w:r>
        <w:rPr>
          <w:rFonts w:hint="eastAsia" w:ascii="仿宋" w:hAnsi="仿宋" w:eastAsia="仿宋" w:cs="仿宋"/>
        </w:rPr>
        <w:t xml:space="preserve"> 毛卫利.从《哈姆雷特》与《麦克白》的叙事对比看莎士比亚的人文主义[J].文学教育(上),2018,(05):54-55.DOI:10.16692/j.cnki.wxjys.2018.05.025.</w:t>
      </w:r>
    </w:p>
    <w:p w14:paraId="0E2A2B12">
      <w:pPr>
        <w:pStyle w:val="5"/>
        <w:snapToGrid w:val="0"/>
        <w:rPr>
          <w:rFonts w:hint="eastAsia" w:ascii="仿宋" w:hAnsi="仿宋" w:eastAsia="仿宋" w:cs="仿宋"/>
        </w:rPr>
      </w:pPr>
    </w:p>
  </w:footnote>
  <w:footnote w:id="6">
    <w:p w14:paraId="529FC734">
      <w:pPr>
        <w:pStyle w:val="5"/>
        <w:snapToGrid w:val="0"/>
        <w:rPr>
          <w:rFonts w:hint="eastAsia" w:ascii="仿宋" w:hAnsi="仿宋" w:eastAsia="仿宋" w:cs="仿宋"/>
        </w:rPr>
      </w:pPr>
      <w:r>
        <w:rPr>
          <w:rStyle w:val="10"/>
        </w:rPr>
        <w:footnoteRef/>
      </w:r>
      <w:r>
        <w:t xml:space="preserve"> </w:t>
      </w:r>
      <w:r>
        <w:rPr>
          <w:rFonts w:hint="eastAsia" w:ascii="仿宋" w:hAnsi="仿宋" w:eastAsia="仿宋" w:cs="仿宋"/>
        </w:rPr>
        <w:t>张钰涵.浅谈女性失语者——《哈姆雷特》《简·爱》的女性角色之比较研究[J].新纪实,2022,(08):64-67.</w:t>
      </w:r>
    </w:p>
    <w:p w14:paraId="70643786">
      <w:pPr>
        <w:pStyle w:val="5"/>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B0FE51"/>
    <w:multiLevelType w:val="singleLevel"/>
    <w:tmpl w:val="02B0FE51"/>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4"/>
    <w:footnote w:id="1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718E2"/>
    <w:rsid w:val="046A6BEE"/>
    <w:rsid w:val="04DF5F2E"/>
    <w:rsid w:val="051200B1"/>
    <w:rsid w:val="056C5A14"/>
    <w:rsid w:val="0D3A1F53"/>
    <w:rsid w:val="101051ED"/>
    <w:rsid w:val="130D4497"/>
    <w:rsid w:val="14F153BE"/>
    <w:rsid w:val="161377E5"/>
    <w:rsid w:val="1618030E"/>
    <w:rsid w:val="1B210BF7"/>
    <w:rsid w:val="1CCE26B8"/>
    <w:rsid w:val="1D0D2726"/>
    <w:rsid w:val="1D9751A0"/>
    <w:rsid w:val="1DDB6080"/>
    <w:rsid w:val="1FA26DFC"/>
    <w:rsid w:val="2107521D"/>
    <w:rsid w:val="21F91F85"/>
    <w:rsid w:val="22D5498F"/>
    <w:rsid w:val="253F67FF"/>
    <w:rsid w:val="259460D0"/>
    <w:rsid w:val="259568BD"/>
    <w:rsid w:val="27137296"/>
    <w:rsid w:val="27787DF0"/>
    <w:rsid w:val="27E558F1"/>
    <w:rsid w:val="28247630"/>
    <w:rsid w:val="2BE958BD"/>
    <w:rsid w:val="2D614E83"/>
    <w:rsid w:val="2E9F3EB4"/>
    <w:rsid w:val="2FD61B58"/>
    <w:rsid w:val="302C1778"/>
    <w:rsid w:val="30393E95"/>
    <w:rsid w:val="3148438F"/>
    <w:rsid w:val="315E54E6"/>
    <w:rsid w:val="31EA5447"/>
    <w:rsid w:val="3216448E"/>
    <w:rsid w:val="32BA306B"/>
    <w:rsid w:val="32D83E39"/>
    <w:rsid w:val="344B70B9"/>
    <w:rsid w:val="38AD71CE"/>
    <w:rsid w:val="39BC591B"/>
    <w:rsid w:val="3B215808"/>
    <w:rsid w:val="3BC62A80"/>
    <w:rsid w:val="3CCB40C7"/>
    <w:rsid w:val="3E55633E"/>
    <w:rsid w:val="3F06588A"/>
    <w:rsid w:val="40860A30"/>
    <w:rsid w:val="4392593E"/>
    <w:rsid w:val="469D4D26"/>
    <w:rsid w:val="46F74436"/>
    <w:rsid w:val="47B16CDB"/>
    <w:rsid w:val="4B425E9C"/>
    <w:rsid w:val="4EB76928"/>
    <w:rsid w:val="526708C5"/>
    <w:rsid w:val="53B7568E"/>
    <w:rsid w:val="562A1F38"/>
    <w:rsid w:val="5A1804F3"/>
    <w:rsid w:val="5C9347A9"/>
    <w:rsid w:val="5D2809F2"/>
    <w:rsid w:val="5EE22048"/>
    <w:rsid w:val="62430A86"/>
    <w:rsid w:val="63E15DFA"/>
    <w:rsid w:val="67E81BA5"/>
    <w:rsid w:val="68664B20"/>
    <w:rsid w:val="68924389"/>
    <w:rsid w:val="6A94006A"/>
    <w:rsid w:val="6D6102E9"/>
    <w:rsid w:val="6EF31A84"/>
    <w:rsid w:val="70052E70"/>
    <w:rsid w:val="71A52B5D"/>
    <w:rsid w:val="75F3041C"/>
    <w:rsid w:val="76726D86"/>
    <w:rsid w:val="77BA09E4"/>
    <w:rsid w:val="7B476A56"/>
    <w:rsid w:val="7B745231"/>
    <w:rsid w:val="7BB3231A"/>
    <w:rsid w:val="7CBB3234"/>
    <w:rsid w:val="7F9B5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note text"/>
    <w:basedOn w:val="1"/>
    <w:qFormat/>
    <w:uiPriority w:val="0"/>
    <w:pPr>
      <w:snapToGrid w:val="0"/>
      <w:jc w:val="left"/>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Hyperlink"/>
    <w:basedOn w:val="8"/>
    <w:qFormat/>
    <w:uiPriority w:val="0"/>
    <w:rPr>
      <w:color w:val="0000FF"/>
      <w:u w:val="single"/>
    </w:rPr>
  </w:style>
  <w:style w:type="character" w:styleId="10">
    <w:name w:val="footnote reference"/>
    <w:basedOn w:val="8"/>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3936</Words>
  <Characters>3965</Characters>
  <Lines>0</Lines>
  <Paragraphs>0</Paragraphs>
  <TotalTime>2</TotalTime>
  <ScaleCrop>false</ScaleCrop>
  <LinksUpToDate>false</LinksUpToDate>
  <CharactersWithSpaces>3990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2024-12-16T08:03:00Z</dcterms:created>
  <dc:creator/>
  <dcterms:modified xsi:type="dcterms:W3CDTF">2025-02-10T03:34:41Z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4CE40B1D52B1435BBCE3EC8D413EFAFE_12</vt:lpwstr>
  </property>
  <property fmtid="{D5CDD505-2E9C-101B-9397-08002B2CF9AE}" pid="4" name="KSOTemplateDocerSaveRecord">
    <vt:lpwstr>eyJoZGlkIjoiMDY5ODE2NTgzNTc3MWM0ZGFkYWQ0YTA0ODI1ZDllN2QiLCJ1c2VySWQiOiIyMjQ4MzEwNzcifQ==</vt:lpwstr>
  </property>
</Properties>
</file>