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FADAD">
      <w:pPr>
        <w:spacing w:before="240" w:line="360" w:lineRule="auto"/>
        <w:jc w:val="center"/>
        <w:rPr>
          <w:rFonts w:hint="eastAsia" w:ascii="宋体" w:hAnsi="宋体" w:eastAsia="宋体" w:cs="Times New Roman"/>
          <w:b w:val="0"/>
          <w:bCs w:val="0"/>
          <w:sz w:val="24"/>
          <w:szCs w:val="28"/>
          <w:lang w:val="en-US" w:eastAsia="zh-CN"/>
          <w14:ligatures w14:val="standardContextual"/>
        </w:rPr>
      </w:pPr>
      <w:r>
        <w:rPr>
          <w:rFonts w:hint="eastAsia" w:ascii="宋体" w:hAnsi="宋体" w:eastAsia="宋体" w:cs="Times New Roman"/>
          <w:b w:val="0"/>
          <w:bCs w:val="0"/>
          <w:sz w:val="28"/>
          <w:szCs w:val="32"/>
          <w:lang w:val="en-US" w:eastAsia="zh-CN"/>
          <w14:ligatures w14:val="standardContextual"/>
        </w:rPr>
        <w:t>AIGC发展的机遇挑战与建议总结</w:t>
      </w:r>
    </w:p>
    <w:p w14:paraId="04A9B9A8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一、AIGC发展的核心机遇</w:t>
      </w:r>
    </w:p>
    <w:p w14:paraId="632037E5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（一）内容生产方式的范式革新</w:t>
      </w:r>
    </w:p>
    <w:p w14:paraId="1AC95F52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AIGC技术最直接的变革体现在内容生产领域，推动了从“流程驱动”到“人机协同”的根本性转变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0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。传统的内容生产依赖于标准化的流程和人类的创意劳动，而AIGC的普及催生了“生成式生产”模式，使人工智能不仅替代重复性劳动，更开始承担知识性、创意性工作的初级部分。</w:t>
      </w:r>
    </w:p>
    <w:p w14:paraId="144BD536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在具体应用层面，AIGC已经展现了显著的生产力提升效果。例如，在编程、设计、文案、法律文书、市场分析等领域，人工智能可以生成草稿、提供方案、排查错误；在药品研发、材料科学、工程架构等领域，AIGC能够通过挖掘海量数据和模拟复杂场景，发现人类专家难以察觉的规律，不仅成为研发人员的助手，甚至在某些环节实现主导，极大地压缩了研发周期和成本。以影视领域为例，某平台通过AIGC实现剧本生成、分镜设计、角色建模与动画渲染的端到端自动化，将一部动画电影的制作周期从18个月压缩至6个月。</w:t>
      </w:r>
    </w:p>
    <w:p w14:paraId="68B76C89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（二）产业组织形态的结构性变革</w:t>
      </w:r>
    </w:p>
    <w:p w14:paraId="3CEE2214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的渗透打破了固有的产业边界，催生出更加灵活的网络状生态。在媒体、娱乐、教育等内容产业，AIGC工具极大地降低了专业内容生产的门槛。一个小团队甚至个人，借助AI也能产出接近专业水准的动画、音乐、课程。这种“去中心化”的生产与创作方式，使得创意产业的参与主体更加多元化。</w:t>
      </w:r>
    </w:p>
    <w:p w14:paraId="1314EC11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同时，即插即用的智能服务使得大模型通过API（应用程序接口）成为像水电煤一样的基础设施。各行各业的中小企业无需自建昂贵团队，即可按需调用最前沿的AI能力，快速开发个性化应用。以腾讯为例，其“智能体开发平台”和“腾讯元器”两大平台，大大降低了AI Agent搭建与使用的门槛，帮助企业客户和创作者安全、高效且便捷地搭建属于自己的智能体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1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。</w:t>
      </w:r>
    </w:p>
    <w:p w14:paraId="3A950061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AIGC在文旅产业的应用尤其体现了这种跨界融合的特点。2025年广东省评选的“人工智能+文旅“应用场景典型案例显示，AIGC已经深入融合到旅游服务、文化体验、景区管理等各个环节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2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。具体而言，“中旅国际目的地AI智能旅游平台”利用大模型与检索增强生成（RAG）技术，在智慧管理、营销与服务场景中，实现了旅游目的地业务的线上化与一体化运营管理；“久邦AI文化创意图像生成及处理平台”则通过计算机视觉与自然语言处理技术，将文化元素进行融合与再创造，为文化传承提供了有力支持；而“AI赋能端云协同的行浸式大空间VR项目”借助AI智能交互与多模态生成能力，在文博场馆、景区等场景实现了沉浸式体验的规模化应用。这些案例共同表明，AIGC正通过具体的项目实践，为文旅产业创造着管理增效、文化创新与体验升级等多维价值。</w:t>
      </w:r>
    </w:p>
    <w:p w14:paraId="6155F63B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（三） 新兴产业与市场的创造潜力</w:t>
      </w:r>
    </w:p>
    <w:p w14:paraId="3511BDD5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AIGC不仅深刻重塑传统产业格局，更开辟出前所未有的市场蓝海与商业模式。用户对生成内容日益增长的个性化需求（如风格、主题、情感等），正驱动技术向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“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可控生成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”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演进，并催生了蓬勃发展的定制化服务市场。尤其在医疗普惠、教育公平、文化传承等社会领域，AIGC展现出显著的正向外溢效应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——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例如AI赋能基层医疗、助力提升诊断可及性，以及数字化复原非遗文化等实践，无不彰显其作为社会进步引擎的深层价值。</w:t>
      </w:r>
    </w:p>
    <w:p w14:paraId="68ED8570">
      <w:pPr>
        <w:spacing w:line="360" w:lineRule="auto"/>
        <w:ind w:firstLine="480" w:firstLineChars="200"/>
        <w:rPr>
          <w:rFonts w:hint="default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腾讯推出的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“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AI全家桶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”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，则全面展现了AIGC在多生活场景下的应用潜力。在工作场景中，企业微信、腾讯会议、腾讯文档协同扮演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“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AI职场助手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”</w:t>
      </w:r>
      <w:r>
        <w:rPr>
          <w:rFonts w:hint="default" w:eastAsia="宋体"/>
          <w:sz w:val="24"/>
          <w:szCs w:val="24"/>
          <w:lang w:val="en-US" w:eastAsia="zh-CN"/>
          <w14:ligatures w14:val="standardContextual"/>
        </w:rPr>
        <w:t>，从智能办公到高效会议，再到多类型文档的智能生成，全面提升全链路工作效率；在学习场景中，QQ浏览器QBot整合AI搜索、阅读、办公、学习与写作等功能，助力知识获取与创作；在出行领域，腾讯地图新推出的旅游规划Agent，可基于用户需求一键生成个性化旅行攻略，让智能陪伴贯穿日常行程。</w:t>
      </w:r>
    </w:p>
    <w:p w14:paraId="427D52AC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</w:p>
    <w:p w14:paraId="4299E732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二、AIGC发展面临的主要挑战</w:t>
      </w:r>
    </w:p>
    <w:p w14:paraId="71B39E7B">
      <w:pPr>
        <w:spacing w:line="360" w:lineRule="auto"/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（一）技术可靠性瓶颈与模型局限性</w:t>
      </w:r>
    </w:p>
    <w:p w14:paraId="1F4DF416">
      <w:pPr>
        <w:spacing w:line="360" w:lineRule="auto"/>
        <w:ind w:firstLine="480" w:firstLineChars="200"/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尽管AIGC技术发展势头迅猛，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但就可靠性而言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仍面临多方面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压力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。其中一个核心问题在于模型的可解释性缺失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——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当前大多数生成模型的决策机制仍如同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“黑箱”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，使用户难以追溯内容生成的逻辑与依据，这一局限尤其制约了其在医疗诊断、金融风控等高敏感性、高风险场景中的深入应用。与此同时，数据偏见问题亦不容忽视：模型往往反映训练数据中存在的现实偏差，若不加以干预，可能持续复制乃至放大社会既有不平等，对公平性与责任伦理构成挑战。</w:t>
      </w:r>
    </w:p>
    <w:p w14:paraId="771F7EF6">
      <w:pPr>
        <w:spacing w:line="360" w:lineRule="auto"/>
        <w:ind w:firstLine="480" w:firstLineChars="200"/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技术快速迭代的特征亦带来持续的压力。模型的更新周期已普遍缩短至一到两年，意味着相关企业与开发者必须保持高强度的研发投入与技术跟进，这对资源有限的中小型企业构成了显著门槛。而在垂直行业落地过程中，AIGC还面临专业化适配的难题：一方面，高质量、场景化的训练数据往往稀缺；另一方面，如何将领域知识有效融入生成过程，确保输出内容的准确性与专业性，仍是当前需要攻克的关键课题。例如在医疗应用中，模型需紧密结合临床指南与病例库，以保证辅助诊断的可靠性；在金融场景中，则须嵌入反洗钱、信息披露等监管要求，并提升对专业术语与行业逻辑的深层理解能力。这些挑战共同凸显了AIGC走向成熟化、专业化应用仍需跨越的多重障碍。</w:t>
      </w:r>
    </w:p>
    <w:p w14:paraId="0F68F653">
      <w:pPr>
        <w:spacing w:line="360" w:lineRule="auto"/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（二）组织适应性与变革阻力</w:t>
      </w:r>
    </w:p>
    <w:p w14:paraId="658E5193">
      <w:pPr>
        <w:spacing w:line="360" w:lineRule="auto"/>
        <w:ind w:firstLine="480" w:firstLineChars="200"/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AIGC技术正加速向企业端渗透，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然而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实际落地过程不仅受限于技术瓶颈，更在组织层面遭遇深层阻力。零一万物联合创始人沈鹏飞指出</w:t>
      </w:r>
      <w:r>
        <w:rPr>
          <w:rStyle w:val="6"/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[</w:t>
      </w:r>
      <w:r>
        <w:rPr>
          <w:rStyle w:val="6"/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footnoteReference w:id="3"/>
      </w:r>
      <w:r>
        <w:rPr>
          <w:rStyle w:val="6"/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]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，当前生成式AI在企业中的推广面临三重关键障碍：人员认知的滞后与冲突、部门之间的壁垒高筑，以及内部能力缺失导致项目难以真正推行。</w:t>
      </w:r>
    </w:p>
    <w:p w14:paraId="282993EB">
      <w:pPr>
        <w:spacing w:line="360" w:lineRule="auto"/>
        <w:ind w:firstLine="480" w:firstLineChars="200"/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不同层级对AI的认知差异常常导致内部沟通与协作效率低下。许多中层管理者因担忧职能被弱化或权责变化而产生疑虑；与此同时，员工群体中普遍弥漫着对岗位被替代的焦虑，无形中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产生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对变革的消极情绪。长期存在的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“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部门墙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”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则进一步切断了数据的自然流动，使跨流程整合步履维艰。若具体观察，这些障碍多维度交织：在认知层面，理解断层与职业忧虑构成了显著阻力；在组织结构层面，数据孤岛与中层管理者的观望态度影响尤为直接；就能力而言，企业往往缺少既懂业务又精通AI的复合型人才，现有技术团队的技能结构也常与AI需求难以匹配；从流程角度看，现有工作模式与AI系统之间存在着兼容困境，改造与集成成本较高；再看投入维度，初期投资大、回报周期不明确，加之持续迭代所需的长线资源，都让企业在推进决策时趋于审慎。</w:t>
      </w:r>
    </w:p>
    <w:p w14:paraId="2757E42E">
      <w:pPr>
        <w:spacing w:line="360" w:lineRule="auto"/>
        <w:ind w:firstLine="480" w:firstLineChars="200"/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沈鹏飞强调，企业的AI转型本质上是一场必须由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“一把手”</w:t>
      </w:r>
      <w:r>
        <w:rPr>
          <w:rFonts w:hint="default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亲自引领的战略重塑，其意义远超技术工具的引入，更涉及组织架构、管理模式乃至文化的系统性革新。</w:t>
      </w:r>
    </w:p>
    <w:p w14:paraId="48811BA7">
      <w:pPr>
        <w:spacing w:line="360" w:lineRule="auto"/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F2DC044">
      <w:pPr>
        <w:numPr>
          <w:numId w:val="0"/>
        </w:numPr>
        <w:spacing w:line="360" w:lineRule="auto"/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三、</w:t>
      </w:r>
      <w:r>
        <w:rPr>
          <w:rFonts w:hint="eastAsia" w:eastAsia="宋体" w:asciiTheme="minorHAnsi" w:hAnsiTheme="minorHAnsi" w:cstheme="minorBidi"/>
          <w:kern w:val="2"/>
          <w:sz w:val="24"/>
          <w:szCs w:val="24"/>
          <w:lang w:val="en-US" w:eastAsia="zh-CN" w:bidi="ar-SA"/>
          <w14:ligatures w14:val="standardContextual"/>
        </w:rPr>
        <w:t>促进AIGC健康发展的系统性对策</w:t>
      </w:r>
    </w:p>
    <w:p w14:paraId="1545A500"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（一）筑牢根基：构建基础设施与协同治理体系</w:t>
      </w:r>
    </w:p>
    <w:p w14:paraId="70198094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面对AIGC带来的深刻变革，以前瞻性思维构建系统的治理框架与坚实的能力基础是首要任务。在法规与标准层面，亟需建立与技术发展同步的规则体系，核心在于明确AIGC生成内容的版权归属、责任主体与伦理边界。国家互联网信息办公室发布的《人工智能生成透明标识办法》是重要的初步探索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4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，但面对快速演进的技术，仍需更具弹性、覆盖生成、传播、使用全链条的立法与标准体系，以应对深度伪造、信息滥用等新型风险。</w:t>
      </w:r>
    </w:p>
    <w:p w14:paraId="14834F71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在能力基石方面，必须推动算力、数据与开源生态的普惠性建设。这包括规划与建设国家级算力网络，推动优质算力资源有序下沉与跨区域调度，降低广大中小企业与科研机构的创新门槛。同时，通过建设高质量开源数据集、促进安全合规的数据要素流通，以及扶持关键开源框架与模型社区，构建一个自主可控、开放协同的底层技术生态，为整个产业的繁荣提供可持续的公共支撑。</w:t>
      </w:r>
    </w:p>
    <w:p w14:paraId="031932B4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此外，治理机制本身也需要创新。政府角色应从单纯监管转向“引导+服务”，通过沙盒监管、标准合作等方式鼓励负责任创新。企业则需将安全与伦理内化于研发流程，建立贯穿模型训练、部署与反馈的治理闭环。行业组织、学术机构与公众等社会力量应通过参与标准制定、独立审计、内容反馈等方式，形成多层次、动态调整的治理合力，共同塑造可信赖的AIGC发展环境。</w:t>
      </w:r>
    </w:p>
    <w:p w14:paraId="71F4EA57"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（二）深化应用：驱动组织转型与场景化融合</w:t>
      </w:r>
    </w:p>
    <w:p w14:paraId="26065FBB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价值的真正释放，高度依赖于企业进行深刻而系统的能力重塑与业务融合。这首先是一场由核心决策层驱动的战略与组织变革：企业需将AI定位为重塑竞争力的核心战略，而非仅是一项技术工具。领导者必须亲自推动愿景落地，打破传统业务与技术之间的壁垒，建立跨职能的敏捷团队，并配套进行预算体系、考核指标与决策流程的调整，确保转型资源与执行力。</w:t>
      </w:r>
    </w:p>
    <w:p w14:paraId="3823B1E7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组织内部的协同模式与员工技能结构必须同步进化。这意味着要系统性地破解数据孤岛，通过构建统一的数据中台与API治理体系，使高质量数据能在合规前提下安全流动，为AI应用提供燃料。同时，针对从管理层到一线员工的“能力焦虑”，需设计分层次、与业务场景紧密结合的培训体系，并积极引入人机协作的新岗位设计，将员工的创造力与AI的效能相结合，实现生产力的升级而非简单替代。</w:t>
      </w:r>
    </w:p>
    <w:p w14:paraId="539C3367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最终，价值体现在与业务场景的深度融合上。摒弃“技术先行”的思维，转向“场景驱动”，企业应在营销、研发、客服、供应链等具体环节中寻找高价值、可闭环的切入点。对于绝大多数企业，关键在于对行业知识的深度数字化与模型微调能力，而非重复建设基础大模型。采用精益创业思路，通过MVP快速验证假设、收集反馈并迭代优化，能够以较低成本跑通“最后一公里”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5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，实现从技术潜力到商业价值的有效转化，并在此过程中积累独特的资产与竞争优势。</w:t>
      </w:r>
    </w:p>
    <w:p w14:paraId="1D022CE4"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（三）共建生态：提升全民素养和参与包容性治理</w:t>
      </w:r>
    </w:p>
    <w:p w14:paraId="7DA62923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AIGC的健康发展最终关乎社会福祉与文明进程，这要求超越技术本身，在社会层面构建包容、普惠、向善的适应性生态。其中，全民数字素养与AI能力的普遍提升是根基所在。一场新型的能力鸿沟正在形成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6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，社会有责任确保所有人，无论年龄、地域或背景，都拥有理解使用乃至审视AI的基本能力。这要求将AI通识教育、批判性思维与人机协作技能深度融入国民教育体系与终身学习框架，并通过公共图书馆、社区中心等渠道开展普及教育，防止技术红利加剧社会不平等。</w:t>
      </w:r>
    </w:p>
    <w:p w14:paraId="5B36F123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在赋能于个人之外，还需设计机制，拓宽社会多元力量参与治理的渠道。公众不仅是技术使用者，更应成为其发展方向的监督者与共塑者。这可通过建立便捷的公众反馈与投诉举报平台、支持独立第三方进行技术伦理评估、举办开放式的公民审议会议等方式实现。特别是在公共服务领域，AIGC的应用必须经历更广泛的公共讨论与伦理审查，确保其促进公平、增强包容，并保护弱势群体的权益。</w:t>
      </w:r>
    </w:p>
    <w:p w14:paraId="77D0DD37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面对技术带来的就业结构变迁、身份认同冲击与深层伦理困境，社会需要建立适应性制度与调整机制。政府、企业、工会、教育机构与社会组织应协同合作，研究劳动力市场变化趋势，完善就业辅导、技能转型与社会保障体系。同时，应推广类似“深聊会”的多元对话模式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[</w:t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footnoteReference w:id="7"/>
      </w:r>
      <w:r>
        <w:rPr>
          <w:rStyle w:val="6"/>
          <w:rFonts w:hint="eastAsia" w:eastAsia="宋体"/>
          <w:sz w:val="24"/>
          <w:szCs w:val="24"/>
          <w:lang w:val="en-US" w:eastAsia="zh-CN"/>
          <w14:ligatures w14:val="standardContextual"/>
        </w:rPr>
        <w:t>]</w:t>
      </w: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，常态化地汇聚各界声音，就AI时代的价值观、权利边界与社会契约进行深入理性的公共讨论，为形成广泛社会共识、制定审慎包容的政策提供思想基础，共同引导技术迈向以人为本的未来。</w:t>
      </w:r>
    </w:p>
    <w:p w14:paraId="47C80C93"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</w:p>
    <w:p w14:paraId="101B763E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四、结论与展望</w:t>
      </w:r>
    </w:p>
    <w:p w14:paraId="1233120D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AIGC技术正在以前所未有的深度与广度重塑着内容生产、产业运行与社会发展的基本形态。从用户规模的迅速增长到技术应用的纵深渗透，它已跨越早期的概念演示阶段，真正步入以价值创造为核心的成长期，成为驱动数字化转型不容忽视的力量。尤其在文旅融合、教育创新、智慧医疗等与民生紧密相关的领域，其赋能潜力已清晰可见。</w:t>
      </w:r>
    </w:p>
    <w:p w14:paraId="225E4AD1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然而，AIGC的广泛应用仍面临诸多现实挑战。技术的可靠性问题如模型可解释性不足、生成内容存在偏差等尚未完全解决，组织内部对变革的适应困难——如部门壁垒、人才结构滞后、转型成本压力——也在客观上延缓了其落地步伐。与此同时，伦理规范的缺失与社会共识的不足，使得技术的正向发展难以获得稳固的根基。这些技术、组织与社会层面的挑战交织在一起，构成了AIGC从潜力走向普及必须跨越的“商业化鸿沟”。</w:t>
      </w:r>
    </w:p>
    <w:p w14:paraId="4F313F77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要推动AIGC健康可持续发展，必须构建多方协同、动态适应的治理框架。在良性互动中引导AIGC“向善而行”，释放其作为社会进步引擎的长期价值。展望未来，AIGC将超越单一工具属性，逐渐演变为与人类协同共创的伙伴，推动内容生产迈入深度互动、共同进化的新阶段。其应用疆界也将持续拓宽，加速向商业创新、科学研究、工业智造等实体经济场景渗透融合，成为驱动各行业变革的通用型基础设施。人机关系正历经深刻重塑——从辅助转向共生：随着技术迭代与治理框架的不断完善，AIGC将不仅拓展人类认知与创造的边界，更可能在弥合发展差距、促进知识普惠等方面发挥关键作用，成为推动社会包容进步的重要基石。</w:t>
      </w:r>
    </w:p>
    <w:p w14:paraId="2F44D99F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</w:p>
    <w:p w14:paraId="1381DF7B">
      <w:pPr>
        <w:spacing w:line="360" w:lineRule="auto"/>
        <w:rPr>
          <w:rFonts w:hint="default" w:eastAsia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eastAsia="宋体"/>
          <w:sz w:val="24"/>
          <w:szCs w:val="24"/>
          <w:lang w:val="en-US" w:eastAsia="zh-CN"/>
          <w14:ligatures w14:val="standardContextual"/>
        </w:rPr>
        <w:t>参考文献：</w:t>
      </w:r>
    </w:p>
    <w:p w14:paraId="09FF34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景玥.《AIGC应用赋能千行百业发展报告》发布[EB/OL].人民网，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http://828.people.com.cn/n1/2025/0724/c447981-40528769.html，2025-07-25.</w:t>
      </w:r>
    </w:p>
    <w:p w14:paraId="2D6FC3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新华网.腾讯“AI全家桶”集中亮相世界人工智能大会[EB/OL].https://www.news.cn/tech/20250727/57c4e82511cf489882bab000fc0708d0/c.html，2025-07-27.</w:t>
      </w:r>
    </w:p>
    <w:p w14:paraId="13118F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广东省文化和旅游厅. 2025年广东“人工智能+文旅”应用场景典型案例和孵化项目详情（第一期）[EB/OL].https://whly.gd.gov.cn/news_newzwhd/content/post_4772435.html，2025-09-13.</w:t>
      </w:r>
    </w:p>
    <w:p w14:paraId="07B5F6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新华网.零一万物联合创始人沈鹏飞：破局生成式AI下半场需跨越六大鸿沟[EB/OL]. https://www.news.cn/digital/20250928/0e16853bc3974aec892d37457ffa1655/c.html，2025-09-28.</w:t>
      </w:r>
    </w:p>
    <w:p w14:paraId="594EBA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新华网.国家互联网信息办公室有关负责人就《人工智能生成合成内容标识办法》答记者问. https://www.news.cn/politics/20250314/a1b951d7fc3145deaa6c0f3410ef5aff/c.html，2025-03-14.</w:t>
      </w:r>
    </w:p>
    <w:p w14:paraId="268B67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半吊子全栈工匠. 2025大模型行业全景洞察：技术、生态与未来趋势[EB/OL].百度开发者中心，https://developer.baidu.com/article/detail.html?id=5312527，2025-12-06.</w:t>
      </w:r>
    </w:p>
    <w:p w14:paraId="642271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数字中国建设峰会官网. 5亿用户叩开智能时代的大门.https://www.digitalchina.gov.cn/2025/xwzx/qwfb/202510/t20251023_5221494.htm，2025-10-23.</w:t>
      </w:r>
    </w:p>
    <w:p w14:paraId="7DB838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left="0" w:leftChars="0" w:firstLine="403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  <w:t>深圳商报.深聊会｜聚焦“生成式人工智能发展与管理”如何给聪明的技术立规矩？[EB/OL].https://www.szzx.gov.cn/szzx/zxyw/content/post_1551166.html，2025-05-08.</w:t>
      </w:r>
    </w:p>
    <w:p w14:paraId="5B112F99">
      <w:pPr>
        <w:spacing w:line="360" w:lineRule="auto"/>
        <w:rPr>
          <w:rFonts w:hint="eastAsia" w:eastAsia="宋体"/>
          <w:sz w:val="24"/>
          <w:szCs w:val="24"/>
          <w:lang w:val="en-US" w:eastAsia="zh-CN"/>
          <w14:ligatures w14:val="standardContextual"/>
        </w:rPr>
      </w:pP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6">
    <w:p>
      <w:r>
        <w:separator/>
      </w:r>
    </w:p>
  </w:footnote>
  <w:footnote w:type="continuationSeparator" w:id="17">
    <w:p>
      <w:r>
        <w:continuationSeparator/>
      </w:r>
    </w:p>
  </w:footnote>
  <w:footnote w:id="0">
    <w:p w14:paraId="24101764">
      <w:pPr>
        <w:pStyle w:val="2"/>
        <w:snapToGrid w:val="0"/>
      </w:pPr>
      <w:r>
        <w:rPr>
          <w:rStyle w:val="6"/>
        </w:rPr>
        <w:t>[</w:t>
      </w:r>
      <w:r>
        <w:rPr>
          <w:rStyle w:val="6"/>
        </w:rPr>
        <w:footnoteRef/>
      </w:r>
      <w:r>
        <w:rPr>
          <w:rStyle w:val="6"/>
        </w:rPr>
        <w:t>]</w:t>
      </w:r>
      <w:r>
        <w:t xml:space="preserve">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景玥.《AIGC应用赋能千行百业发展报告》发布[EB/OL].人民网，http://828.people.com.cn/n1/2025/0724/c447981-40528769.html，2025-07-25.</w:t>
      </w:r>
    </w:p>
  </w:footnote>
  <w:footnote w:id="1">
    <w:p w14:paraId="3B0454EB">
      <w:pPr>
        <w:pStyle w:val="2"/>
        <w:snapToGrid w:val="0"/>
      </w:pPr>
      <w:r>
        <w:rPr>
          <w:rStyle w:val="6"/>
        </w:rPr>
        <w:t>[</w:t>
      </w:r>
      <w:r>
        <w:rPr>
          <w:rStyle w:val="6"/>
        </w:rPr>
        <w:footnoteRef/>
      </w:r>
      <w:r>
        <w:rPr>
          <w:rStyle w:val="6"/>
        </w:rPr>
        <w:t>]</w:t>
      </w:r>
      <w:r>
        <w:t xml:space="preserve">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  <w14:ligatures w14:val="standardContextual"/>
        </w:rPr>
        <w:t>新华网.腾讯“AI全家桶”集中亮相世界人工智能大会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[EB/OL]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  <w14:ligatures w14:val="standardContextual"/>
        </w:rPr>
        <w:t>.https://www.news.cn/tech/20250727/57c4e82511cf489882bab000fc0708d0/c.html，2025-07-27.</w:t>
      </w:r>
    </w:p>
  </w:footnote>
  <w:footnote w:id="2">
    <w:p w14:paraId="08BFC97A">
      <w:pPr>
        <w:widowControl w:val="0"/>
        <w:snapToGrid w:val="0"/>
        <w:jc w:val="left"/>
        <w:rPr>
          <w:rFonts w:hint="default"/>
          <w:lang w:val="en-US"/>
        </w:rPr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  <w14:ligatures w14:val="standardContextual"/>
        </w:rPr>
        <w:t>广东省文化和旅游厅. 2025年广东“人工智能+文旅“”应用场景典型案例和孵化项目详情（第一期）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[EB/OL]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  <w14:ligatures w14:val="standardContextual"/>
        </w:rPr>
        <w:t>.https://whly.gd.gov.cn/news_newzwhd/content/post_4772435.html，2025-09-13.=2003</w:t>
      </w:r>
    </w:p>
  </w:footnote>
  <w:footnote w:id="3">
    <w:p w14:paraId="43095C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jc w:val="left"/>
        <w:textAlignment w:val="auto"/>
        <w:rPr>
          <w:sz w:val="18"/>
          <w:szCs w:val="18"/>
        </w:rPr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新华网.零一万物联合创始人沈鹏飞：破局生成式AI下半场需跨越六大鸿沟[EB/OL]. https://www.news.cn/digital/20250928/0e16853bc3974aec892d37457ffa1655/c.html，2025-09-28.</w:t>
      </w:r>
    </w:p>
  </w:footnote>
  <w:footnote w:id="4">
    <w:p w14:paraId="436106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新华网.国家互联网信息办公室有关负责人就《人工智能生成合成内容标识办法》答记者问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[EB/OL]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. https://www.news.cn/politics/20250314/a1b951d7fc3145deaa6c0f3410ef5aff/c.html，2025-03-14.</w:t>
      </w:r>
    </w:p>
    <w:p w14:paraId="435E4D97">
      <w:pPr>
        <w:pStyle w:val="2"/>
        <w:snapToGrid w:val="0"/>
      </w:pPr>
    </w:p>
  </w:footnote>
  <w:footnote w:id="5">
    <w:p w14:paraId="7D3C7F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jc w:val="left"/>
        <w:textAlignment w:val="auto"/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半吊子全栈工匠. 2025大模型行业全景洞察：技术、生态与未来趋势[EB/OL].百度开发者中心，https://developer.baidu.com/article/detail.html?id=5312527，2025-12-06.</w:t>
      </w:r>
    </w:p>
  </w:footnote>
  <w:footnote w:id="6">
    <w:p w14:paraId="024E24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jc w:val="left"/>
        <w:textAlignment w:val="auto"/>
        <w:rPr>
          <w:rFonts w:hint="default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数字中国建设峰会官网. 5亿用户叩开智能时代的大门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[EB/OL].https://www.digitalchina.gov.cn/2025/xwzx/qwfb/202510/t20251023_5221494.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htm，2025-10-23.</w:t>
      </w:r>
    </w:p>
    <w:p w14:paraId="20A39162">
      <w:pPr>
        <w:pStyle w:val="2"/>
        <w:snapToGrid w:val="0"/>
      </w:pPr>
    </w:p>
  </w:footnote>
  <w:footnote w:id="7">
    <w:p w14:paraId="40A45E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  <w14:ligatures w14:val="standardContextual"/>
        </w:rPr>
      </w:pP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[</w:t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footnoteRef/>
      </w:r>
      <w:r>
        <w:rPr>
          <w:rStyle w:val="6"/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>]</w:t>
      </w:r>
      <w:r>
        <w:rPr>
          <w:rFonts w:hint="eastAsia" w:ascii="Times New Roman" w:hAnsi="Times New Roman" w:eastAsia="宋体" w:cs="Times New Roman"/>
          <w:kern w:val="2"/>
          <w:sz w:val="18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深圳商报.深聊会｜聚焦“生成式人工智能发展与管理“如何给聪明的技术立规矩？[EB/OL].</w:t>
      </w:r>
      <w:bookmarkStart w:id="0" w:name="_GoBack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https://www.szzx.gov.cn/szzx/zxyw/content/post_1551166.html</w:t>
      </w:r>
      <w:bookmarkEnd w:id="0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standardContextual"/>
        </w:rPr>
        <w:t>，2025-05-08.</w:t>
      </w:r>
    </w:p>
    <w:p w14:paraId="4C7710C5">
      <w:pPr>
        <w:pStyle w:val="2"/>
        <w:snapToGrid w:val="0"/>
      </w:pP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D853D"/>
    <w:multiLevelType w:val="singleLevel"/>
    <w:tmpl w:val="FBED853D"/>
    <w:lvl w:ilvl="0" w:tentative="0">
      <w:start w:val="1"/>
      <w:numFmt w:val="decimal"/>
      <w:suff w:val="nothing"/>
      <w:lvlText w:val="[%1]"/>
      <w:lvlJc w:val="left"/>
      <w:pPr>
        <w:ind w:left="227" w:firstLine="40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6"/>
    <w:footnote w:id="1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602FE"/>
    <w:rsid w:val="065602FE"/>
    <w:rsid w:val="354A587E"/>
    <w:rsid w:val="3F203556"/>
    <w:rsid w:val="65F8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footnote reference"/>
    <w:basedOn w:val="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4054</Words>
  <Characters>4260</Characters>
  <Lines>0</Lines>
  <Paragraphs>0</Paragraphs>
  <TotalTime>4</TotalTime>
  <ScaleCrop>false</ScaleCrop>
  <LinksUpToDate>false</LinksUpToDate>
  <CharactersWithSpaces>4264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2025-12-12T06:14:00Z</dcterms:created>
  <dc:creator/>
  <dcterms:modified xsi:type="dcterms:W3CDTF">2025-12-13T15:47:27Z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F304968B34E24D759B68E40F0BFD22D2_13</vt:lpwstr>
  </property>
  <property fmtid="{D5CDD505-2E9C-101B-9397-08002B2CF9AE}" pid="4" name="KSOTemplateDocerSaveRecord">
    <vt:lpwstr>eyJoZGlkIjoiMTIyZTY2NjZiNDhiZTFkZWYzMjUxMjEzOGQyOWFlOWMiLCJ1c2VySWQiOiIxNzUyODk5Njc2In0=</vt:lpwstr>
  </property>
</Properties>
</file>