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1D5574">
      <w:pPr>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jc w:val="center"/>
        <w:textAlignment w:val="auto"/>
        <w:rPr>
          <w:rFonts w:hint="eastAsia" w:ascii="黑体" w:hAnsi="黑体" w:eastAsia="黑体"/>
          <w:color w:val="000000"/>
          <w:sz w:val="28"/>
          <w:szCs w:val="28"/>
          <w:lang w:val="en-US" w:eastAsia="zh-CN"/>
        </w:rPr>
      </w:pPr>
      <w:r>
        <w:rPr>
          <w:rFonts w:hint="eastAsia" w:ascii="黑体" w:hAnsi="黑体" w:eastAsia="黑体"/>
          <w:color w:val="000000"/>
          <w:sz w:val="28"/>
          <w:szCs w:val="28"/>
          <w:lang w:val="en-US" w:eastAsia="zh-CN"/>
        </w:rPr>
        <w:t>人文学科通论（春季）课程介绍</w:t>
      </w:r>
    </w:p>
    <w:p w14:paraId="2E82C70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20" w:firstLineChars="200"/>
        <w:textAlignment w:val="auto"/>
        <w:rPr>
          <w:rFonts w:hint="eastAsia" w:ascii="宋体" w:hAnsi="宋体" w:eastAsia="宋体" w:cs="宋体"/>
          <w:color w:val="000000"/>
          <w:szCs w:val="21"/>
          <w:lang w:val="en-US" w:eastAsia="zh-CN"/>
        </w:rPr>
      </w:pPr>
    </w:p>
    <w:p w14:paraId="6E959B54">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本课程属于人文大类导论课程，面向人文科学试验班所属的人文学院、外国语学院、艺术与传媒学院等三个学院七个本科专业的大一学生进行授课。本课程力图为人文科学试验班新生拓展宏观知识视野，贯通人文科学知识体系。培养学生阅读经典文本的能力和思辨精神，加深对于中外文学、艺术、文化产业管理、哲学基本理论的认识。掌握中外文学、艺术、文化产业管理、哲学中的基本知识点和主要问题。</w:t>
      </w:r>
    </w:p>
    <w:p w14:paraId="134A635A">
      <w:pPr>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jc w:val="center"/>
        <w:textAlignment w:val="auto"/>
        <w:rPr>
          <w:rFonts w:hint="default" w:ascii="黑体" w:hAnsi="黑体" w:eastAsia="黑体"/>
          <w:color w:val="000000"/>
          <w:szCs w:val="21"/>
          <w:lang w:val="en-US" w:eastAsia="zh-CN"/>
        </w:rPr>
      </w:pPr>
    </w:p>
    <w:p w14:paraId="3F7C8D76">
      <w:pPr>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textAlignment w:val="auto"/>
        <w:rPr>
          <w:rFonts w:ascii="黑体" w:hAnsi="黑体" w:eastAsia="黑体"/>
          <w:color w:val="000000"/>
          <w:szCs w:val="21"/>
        </w:rPr>
      </w:pPr>
      <w:r>
        <w:rPr>
          <w:rFonts w:hint="eastAsia" w:ascii="黑体" w:hAnsi="黑体" w:eastAsia="黑体"/>
          <w:color w:val="000000"/>
          <w:szCs w:val="21"/>
          <w:lang w:val="en-US" w:eastAsia="zh-CN"/>
        </w:rPr>
        <w:t>一、春季学期</w:t>
      </w:r>
      <w:r>
        <w:rPr>
          <w:rFonts w:hint="eastAsia" w:ascii="黑体" w:hAnsi="黑体" w:eastAsia="黑体"/>
          <w:color w:val="000000"/>
          <w:szCs w:val="21"/>
        </w:rPr>
        <w:t>课程</w:t>
      </w:r>
      <w:r>
        <w:rPr>
          <w:rFonts w:hint="eastAsia" w:ascii="黑体" w:hAnsi="黑体" w:eastAsia="黑体"/>
          <w:color w:val="000000"/>
          <w:szCs w:val="21"/>
          <w:lang w:val="en-US" w:eastAsia="zh-CN"/>
        </w:rPr>
        <w:t>内容</w:t>
      </w:r>
    </w:p>
    <w:p w14:paraId="5BFB984D">
      <w:pPr>
        <w:keepNext w:val="0"/>
        <w:keepLines w:val="0"/>
        <w:pageBreakBefore w:val="0"/>
        <w:widowControl w:val="0"/>
        <w:kinsoku/>
        <w:wordWrap/>
        <w:overflowPunct/>
        <w:topLinePunct w:val="0"/>
        <w:autoSpaceDE/>
        <w:autoSpaceDN/>
        <w:bidi w:val="0"/>
        <w:adjustRightInd w:val="0"/>
        <w:snapToGrid w:val="0"/>
        <w:spacing w:line="400" w:lineRule="exact"/>
        <w:ind w:firstLine="425"/>
        <w:textAlignment w:val="auto"/>
        <w:rPr>
          <w:rFonts w:hint="eastAsia" w:ascii="宋体" w:hAnsi="宋体" w:cs="宋体"/>
          <w:color w:val="000000"/>
          <w:lang w:val="en-US" w:eastAsia="zh-CN"/>
        </w:rPr>
      </w:pPr>
      <w:r>
        <w:rPr>
          <w:rFonts w:hint="eastAsia" w:ascii="宋体" w:hAnsi="宋体" w:cs="宋体"/>
          <w:color w:val="000000"/>
          <w:lang w:val="en-US" w:eastAsia="zh-CN"/>
        </w:rPr>
        <w:t>本课程分秋季、春季两个学期共一学年进行教学。</w:t>
      </w:r>
      <w:r>
        <w:rPr>
          <w:rFonts w:hint="eastAsia" w:ascii="宋体" w:hAnsi="宋体" w:cs="宋体"/>
          <w:color w:val="000000"/>
          <w:lang w:eastAsia="zh-Hans"/>
        </w:rPr>
        <w:t>本</w:t>
      </w:r>
      <w:r>
        <w:rPr>
          <w:rFonts w:hint="eastAsia" w:ascii="宋体" w:hAnsi="宋体" w:cs="宋体"/>
          <w:color w:val="000000"/>
          <w:lang w:val="en-US" w:eastAsia="zh-CN"/>
        </w:rPr>
        <w:t>次</w:t>
      </w:r>
      <w:r>
        <w:rPr>
          <w:rFonts w:hint="eastAsia" w:ascii="宋体" w:hAnsi="宋体" w:cs="宋体"/>
          <w:color w:val="000000"/>
          <w:lang w:eastAsia="zh-Hans"/>
        </w:rPr>
        <w:t>课程</w:t>
      </w:r>
      <w:r>
        <w:rPr>
          <w:rFonts w:hint="eastAsia" w:ascii="宋体" w:hAnsi="宋体" w:cs="宋体"/>
          <w:color w:val="000000"/>
          <w:lang w:val="en-US" w:eastAsia="zh-CN"/>
        </w:rPr>
        <w:t>为春季学期，授课内容分三个版块：文化产业管理、文学理论、中国哲学。各版块授课核心问题意识和授课方法介绍如下：</w:t>
      </w:r>
    </w:p>
    <w:p w14:paraId="2B179977">
      <w:pPr>
        <w:keepNext w:val="0"/>
        <w:keepLines w:val="0"/>
        <w:pageBreakBefore w:val="0"/>
        <w:widowControl w:val="0"/>
        <w:numPr>
          <w:ilvl w:val="0"/>
          <w:numId w:val="1"/>
        </w:numPr>
        <w:kinsoku/>
        <w:wordWrap/>
        <w:overflowPunct/>
        <w:topLinePunct w:val="0"/>
        <w:autoSpaceDE/>
        <w:autoSpaceDN/>
        <w:bidi w:val="0"/>
        <w:adjustRightInd w:val="0"/>
        <w:snapToGrid w:val="0"/>
        <w:spacing w:line="400" w:lineRule="exact"/>
        <w:ind w:firstLine="420" w:firstLineChars="200"/>
        <w:textAlignment w:val="auto"/>
        <w:rPr>
          <w:rFonts w:hint="eastAsia" w:ascii="宋体" w:hAnsi="宋体" w:cs="宋体"/>
          <w:color w:val="000000"/>
          <w:lang w:val="en-US" w:eastAsia="zh-CN"/>
        </w:rPr>
      </w:pPr>
      <w:r>
        <w:rPr>
          <w:rFonts w:hint="eastAsia" w:ascii="宋体" w:hAnsi="宋体" w:cs="宋体"/>
          <w:color w:val="000000"/>
          <w:lang w:val="en-US" w:eastAsia="zh-CN"/>
        </w:rPr>
        <w:t>文化产业管理</w:t>
      </w:r>
    </w:p>
    <w:p w14:paraId="364789B7">
      <w:pPr>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ind w:firstLine="420" w:firstLineChars="200"/>
        <w:textAlignment w:val="auto"/>
        <w:rPr>
          <w:rFonts w:hint="default" w:ascii="宋体" w:hAnsi="宋体" w:cs="宋体"/>
          <w:color w:val="000000"/>
          <w:lang w:val="en-US" w:eastAsia="zh-CN"/>
        </w:rPr>
      </w:pPr>
      <w:r>
        <w:rPr>
          <w:rFonts w:hint="default" w:ascii="宋体" w:hAnsi="宋体" w:cs="宋体"/>
          <w:color w:val="000000"/>
          <w:lang w:val="en-US" w:eastAsia="zh-CN"/>
        </w:rPr>
        <w:t>文化产业管理的知识体系具有综合性、交叉性、实践型特点，涵盖了文化产业的生态链、产业链、价值链等丰富内容。通过学习文化产业基础理论知识，了解文化产业发展的历史演变，掌握文化战略、文化政策与法规、文化资源、文化产业集群、文化消费、文化品牌、文化创新、数字文化产业等较全面的文化产业知识，形成对文化产业的初步认知，为拓展综合性知识领域以及开展文化产业专业学习打下基础。</w:t>
      </w:r>
    </w:p>
    <w:p w14:paraId="6208E24F">
      <w:pPr>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ind w:firstLine="420" w:firstLineChars="200"/>
        <w:textAlignment w:val="auto"/>
        <w:rPr>
          <w:rFonts w:hint="default" w:ascii="宋体" w:hAnsi="宋体" w:cs="宋体"/>
          <w:color w:val="000000"/>
          <w:lang w:val="en-US" w:eastAsia="zh-CN"/>
        </w:rPr>
      </w:pPr>
      <w:r>
        <w:rPr>
          <w:rFonts w:hint="default" w:ascii="宋体" w:hAnsi="宋体" w:cs="宋体"/>
          <w:color w:val="000000"/>
          <w:lang w:val="en-US" w:eastAsia="zh-CN"/>
        </w:rPr>
        <w:t>本次课程讲授文化产业的基础理论知识，以及文化产业知识体系中的文化资源、文化产业集群、文化消费与品牌打造、数字文化产业的基本知识，让学生对文化产业有基本了解，并重点掌握文化资源保护与开发、文化产品生产、文化品牌打造、文化消费以及数字文化产业发展特征等知识，了解文化产业的发展规律和前沿动态，丰富学生的视野和思考问题的方式和角度。</w:t>
      </w:r>
    </w:p>
    <w:p w14:paraId="4923F693">
      <w:pPr>
        <w:keepNext w:val="0"/>
        <w:keepLines w:val="0"/>
        <w:pageBreakBefore w:val="0"/>
        <w:widowControl w:val="0"/>
        <w:numPr>
          <w:ilvl w:val="0"/>
          <w:numId w:val="1"/>
        </w:numPr>
        <w:kinsoku/>
        <w:wordWrap/>
        <w:overflowPunct/>
        <w:topLinePunct w:val="0"/>
        <w:autoSpaceDE/>
        <w:autoSpaceDN/>
        <w:bidi w:val="0"/>
        <w:adjustRightInd w:val="0"/>
        <w:snapToGrid w:val="0"/>
        <w:spacing w:line="400" w:lineRule="exact"/>
        <w:ind w:left="0" w:leftChars="0" w:firstLine="420" w:firstLineChars="200"/>
        <w:textAlignment w:val="auto"/>
        <w:rPr>
          <w:rFonts w:hint="eastAsia" w:ascii="宋体" w:hAnsi="宋体" w:cs="宋体"/>
          <w:color w:val="000000"/>
          <w:lang w:val="en-US" w:eastAsia="zh-CN"/>
        </w:rPr>
      </w:pPr>
      <w:r>
        <w:rPr>
          <w:rFonts w:hint="eastAsia" w:ascii="宋体" w:hAnsi="宋体" w:cs="宋体"/>
          <w:color w:val="000000"/>
          <w:lang w:val="en-US" w:eastAsia="zh-CN"/>
        </w:rPr>
        <w:t>文学理论</w:t>
      </w:r>
    </w:p>
    <w:p w14:paraId="303CD8CB">
      <w:pPr>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ind w:firstLine="420" w:firstLineChars="200"/>
        <w:textAlignment w:val="auto"/>
        <w:rPr>
          <w:rFonts w:hint="default" w:ascii="宋体" w:hAnsi="宋体" w:cs="宋体"/>
          <w:color w:val="000000"/>
          <w:lang w:val="en-US" w:eastAsia="zh-CN"/>
        </w:rPr>
      </w:pPr>
      <w:r>
        <w:rPr>
          <w:rFonts w:hint="eastAsia" w:ascii="宋体" w:hAnsi="宋体" w:cs="宋体"/>
          <w:color w:val="000000"/>
          <w:lang w:val="en-US" w:eastAsia="zh-CN"/>
        </w:rPr>
        <w:t>本次课程</w:t>
      </w:r>
      <w:r>
        <w:rPr>
          <w:rFonts w:hint="default" w:ascii="宋体" w:hAnsi="宋体" w:cs="宋体"/>
          <w:color w:val="000000"/>
          <w:lang w:val="en-US" w:eastAsia="zh-CN"/>
        </w:rPr>
        <w:t>旨在突破单一维度的文学阐释惯性，通过构建多层次的认知框架揭示文学活动的复杂性。课程从</w:t>
      </w:r>
      <w:r>
        <w:rPr>
          <w:rFonts w:hint="eastAsia" w:ascii="宋体" w:hAnsi="宋体" w:cs="宋体"/>
          <w:color w:val="000000"/>
          <w:lang w:val="en-US" w:eastAsia="zh-CN"/>
        </w:rPr>
        <w:t>文本细读、</w:t>
      </w:r>
      <w:r>
        <w:rPr>
          <w:rFonts w:hint="default" w:ascii="宋体" w:hAnsi="宋体" w:cs="宋体"/>
          <w:color w:val="000000"/>
          <w:lang w:val="en-US" w:eastAsia="zh-CN"/>
        </w:rPr>
        <w:t>人物与时代、概念与隐喻、共时性、历时性五个维度切入，帮助学生构建全面的文学研究方法体系。内容上涵盖了从具体到抽象、从微观到宏观的多个层面,包括人物研究、概念分析、文学争鸣、文体演变等。</w:t>
      </w:r>
    </w:p>
    <w:p w14:paraId="5AEB66A1">
      <w:pPr>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ind w:firstLine="420" w:firstLineChars="200"/>
        <w:textAlignment w:val="auto"/>
        <w:rPr>
          <w:rFonts w:hint="default" w:ascii="宋体" w:hAnsi="宋体" w:cs="宋体"/>
          <w:color w:val="000000"/>
          <w:lang w:val="en-US" w:eastAsia="zh-CN"/>
        </w:rPr>
      </w:pPr>
      <w:r>
        <w:rPr>
          <w:rFonts w:hint="eastAsia" w:ascii="宋体" w:hAnsi="宋体" w:cs="宋体"/>
          <w:color w:val="000000"/>
          <w:lang w:val="en-US" w:eastAsia="zh-CN"/>
        </w:rPr>
        <w:t>本次课程在</w:t>
      </w:r>
      <w:r>
        <w:rPr>
          <w:rFonts w:hint="default" w:ascii="宋体" w:hAnsi="宋体" w:cs="宋体"/>
          <w:color w:val="000000"/>
          <w:lang w:val="en-US" w:eastAsia="zh-CN"/>
        </w:rPr>
        <w:t>方法上强调理论与实践相结合,通过具体案例分析培养学生的问题意识和批判性思维能力。课程的问题意识在于探讨如何全面、深入地理解文学作品的内涵及其与社会、历史的关系,以及如何运用多元化的方法来揭示文学的特殊性与普遍性。</w:t>
      </w:r>
    </w:p>
    <w:p w14:paraId="2C3643ED">
      <w:pPr>
        <w:keepNext w:val="0"/>
        <w:keepLines w:val="0"/>
        <w:pageBreakBefore w:val="0"/>
        <w:widowControl w:val="0"/>
        <w:numPr>
          <w:ilvl w:val="0"/>
          <w:numId w:val="1"/>
        </w:numPr>
        <w:kinsoku/>
        <w:wordWrap/>
        <w:overflowPunct/>
        <w:topLinePunct w:val="0"/>
        <w:autoSpaceDE/>
        <w:autoSpaceDN/>
        <w:bidi w:val="0"/>
        <w:adjustRightInd w:val="0"/>
        <w:snapToGrid w:val="0"/>
        <w:spacing w:line="400" w:lineRule="exact"/>
        <w:ind w:left="0" w:leftChars="0" w:firstLine="420" w:firstLineChars="200"/>
        <w:textAlignment w:val="auto"/>
        <w:rPr>
          <w:rFonts w:hint="eastAsia" w:ascii="宋体" w:hAnsi="宋体" w:cs="宋体"/>
          <w:color w:val="000000"/>
          <w:lang w:val="en-US" w:eastAsia="zh-CN"/>
        </w:rPr>
      </w:pPr>
      <w:r>
        <w:rPr>
          <w:rFonts w:hint="eastAsia" w:ascii="宋体" w:hAnsi="宋体" w:cs="宋体"/>
          <w:color w:val="000000"/>
          <w:lang w:val="en-US" w:eastAsia="zh-CN"/>
        </w:rPr>
        <w:t>中国哲学</w:t>
      </w:r>
    </w:p>
    <w:p w14:paraId="7C219C96">
      <w:pPr>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ind w:firstLine="420"/>
        <w:textAlignment w:val="auto"/>
        <w:rPr>
          <w:rFonts w:hint="eastAsia"/>
        </w:rPr>
      </w:pPr>
      <w:r>
        <w:rPr>
          <w:rFonts w:hint="eastAsia"/>
        </w:rPr>
        <w:t>文字的诞生，凝聚着先民认识与理解自然、万物与人事的原初经验。不同的民族对万物的认识与理解相对不同，会衍生出不同文字，从而发展出具有民族地域特色的文明类型。文字要对应于物，“言之有物”，意味着要从万物中提炼出物本身最具代表性的信息，浓缩为一个符号，一个文字。造字意味着“格物”，文字是格物的结果。</w:t>
      </w:r>
    </w:p>
    <w:p w14:paraId="4BBEEBF4">
      <w:pPr>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ind w:firstLine="420"/>
        <w:textAlignment w:val="auto"/>
        <w:rPr>
          <w:rFonts w:hint="eastAsia"/>
        </w:rPr>
      </w:pPr>
      <w:r>
        <w:rPr>
          <w:rFonts w:hint="eastAsia"/>
        </w:rPr>
        <w:t>本次课程通过分析一系列相关文字的构成与内涵，还原古人“格物”的过程，让学生在这个过程中逐渐熟悉古人是如何经纬时空，认识万物，厘定万物的秩序，如何认识人自身以及人群的组织原则，他们的思维方式究是怎样的，从而丰富学生在如今思考问题的方式、方法、视野和视角。</w:t>
      </w:r>
    </w:p>
    <w:p w14:paraId="39B1324E">
      <w:pPr>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ind w:firstLine="420"/>
        <w:textAlignment w:val="auto"/>
        <w:rPr>
          <w:rFonts w:hint="eastAsia"/>
        </w:rPr>
      </w:pPr>
    </w:p>
    <w:p w14:paraId="0DD215D1">
      <w:pPr>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ind w:firstLine="420"/>
        <w:textAlignment w:val="auto"/>
        <w:rPr>
          <w:rFonts w:hint="eastAsia"/>
          <w:lang w:val="en-US" w:eastAsia="zh-CN"/>
        </w:rPr>
      </w:pPr>
      <w:r>
        <w:rPr>
          <w:rFonts w:hint="eastAsia"/>
          <w:lang w:val="en-US" w:eastAsia="zh-CN"/>
        </w:rPr>
        <w:t>各个板块具体授课内容如下：</w:t>
      </w:r>
    </w:p>
    <w:p w14:paraId="04F4356A">
      <w:pPr>
        <w:keepNext w:val="0"/>
        <w:keepLines w:val="0"/>
        <w:pageBreakBefore w:val="0"/>
        <w:widowControl w:val="0"/>
        <w:numPr>
          <w:ilvl w:val="0"/>
          <w:numId w:val="2"/>
        </w:numPr>
        <w:kinsoku/>
        <w:wordWrap/>
        <w:overflowPunct/>
        <w:topLinePunct w:val="0"/>
        <w:autoSpaceDE/>
        <w:autoSpaceDN/>
        <w:bidi w:val="0"/>
        <w:adjustRightInd w:val="0"/>
        <w:snapToGrid w:val="0"/>
        <w:spacing w:line="400" w:lineRule="exact"/>
        <w:ind w:leftChars="200"/>
        <w:textAlignment w:val="auto"/>
        <w:rPr>
          <w:rFonts w:hint="default"/>
          <w:lang w:val="en-US" w:eastAsia="zh-CN"/>
        </w:rPr>
      </w:pPr>
      <w:r>
        <w:rPr>
          <w:rFonts w:hint="eastAsia"/>
          <w:lang w:val="en-US" w:eastAsia="zh-CN"/>
        </w:rPr>
        <w:t>文化产业管理</w:t>
      </w:r>
    </w:p>
    <w:p w14:paraId="3E912575">
      <w:pPr>
        <w:keepNext w:val="0"/>
        <w:keepLines w:val="0"/>
        <w:pageBreakBefore w:val="0"/>
        <w:widowControl w:val="0"/>
        <w:kinsoku/>
        <w:wordWrap/>
        <w:overflowPunct/>
        <w:topLinePunct w:val="0"/>
        <w:autoSpaceDE/>
        <w:autoSpaceDN/>
        <w:bidi w:val="0"/>
        <w:spacing w:line="400" w:lineRule="exact"/>
        <w:ind w:firstLine="435"/>
        <w:jc w:val="both"/>
        <w:textAlignment w:val="auto"/>
        <w:rPr>
          <w:rFonts w:hint="eastAsia"/>
        </w:rPr>
      </w:pPr>
      <w:r>
        <w:rPr>
          <w:rFonts w:hint="eastAsia"/>
          <w:lang w:eastAsia="zh-CN"/>
        </w:rPr>
        <w:t>（</w:t>
      </w:r>
      <w:r>
        <w:rPr>
          <w:rFonts w:hint="eastAsia"/>
          <w:lang w:val="en-US" w:eastAsia="zh-CN"/>
        </w:rPr>
        <w:t>1</w:t>
      </w:r>
      <w:r>
        <w:rPr>
          <w:rFonts w:hint="eastAsia"/>
          <w:lang w:eastAsia="zh-CN"/>
        </w:rPr>
        <w:t>）</w:t>
      </w:r>
      <w:r>
        <w:rPr>
          <w:rFonts w:hint="eastAsia"/>
        </w:rPr>
        <w:t>. 文化产业基础理论及实践：结合文化产业发展历程，讲授马克思主义精神生产理论、法兰克福学派学派的文化工业理论等基本知识。</w:t>
      </w:r>
    </w:p>
    <w:p w14:paraId="6156C867">
      <w:pPr>
        <w:keepNext w:val="0"/>
        <w:keepLines w:val="0"/>
        <w:pageBreakBefore w:val="0"/>
        <w:widowControl w:val="0"/>
        <w:kinsoku/>
        <w:wordWrap/>
        <w:overflowPunct/>
        <w:topLinePunct w:val="0"/>
        <w:autoSpaceDE/>
        <w:autoSpaceDN/>
        <w:bidi w:val="0"/>
        <w:spacing w:line="400" w:lineRule="exact"/>
        <w:ind w:firstLine="435"/>
        <w:jc w:val="both"/>
        <w:textAlignment w:val="auto"/>
      </w:pPr>
      <w:r>
        <w:rPr>
          <w:rFonts w:hint="eastAsia"/>
          <w:lang w:eastAsia="zh-CN"/>
        </w:rPr>
        <w:t>（</w:t>
      </w:r>
      <w:r>
        <w:rPr>
          <w:rFonts w:hint="eastAsia"/>
          <w:lang w:val="en-US" w:eastAsia="zh-CN"/>
        </w:rPr>
        <w:t>2</w:t>
      </w:r>
      <w:r>
        <w:rPr>
          <w:rFonts w:hint="eastAsia"/>
          <w:lang w:eastAsia="zh-CN"/>
        </w:rPr>
        <w:t>）</w:t>
      </w:r>
      <w:r>
        <w:rPr>
          <w:rFonts w:hint="eastAsia"/>
        </w:rPr>
        <w:t>. 文化资源保护与开发：讲解文化资源的要素及分类，结合案例分析文化资源保护及开发的要点，提升对文化资源配置的认知能力。</w:t>
      </w:r>
    </w:p>
    <w:p w14:paraId="5952FB85">
      <w:pPr>
        <w:keepNext w:val="0"/>
        <w:keepLines w:val="0"/>
        <w:pageBreakBefore w:val="0"/>
        <w:widowControl w:val="0"/>
        <w:kinsoku/>
        <w:wordWrap/>
        <w:overflowPunct/>
        <w:topLinePunct w:val="0"/>
        <w:autoSpaceDE/>
        <w:autoSpaceDN/>
        <w:bidi w:val="0"/>
        <w:spacing w:line="400" w:lineRule="exact"/>
        <w:ind w:firstLine="435"/>
        <w:jc w:val="both"/>
        <w:textAlignment w:val="auto"/>
      </w:pPr>
      <w:r>
        <w:rPr>
          <w:rFonts w:hint="eastAsia"/>
          <w:lang w:eastAsia="zh-CN"/>
        </w:rPr>
        <w:t>（</w:t>
      </w:r>
      <w:r>
        <w:rPr>
          <w:rFonts w:hint="eastAsia"/>
          <w:lang w:val="en-US" w:eastAsia="zh-CN"/>
        </w:rPr>
        <w:t>3</w:t>
      </w:r>
      <w:r>
        <w:rPr>
          <w:rFonts w:hint="eastAsia"/>
          <w:lang w:eastAsia="zh-CN"/>
        </w:rPr>
        <w:t>）</w:t>
      </w:r>
      <w:r>
        <w:rPr>
          <w:rFonts w:hint="eastAsia"/>
        </w:rPr>
        <w:t>. 文化产业集群：讲授外部性理论、规模经济理论、协调发展理论、创新驱动理论，重点以波特的“钻石模型”分析国内外文化产业园区的经典案例。</w:t>
      </w:r>
    </w:p>
    <w:p w14:paraId="5F8810EE">
      <w:pPr>
        <w:keepNext w:val="0"/>
        <w:keepLines w:val="0"/>
        <w:pageBreakBefore w:val="0"/>
        <w:widowControl w:val="0"/>
        <w:kinsoku/>
        <w:wordWrap/>
        <w:overflowPunct/>
        <w:topLinePunct w:val="0"/>
        <w:autoSpaceDE/>
        <w:autoSpaceDN/>
        <w:bidi w:val="0"/>
        <w:spacing w:line="400" w:lineRule="exact"/>
        <w:ind w:firstLine="435"/>
        <w:jc w:val="both"/>
        <w:textAlignment w:val="auto"/>
      </w:pPr>
      <w:r>
        <w:rPr>
          <w:rFonts w:hint="eastAsia"/>
          <w:lang w:eastAsia="zh-CN"/>
        </w:rPr>
        <w:t>（</w:t>
      </w:r>
      <w:r>
        <w:rPr>
          <w:rFonts w:hint="eastAsia"/>
          <w:lang w:val="en-US" w:eastAsia="zh-CN"/>
        </w:rPr>
        <w:t>4</w:t>
      </w:r>
      <w:r>
        <w:rPr>
          <w:rFonts w:hint="eastAsia"/>
          <w:lang w:eastAsia="zh-CN"/>
        </w:rPr>
        <w:t>）</w:t>
      </w:r>
      <w:r>
        <w:rPr>
          <w:rFonts w:hint="eastAsia"/>
        </w:rPr>
        <w:t>. 文化消费与品牌打造：讲授文化消费的原理及特征，以及品牌基本理论，结合案例分析打造文化品牌，促进文化消费的路径。</w:t>
      </w:r>
    </w:p>
    <w:p w14:paraId="01FE5EB8">
      <w:pPr>
        <w:keepNext w:val="0"/>
        <w:keepLines w:val="0"/>
        <w:pageBreakBefore w:val="0"/>
        <w:widowControl w:val="0"/>
        <w:kinsoku/>
        <w:wordWrap/>
        <w:overflowPunct/>
        <w:topLinePunct w:val="0"/>
        <w:autoSpaceDE/>
        <w:autoSpaceDN/>
        <w:bidi w:val="0"/>
        <w:spacing w:line="400" w:lineRule="exact"/>
        <w:ind w:firstLine="435"/>
        <w:jc w:val="both"/>
        <w:textAlignment w:val="auto"/>
        <w:rPr>
          <w:rFonts w:hint="eastAsia"/>
        </w:rPr>
      </w:pPr>
      <w:r>
        <w:rPr>
          <w:rFonts w:hint="eastAsia"/>
          <w:lang w:eastAsia="zh-CN"/>
        </w:rPr>
        <w:t>（</w:t>
      </w:r>
      <w:r>
        <w:rPr>
          <w:rFonts w:hint="eastAsia"/>
          <w:lang w:val="en-US" w:eastAsia="zh-CN"/>
        </w:rPr>
        <w:t>5</w:t>
      </w:r>
      <w:r>
        <w:rPr>
          <w:rFonts w:hint="eastAsia"/>
          <w:lang w:eastAsia="zh-CN"/>
        </w:rPr>
        <w:t>）</w:t>
      </w:r>
      <w:r>
        <w:rPr>
          <w:rFonts w:hint="eastAsia"/>
        </w:rPr>
        <w:t>. 数字文化产业特征和新业态：结合数字经济时代的特点，分析数字文化产业的特点及发展趋势。</w:t>
      </w:r>
    </w:p>
    <w:p w14:paraId="5034ADF6">
      <w:pPr>
        <w:keepNext w:val="0"/>
        <w:keepLines w:val="0"/>
        <w:pageBreakBefore w:val="0"/>
        <w:widowControl w:val="0"/>
        <w:kinsoku/>
        <w:wordWrap/>
        <w:overflowPunct/>
        <w:topLinePunct w:val="0"/>
        <w:autoSpaceDE/>
        <w:autoSpaceDN/>
        <w:bidi w:val="0"/>
        <w:spacing w:line="400" w:lineRule="exact"/>
        <w:ind w:firstLine="435"/>
        <w:jc w:val="both"/>
        <w:textAlignment w:val="auto"/>
        <w:rPr>
          <w:rFonts w:hint="eastAsia"/>
          <w:lang w:val="en-US" w:eastAsia="zh-CN"/>
        </w:rPr>
      </w:pPr>
      <w:r>
        <w:rPr>
          <w:rFonts w:hint="eastAsia"/>
          <w:lang w:val="en-US" w:eastAsia="zh-CN"/>
        </w:rPr>
        <w:t>2. 文学理论</w:t>
      </w:r>
    </w:p>
    <w:p w14:paraId="066661D7">
      <w:pPr>
        <w:keepNext w:val="0"/>
        <w:keepLines w:val="0"/>
        <w:pageBreakBefore w:val="0"/>
        <w:widowControl w:val="0"/>
        <w:numPr>
          <w:ilvl w:val="0"/>
          <w:numId w:val="0"/>
        </w:numPr>
        <w:kinsoku/>
        <w:wordWrap/>
        <w:overflowPunct/>
        <w:topLinePunct w:val="0"/>
        <w:autoSpaceDE/>
        <w:autoSpaceDN/>
        <w:bidi w:val="0"/>
        <w:spacing w:line="400" w:lineRule="exact"/>
        <w:ind w:firstLine="420" w:firstLineChars="200"/>
        <w:textAlignment w:val="auto"/>
        <w:rPr>
          <w:rFonts w:hint="default"/>
          <w:lang w:val="en-US" w:eastAsia="zh-CN"/>
        </w:rPr>
      </w:pPr>
      <w:r>
        <w:rPr>
          <w:rFonts w:hint="eastAsia"/>
          <w:lang w:val="en-US" w:eastAsia="zh-CN"/>
        </w:rPr>
        <w:t>（1）. 如何阅读文学：通过细读《骆驼祥子》，了解文学阅读与研究的方法</w:t>
      </w:r>
    </w:p>
    <w:p w14:paraId="2A5D5B93">
      <w:pPr>
        <w:keepNext w:val="0"/>
        <w:keepLines w:val="0"/>
        <w:pageBreakBefore w:val="0"/>
        <w:widowControl w:val="0"/>
        <w:numPr>
          <w:ilvl w:val="0"/>
          <w:numId w:val="0"/>
        </w:numPr>
        <w:kinsoku/>
        <w:wordWrap/>
        <w:overflowPunct/>
        <w:topLinePunct w:val="0"/>
        <w:autoSpaceDE/>
        <w:autoSpaceDN/>
        <w:bidi w:val="0"/>
        <w:spacing w:line="400" w:lineRule="exact"/>
        <w:ind w:firstLine="420" w:firstLineChars="200"/>
        <w:textAlignment w:val="auto"/>
        <w:rPr>
          <w:rFonts w:hint="eastAsia"/>
          <w:lang w:val="en-US" w:eastAsia="zh-CN"/>
        </w:rPr>
      </w:pPr>
      <w:r>
        <w:rPr>
          <w:rFonts w:hint="eastAsia"/>
          <w:lang w:val="en-US" w:eastAsia="zh-CN"/>
        </w:rPr>
        <w:t>（2）. 知人论世：从具体人物和时代关系出发，讨论文学作品的内涵</w:t>
      </w:r>
    </w:p>
    <w:p w14:paraId="33356873">
      <w:pPr>
        <w:keepNext w:val="0"/>
        <w:keepLines w:val="0"/>
        <w:pageBreakBefore w:val="0"/>
        <w:widowControl w:val="0"/>
        <w:numPr>
          <w:ilvl w:val="0"/>
          <w:numId w:val="0"/>
        </w:numPr>
        <w:kinsoku/>
        <w:wordWrap/>
        <w:overflowPunct/>
        <w:topLinePunct w:val="0"/>
        <w:autoSpaceDE/>
        <w:autoSpaceDN/>
        <w:bidi w:val="0"/>
        <w:spacing w:line="400" w:lineRule="exact"/>
        <w:ind w:firstLine="420" w:firstLineChars="200"/>
        <w:textAlignment w:val="auto"/>
        <w:rPr>
          <w:rFonts w:hint="default"/>
          <w:lang w:val="en-US" w:eastAsia="zh-CN"/>
        </w:rPr>
      </w:pPr>
      <w:r>
        <w:rPr>
          <w:rFonts w:hint="eastAsia"/>
          <w:lang w:val="en-US" w:eastAsia="zh-CN"/>
        </w:rPr>
        <w:t>（3）. 文学概念与隐喻：从重要术语出发，理解文学思想的产生方式</w:t>
      </w:r>
    </w:p>
    <w:p w14:paraId="01FC9D29">
      <w:pPr>
        <w:keepNext w:val="0"/>
        <w:keepLines w:val="0"/>
        <w:pageBreakBefore w:val="0"/>
        <w:widowControl w:val="0"/>
        <w:numPr>
          <w:ilvl w:val="0"/>
          <w:numId w:val="0"/>
        </w:numPr>
        <w:kinsoku/>
        <w:wordWrap/>
        <w:overflowPunct/>
        <w:topLinePunct w:val="0"/>
        <w:autoSpaceDE/>
        <w:autoSpaceDN/>
        <w:bidi w:val="0"/>
        <w:spacing w:line="400" w:lineRule="exact"/>
        <w:ind w:firstLine="420" w:firstLineChars="200"/>
        <w:textAlignment w:val="auto"/>
        <w:rPr>
          <w:rFonts w:hint="default"/>
          <w:lang w:val="en-US" w:eastAsia="zh-CN"/>
        </w:rPr>
      </w:pPr>
      <w:r>
        <w:rPr>
          <w:rFonts w:hint="eastAsia"/>
          <w:lang w:val="en-US" w:eastAsia="zh-CN"/>
        </w:rPr>
        <w:t>（4）. 文学共时性：从论争出发，理解同时代作家之间联合与冲突的原因与影响</w:t>
      </w:r>
    </w:p>
    <w:p w14:paraId="77544AC2">
      <w:pPr>
        <w:keepNext w:val="0"/>
        <w:keepLines w:val="0"/>
        <w:pageBreakBefore w:val="0"/>
        <w:widowControl w:val="0"/>
        <w:numPr>
          <w:ilvl w:val="0"/>
          <w:numId w:val="0"/>
        </w:numPr>
        <w:kinsoku/>
        <w:wordWrap/>
        <w:overflowPunct/>
        <w:topLinePunct w:val="0"/>
        <w:autoSpaceDE/>
        <w:autoSpaceDN/>
        <w:bidi w:val="0"/>
        <w:spacing w:line="400" w:lineRule="exact"/>
        <w:ind w:firstLine="420" w:firstLineChars="200"/>
        <w:textAlignment w:val="auto"/>
        <w:rPr>
          <w:rFonts w:hint="default"/>
          <w:lang w:val="en-US" w:eastAsia="zh-CN"/>
        </w:rPr>
      </w:pPr>
      <w:r>
        <w:rPr>
          <w:rFonts w:hint="eastAsia"/>
          <w:lang w:val="en-US" w:eastAsia="zh-CN"/>
        </w:rPr>
        <w:t>（5）. 文学历时性：从文体出发，理解文学演化的逻辑和分野</w:t>
      </w:r>
    </w:p>
    <w:p w14:paraId="431050DA">
      <w:pPr>
        <w:keepNext w:val="0"/>
        <w:keepLines w:val="0"/>
        <w:pageBreakBefore w:val="0"/>
        <w:widowControl w:val="0"/>
        <w:numPr>
          <w:ilvl w:val="0"/>
          <w:numId w:val="0"/>
        </w:numPr>
        <w:kinsoku/>
        <w:wordWrap/>
        <w:overflowPunct/>
        <w:topLinePunct w:val="0"/>
        <w:autoSpaceDE/>
        <w:autoSpaceDN/>
        <w:bidi w:val="0"/>
        <w:spacing w:line="400" w:lineRule="exact"/>
        <w:ind w:firstLine="420" w:firstLineChars="200"/>
        <w:textAlignment w:val="auto"/>
        <w:rPr>
          <w:rFonts w:hint="eastAsia"/>
          <w:lang w:val="en-US" w:eastAsia="zh-CN"/>
        </w:rPr>
      </w:pPr>
      <w:r>
        <w:rPr>
          <w:rFonts w:hint="eastAsia"/>
          <w:lang w:val="en-US" w:eastAsia="zh-CN"/>
        </w:rPr>
        <w:t>3. 中国哲学</w:t>
      </w:r>
    </w:p>
    <w:p w14:paraId="3117907B">
      <w:pPr>
        <w:keepNext w:val="0"/>
        <w:keepLines w:val="0"/>
        <w:pageBreakBefore w:val="0"/>
        <w:widowControl w:val="0"/>
        <w:kinsoku/>
        <w:wordWrap/>
        <w:overflowPunct/>
        <w:topLinePunct w:val="0"/>
        <w:autoSpaceDE/>
        <w:autoSpaceDN/>
        <w:bidi w:val="0"/>
        <w:spacing w:line="400" w:lineRule="exact"/>
        <w:ind w:firstLine="435"/>
        <w:jc w:val="both"/>
        <w:textAlignment w:val="auto"/>
      </w:pPr>
      <w:r>
        <w:rPr>
          <w:rFonts w:hint="eastAsia"/>
          <w:lang w:eastAsia="zh-CN"/>
        </w:rPr>
        <w:t>（</w:t>
      </w:r>
      <w:r>
        <w:rPr>
          <w:rFonts w:hint="eastAsia"/>
          <w:lang w:val="en-US" w:eastAsia="zh-CN"/>
        </w:rPr>
        <w:t>1</w:t>
      </w:r>
      <w:r>
        <w:rPr>
          <w:rFonts w:hint="eastAsia"/>
          <w:lang w:eastAsia="zh-CN"/>
        </w:rPr>
        <w:t>）</w:t>
      </w:r>
      <w:r>
        <w:rPr>
          <w:rFonts w:hint="eastAsia"/>
          <w:lang w:val="en-US" w:eastAsia="zh-CN"/>
        </w:rPr>
        <w:t xml:space="preserve">. </w:t>
      </w:r>
      <w:r>
        <w:rPr>
          <w:rFonts w:hint="eastAsia"/>
        </w:rPr>
        <w:t>思维与政治：从思想与思维的特点，讨论政治的逻辑。</w:t>
      </w:r>
    </w:p>
    <w:p w14:paraId="5D926C0E">
      <w:pPr>
        <w:keepNext w:val="0"/>
        <w:keepLines w:val="0"/>
        <w:pageBreakBefore w:val="0"/>
        <w:widowControl w:val="0"/>
        <w:kinsoku/>
        <w:wordWrap/>
        <w:overflowPunct/>
        <w:topLinePunct w:val="0"/>
        <w:autoSpaceDE/>
        <w:autoSpaceDN/>
        <w:bidi w:val="0"/>
        <w:spacing w:line="400" w:lineRule="exact"/>
        <w:ind w:firstLine="435"/>
        <w:jc w:val="both"/>
        <w:textAlignment w:val="auto"/>
      </w:pPr>
      <w:r>
        <w:rPr>
          <w:rFonts w:hint="eastAsia"/>
          <w:lang w:eastAsia="zh-CN"/>
        </w:rPr>
        <w:t>（</w:t>
      </w:r>
      <w:r>
        <w:rPr>
          <w:rFonts w:hint="eastAsia"/>
          <w:lang w:val="en-US" w:eastAsia="zh-CN"/>
        </w:rPr>
        <w:t>2</w:t>
      </w:r>
      <w:r>
        <w:rPr>
          <w:rFonts w:hint="eastAsia"/>
          <w:lang w:eastAsia="zh-CN"/>
        </w:rPr>
        <w:t>）</w:t>
      </w:r>
      <w:r>
        <w:rPr>
          <w:rFonts w:hint="eastAsia"/>
          <w:lang w:val="en-US" w:eastAsia="zh-CN"/>
        </w:rPr>
        <w:t xml:space="preserve">. </w:t>
      </w:r>
      <w:r>
        <w:rPr>
          <w:rFonts w:hint="eastAsia"/>
        </w:rPr>
        <w:t>思维与经典：从思想与思维的特点，理解经艺的诞生与性质。</w:t>
      </w:r>
    </w:p>
    <w:p w14:paraId="63B19AE0">
      <w:pPr>
        <w:keepNext w:val="0"/>
        <w:keepLines w:val="0"/>
        <w:pageBreakBefore w:val="0"/>
        <w:widowControl w:val="0"/>
        <w:kinsoku/>
        <w:wordWrap/>
        <w:overflowPunct/>
        <w:topLinePunct w:val="0"/>
        <w:autoSpaceDE/>
        <w:autoSpaceDN/>
        <w:bidi w:val="0"/>
        <w:spacing w:line="400" w:lineRule="exact"/>
        <w:ind w:firstLine="435"/>
        <w:jc w:val="both"/>
        <w:textAlignment w:val="auto"/>
      </w:pPr>
      <w:r>
        <w:rPr>
          <w:rFonts w:hint="eastAsia"/>
          <w:lang w:eastAsia="zh-CN"/>
        </w:rPr>
        <w:t>（</w:t>
      </w:r>
      <w:r>
        <w:rPr>
          <w:rFonts w:hint="eastAsia"/>
          <w:lang w:val="en-US" w:eastAsia="zh-CN"/>
        </w:rPr>
        <w:t>3</w:t>
      </w:r>
      <w:r>
        <w:rPr>
          <w:rFonts w:hint="eastAsia"/>
          <w:lang w:eastAsia="zh-CN"/>
        </w:rPr>
        <w:t>）</w:t>
      </w:r>
      <w:r>
        <w:rPr>
          <w:rFonts w:hint="eastAsia"/>
          <w:lang w:val="en-US" w:eastAsia="zh-CN"/>
        </w:rPr>
        <w:t xml:space="preserve">. </w:t>
      </w:r>
      <w:r>
        <w:rPr>
          <w:rFonts w:hint="eastAsia"/>
        </w:rPr>
        <w:t>阴阳与自然：从阴阳背后的实质入手，切入对“自然”性质的讨论。</w:t>
      </w:r>
    </w:p>
    <w:p w14:paraId="39E32461">
      <w:pPr>
        <w:keepNext w:val="0"/>
        <w:keepLines w:val="0"/>
        <w:pageBreakBefore w:val="0"/>
        <w:widowControl w:val="0"/>
        <w:kinsoku/>
        <w:wordWrap/>
        <w:overflowPunct/>
        <w:topLinePunct w:val="0"/>
        <w:autoSpaceDE/>
        <w:autoSpaceDN/>
        <w:bidi w:val="0"/>
        <w:spacing w:line="400" w:lineRule="exact"/>
        <w:ind w:firstLine="435"/>
        <w:jc w:val="both"/>
        <w:textAlignment w:val="auto"/>
      </w:pPr>
      <w:r>
        <w:rPr>
          <w:rFonts w:hint="eastAsia"/>
          <w:lang w:eastAsia="zh-CN"/>
        </w:rPr>
        <w:t>（</w:t>
      </w:r>
      <w:r>
        <w:rPr>
          <w:rFonts w:hint="eastAsia"/>
          <w:lang w:val="en-US" w:eastAsia="zh-CN"/>
        </w:rPr>
        <w:t>4</w:t>
      </w:r>
      <w:r>
        <w:rPr>
          <w:rFonts w:hint="eastAsia"/>
          <w:lang w:eastAsia="zh-CN"/>
        </w:rPr>
        <w:t>）</w:t>
      </w:r>
      <w:r>
        <w:rPr>
          <w:rFonts w:hint="eastAsia"/>
          <w:lang w:val="en-US" w:eastAsia="zh-CN"/>
        </w:rPr>
        <w:t xml:space="preserve">. </w:t>
      </w:r>
      <w:r>
        <w:rPr>
          <w:rFonts w:hint="eastAsia"/>
        </w:rPr>
        <w:t>格物与哲学：古人如何认识“物”，由此讨论古典中国“哲学”的性质。</w:t>
      </w:r>
    </w:p>
    <w:p w14:paraId="14285E67">
      <w:pPr>
        <w:keepNext w:val="0"/>
        <w:keepLines w:val="0"/>
        <w:pageBreakBefore w:val="0"/>
        <w:widowControl w:val="0"/>
        <w:kinsoku/>
        <w:wordWrap/>
        <w:overflowPunct/>
        <w:topLinePunct w:val="0"/>
        <w:autoSpaceDE/>
        <w:autoSpaceDN/>
        <w:bidi w:val="0"/>
        <w:spacing w:line="400" w:lineRule="exact"/>
        <w:ind w:firstLine="435"/>
        <w:jc w:val="both"/>
        <w:textAlignment w:val="auto"/>
        <w:rPr>
          <w:rFonts w:hint="eastAsia"/>
        </w:rPr>
      </w:pPr>
      <w:r>
        <w:rPr>
          <w:rFonts w:hint="eastAsia"/>
          <w:lang w:eastAsia="zh-CN"/>
        </w:rPr>
        <w:t>（</w:t>
      </w:r>
      <w:r>
        <w:rPr>
          <w:rFonts w:hint="eastAsia"/>
          <w:lang w:val="en-US" w:eastAsia="zh-CN"/>
        </w:rPr>
        <w:t>5</w:t>
      </w:r>
      <w:r>
        <w:rPr>
          <w:rFonts w:hint="eastAsia"/>
          <w:lang w:eastAsia="zh-CN"/>
        </w:rPr>
        <w:t>）</w:t>
      </w:r>
      <w:r>
        <w:rPr>
          <w:rFonts w:hint="eastAsia"/>
          <w:lang w:val="en-US" w:eastAsia="zh-CN"/>
        </w:rPr>
        <w:t xml:space="preserve">. </w:t>
      </w:r>
      <w:r>
        <w:rPr>
          <w:rFonts w:hint="eastAsia"/>
        </w:rPr>
        <w:t>时空与中国：从四时四方的辨析，深入理解“中国”的名义。</w:t>
      </w:r>
    </w:p>
    <w:p w14:paraId="2E679593">
      <w:pPr>
        <w:keepNext w:val="0"/>
        <w:keepLines w:val="0"/>
        <w:pageBreakBefore w:val="0"/>
        <w:widowControl w:val="0"/>
        <w:kinsoku/>
        <w:wordWrap/>
        <w:overflowPunct/>
        <w:topLinePunct w:val="0"/>
        <w:autoSpaceDE/>
        <w:autoSpaceDN/>
        <w:bidi w:val="0"/>
        <w:spacing w:line="400" w:lineRule="exact"/>
        <w:ind w:firstLine="435"/>
        <w:jc w:val="both"/>
        <w:textAlignment w:val="auto"/>
        <w:rPr>
          <w:rFonts w:hint="eastAsia"/>
        </w:rPr>
      </w:pPr>
    </w:p>
    <w:p w14:paraId="03BC6742">
      <w:pPr>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textAlignment w:val="auto"/>
        <w:rPr>
          <w:rFonts w:hint="default" w:ascii="黑体" w:hAnsi="黑体" w:eastAsia="黑体"/>
          <w:color w:val="000000"/>
          <w:szCs w:val="21"/>
          <w:lang w:val="en-US"/>
        </w:rPr>
      </w:pPr>
      <w:r>
        <w:rPr>
          <w:rFonts w:hint="eastAsia" w:ascii="黑体" w:hAnsi="黑体" w:eastAsia="黑体"/>
          <w:color w:val="000000"/>
          <w:szCs w:val="21"/>
          <w:lang w:val="en-US" w:eastAsia="zh-CN"/>
        </w:rPr>
        <w:t>二、任课教师简介及授课方式</w:t>
      </w:r>
    </w:p>
    <w:p w14:paraId="471FCCC6">
      <w:pPr>
        <w:keepNext w:val="0"/>
        <w:keepLines w:val="0"/>
        <w:pageBreakBefore w:val="0"/>
        <w:widowControl w:val="0"/>
        <w:numPr>
          <w:ilvl w:val="0"/>
          <w:numId w:val="3"/>
        </w:numPr>
        <w:kinsoku/>
        <w:wordWrap/>
        <w:overflowPunct/>
        <w:topLinePunct w:val="0"/>
        <w:autoSpaceDE/>
        <w:autoSpaceDN/>
        <w:bidi w:val="0"/>
        <w:spacing w:before="31" w:beforeLines="10" w:line="400" w:lineRule="exact"/>
        <w:ind w:firstLine="420" w:firstLineChars="200"/>
        <w:textAlignment w:val="auto"/>
      </w:pPr>
      <w:r>
        <w:rPr>
          <w:rFonts w:hint="eastAsia"/>
        </w:rPr>
        <w:t>夏洁秋，主要研究文化产业规划与管理，文化政策等。讲授《文化产业概论》《管理学原理》《文化产业政策与法规》等课程。</w:t>
      </w:r>
    </w:p>
    <w:p w14:paraId="16599C44">
      <w:pPr>
        <w:keepNext w:val="0"/>
        <w:keepLines w:val="0"/>
        <w:pageBreakBefore w:val="0"/>
        <w:widowControl w:val="0"/>
        <w:numPr>
          <w:ilvl w:val="0"/>
          <w:numId w:val="0"/>
        </w:numPr>
        <w:kinsoku/>
        <w:wordWrap/>
        <w:overflowPunct/>
        <w:topLinePunct w:val="0"/>
        <w:autoSpaceDE/>
        <w:autoSpaceDN/>
        <w:bidi w:val="0"/>
        <w:spacing w:before="31" w:beforeLines="10" w:line="400" w:lineRule="exact"/>
        <w:textAlignment w:val="auto"/>
        <w:rPr>
          <w:rFonts w:hint="default" w:eastAsiaTheme="minorEastAsia"/>
          <w:lang w:val="en-US" w:eastAsia="zh-CN"/>
        </w:rPr>
      </w:pPr>
      <w:r>
        <w:rPr>
          <w:rFonts w:hint="eastAsia"/>
          <w:lang w:val="en-US" w:eastAsia="zh-CN"/>
        </w:rPr>
        <w:t xml:space="preserve">    联系方式：xiajieqiu@tongji.edu.cn</w:t>
      </w:r>
    </w:p>
    <w:p w14:paraId="1F7A473D">
      <w:pPr>
        <w:keepNext w:val="0"/>
        <w:keepLines w:val="0"/>
        <w:pageBreakBefore w:val="0"/>
        <w:widowControl w:val="0"/>
        <w:numPr>
          <w:ilvl w:val="0"/>
          <w:numId w:val="3"/>
        </w:numPr>
        <w:kinsoku/>
        <w:wordWrap/>
        <w:overflowPunct/>
        <w:topLinePunct w:val="0"/>
        <w:autoSpaceDE/>
        <w:autoSpaceDN/>
        <w:bidi w:val="0"/>
        <w:spacing w:line="400" w:lineRule="exact"/>
        <w:ind w:left="0" w:leftChars="0" w:firstLine="420" w:firstLineChars="200"/>
        <w:jc w:val="both"/>
        <w:textAlignment w:val="auto"/>
        <w:rPr>
          <w:rFonts w:hint="default"/>
          <w:lang w:val="en-US" w:eastAsia="zh-CN"/>
        </w:rPr>
      </w:pPr>
      <w:r>
        <w:rPr>
          <w:rFonts w:hint="default"/>
          <w:lang w:val="en-US" w:eastAsia="zh-CN"/>
        </w:rPr>
        <w:t>丛子钰，侧重研究西方马克思主义文论、中国当代小说等，讲授现代主义文艺思潮、后现代主义思潮、中国现代诗学等课程。</w:t>
      </w:r>
    </w:p>
    <w:p w14:paraId="23260C5A">
      <w:pPr>
        <w:keepNext w:val="0"/>
        <w:keepLines w:val="0"/>
        <w:pageBreakBefore w:val="0"/>
        <w:widowControl w:val="0"/>
        <w:numPr>
          <w:ilvl w:val="0"/>
          <w:numId w:val="0"/>
        </w:numPr>
        <w:kinsoku/>
        <w:wordWrap/>
        <w:overflowPunct/>
        <w:topLinePunct w:val="0"/>
        <w:autoSpaceDE/>
        <w:autoSpaceDN/>
        <w:bidi w:val="0"/>
        <w:spacing w:line="400" w:lineRule="exact"/>
        <w:ind w:leftChars="200"/>
        <w:jc w:val="both"/>
        <w:textAlignment w:val="auto"/>
        <w:rPr>
          <w:rFonts w:hint="default"/>
          <w:lang w:val="en-US" w:eastAsia="zh-CN"/>
        </w:rPr>
      </w:pPr>
      <w:r>
        <w:rPr>
          <w:rFonts w:hint="default"/>
          <w:lang w:val="en-US" w:eastAsia="zh-CN"/>
        </w:rPr>
        <w:t>联系方式：congziyu@tongji.edu.cn</w:t>
      </w:r>
    </w:p>
    <w:p w14:paraId="019E6306">
      <w:pPr>
        <w:keepNext w:val="0"/>
        <w:keepLines w:val="0"/>
        <w:pageBreakBefore w:val="0"/>
        <w:widowControl w:val="0"/>
        <w:numPr>
          <w:ilvl w:val="0"/>
          <w:numId w:val="3"/>
        </w:numPr>
        <w:kinsoku/>
        <w:wordWrap/>
        <w:overflowPunct/>
        <w:topLinePunct w:val="0"/>
        <w:autoSpaceDE/>
        <w:autoSpaceDN/>
        <w:bidi w:val="0"/>
        <w:spacing w:line="400" w:lineRule="exact"/>
        <w:ind w:left="0" w:leftChars="0" w:firstLine="420" w:firstLineChars="200"/>
        <w:jc w:val="both"/>
        <w:textAlignment w:val="auto"/>
        <w:rPr>
          <w:rFonts w:hint="default"/>
          <w:lang w:val="en-US" w:eastAsia="zh-CN"/>
        </w:rPr>
      </w:pPr>
      <w:r>
        <w:rPr>
          <w:rFonts w:hint="default"/>
          <w:lang w:val="en-US" w:eastAsia="zh-CN"/>
        </w:rPr>
        <w:t>吴小锋，侧重研究先秦思想、易学、文字学等，讲授《周易》、《论语》、《道德经》、《说文》等课程。</w:t>
      </w:r>
    </w:p>
    <w:p w14:paraId="2556E2F0">
      <w:pPr>
        <w:keepNext w:val="0"/>
        <w:keepLines w:val="0"/>
        <w:pageBreakBefore w:val="0"/>
        <w:widowControl w:val="0"/>
        <w:numPr>
          <w:ilvl w:val="0"/>
          <w:numId w:val="0"/>
        </w:numPr>
        <w:kinsoku/>
        <w:wordWrap/>
        <w:overflowPunct/>
        <w:topLinePunct w:val="0"/>
        <w:autoSpaceDE/>
        <w:autoSpaceDN/>
        <w:bidi w:val="0"/>
        <w:spacing w:line="400" w:lineRule="exact"/>
        <w:ind w:leftChars="200"/>
        <w:jc w:val="both"/>
        <w:textAlignment w:val="auto"/>
        <w:rPr>
          <w:rFonts w:hint="eastAsia"/>
          <w:sz w:val="24"/>
          <w:szCs w:val="24"/>
          <w:lang w:val="en-US" w:eastAsia="zh-CN"/>
        </w:rPr>
      </w:pPr>
      <w:r>
        <w:rPr>
          <w:rFonts w:hint="default"/>
          <w:lang w:val="en-US" w:eastAsia="zh-CN"/>
        </w:rPr>
        <w:t>联系方式：hermeson@126.com</w:t>
      </w:r>
    </w:p>
    <w:p w14:paraId="4349F1C2">
      <w:pPr>
        <w:keepNext w:val="0"/>
        <w:keepLines w:val="0"/>
        <w:pageBreakBefore w:val="0"/>
        <w:widowControl w:val="0"/>
        <w:kinsoku/>
        <w:wordWrap/>
        <w:overflowPunct/>
        <w:topLinePunct w:val="0"/>
        <w:autoSpaceDE/>
        <w:autoSpaceDN/>
        <w:bidi w:val="0"/>
        <w:adjustRightInd w:val="0"/>
        <w:snapToGrid w:val="0"/>
        <w:spacing w:line="400" w:lineRule="exact"/>
        <w:textAlignment w:val="auto"/>
        <w:rPr>
          <w:rFonts w:hint="eastAsia" w:ascii="黑体" w:hAnsi="黑体" w:eastAsia="黑体"/>
          <w:color w:val="000000"/>
          <w:szCs w:val="21"/>
          <w:lang w:val="en-US" w:eastAsia="zh-CN"/>
        </w:rPr>
      </w:pPr>
    </w:p>
    <w:p w14:paraId="50E6B0DC">
      <w:pPr>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textAlignment w:val="auto"/>
        <w:rPr>
          <w:rFonts w:hint="eastAsia" w:ascii="黑体" w:hAnsi="黑体" w:eastAsia="黑体"/>
          <w:color w:val="000000"/>
          <w:szCs w:val="21"/>
          <w:lang w:val="en-US" w:eastAsia="zh-CN"/>
        </w:rPr>
      </w:pPr>
      <w:r>
        <w:rPr>
          <w:rFonts w:hint="eastAsia" w:ascii="黑体" w:hAnsi="黑体" w:eastAsia="黑体"/>
          <w:color w:val="000000"/>
          <w:szCs w:val="21"/>
          <w:lang w:val="en-US" w:eastAsia="zh-CN"/>
        </w:rPr>
        <w:t>三、课程达成目标</w:t>
      </w:r>
    </w:p>
    <w:p w14:paraId="76541074">
      <w:pPr>
        <w:keepNext w:val="0"/>
        <w:keepLines w:val="0"/>
        <w:pageBreakBefore w:val="0"/>
        <w:widowControl w:val="0"/>
        <w:kinsoku/>
        <w:wordWrap/>
        <w:overflowPunct/>
        <w:topLinePunct w:val="0"/>
        <w:autoSpaceDE/>
        <w:autoSpaceDN/>
        <w:bidi w:val="0"/>
        <w:adjustRightInd w:val="0"/>
        <w:snapToGrid w:val="0"/>
        <w:spacing w:line="400" w:lineRule="exact"/>
        <w:ind w:firstLine="425"/>
        <w:textAlignment w:val="auto"/>
        <w:rPr>
          <w:rFonts w:hint="eastAsia" w:ascii="Times New Roman" w:hAnsi="Times New Roman" w:eastAsiaTheme="minorEastAsia"/>
          <w:color w:val="000000"/>
          <w:szCs w:val="21"/>
        </w:rPr>
      </w:pPr>
      <w:r>
        <w:rPr>
          <w:rFonts w:hint="eastAsia" w:ascii="Times New Roman" w:hAnsi="Times New Roman"/>
          <w:color w:val="000000"/>
          <w:szCs w:val="21"/>
          <w:lang w:val="en-US" w:eastAsia="zh-CN"/>
        </w:rPr>
        <w:t>本课程</w:t>
      </w:r>
      <w:r>
        <w:rPr>
          <w:rFonts w:hint="eastAsia" w:ascii="Times New Roman" w:hAnsi="Times New Roman" w:eastAsiaTheme="minorEastAsia"/>
          <w:color w:val="000000"/>
          <w:szCs w:val="21"/>
        </w:rPr>
        <w:t>以同济大学建设“中国特色世界一流大学”的战略目标为指引，围绕人文大类专业人才培养的要求，本课程注重针对本科生“知识-能力-人格”三个方面的培养。</w:t>
      </w:r>
    </w:p>
    <w:p w14:paraId="70182A6A">
      <w:pPr>
        <w:keepNext w:val="0"/>
        <w:keepLines w:val="0"/>
        <w:pageBreakBefore w:val="0"/>
        <w:widowControl w:val="0"/>
        <w:kinsoku/>
        <w:wordWrap/>
        <w:overflowPunct/>
        <w:topLinePunct w:val="0"/>
        <w:autoSpaceDE/>
        <w:autoSpaceDN/>
        <w:bidi w:val="0"/>
        <w:adjustRightInd w:val="0"/>
        <w:snapToGrid w:val="0"/>
        <w:spacing w:line="400" w:lineRule="exact"/>
        <w:ind w:firstLine="425"/>
        <w:textAlignment w:val="auto"/>
        <w:rPr>
          <w:rFonts w:hint="eastAsia" w:ascii="Times New Roman" w:hAnsi="Times New Roman" w:eastAsiaTheme="minorEastAsia"/>
          <w:color w:val="000000"/>
          <w:szCs w:val="21"/>
        </w:rPr>
      </w:pPr>
      <w:r>
        <w:rPr>
          <w:rFonts w:hint="eastAsia" w:ascii="Times New Roman" w:hAnsi="Times New Roman" w:eastAsiaTheme="minorEastAsia"/>
          <w:color w:val="000000"/>
          <w:szCs w:val="21"/>
        </w:rPr>
        <w:t>课程目标 1：在知识构建方面，本课程以开阔的视角，将文学、史学、哲学、艺术学等学科统一起来，构筑人文科学的整体意识，并与自然科学、社会科学相比较，对人文科学的基本内涵、理论逻辑、研究方法作宏观描述。</w:t>
      </w:r>
    </w:p>
    <w:p w14:paraId="1E9267B7">
      <w:pPr>
        <w:keepNext w:val="0"/>
        <w:keepLines w:val="0"/>
        <w:pageBreakBefore w:val="0"/>
        <w:widowControl w:val="0"/>
        <w:kinsoku/>
        <w:wordWrap/>
        <w:overflowPunct/>
        <w:topLinePunct w:val="0"/>
        <w:autoSpaceDE/>
        <w:autoSpaceDN/>
        <w:bidi w:val="0"/>
        <w:adjustRightInd w:val="0"/>
        <w:snapToGrid w:val="0"/>
        <w:spacing w:line="400" w:lineRule="exact"/>
        <w:ind w:firstLine="425"/>
        <w:textAlignment w:val="auto"/>
        <w:rPr>
          <w:rFonts w:hint="eastAsia" w:ascii="Times New Roman" w:hAnsi="Times New Roman" w:eastAsiaTheme="minorEastAsia"/>
          <w:color w:val="000000"/>
          <w:szCs w:val="21"/>
        </w:rPr>
      </w:pPr>
      <w:r>
        <w:rPr>
          <w:rFonts w:hint="eastAsia" w:ascii="Times New Roman" w:hAnsi="Times New Roman" w:eastAsiaTheme="minorEastAsia"/>
          <w:color w:val="000000"/>
          <w:szCs w:val="21"/>
        </w:rPr>
        <w:t>课程目标 2：在能力培养方面，强调理论联系实践，通过对文学、艺术、史学、哲学等学科的整体学习，强化学生的问题意识，提高逻辑辨析能力、思辨写作能力和团队协作能力，并运用到自己的专业学习中。</w:t>
      </w:r>
    </w:p>
    <w:p w14:paraId="5CA1A7D8">
      <w:pPr>
        <w:keepNext w:val="0"/>
        <w:keepLines w:val="0"/>
        <w:pageBreakBefore w:val="0"/>
        <w:widowControl w:val="0"/>
        <w:kinsoku/>
        <w:wordWrap/>
        <w:overflowPunct/>
        <w:topLinePunct w:val="0"/>
        <w:autoSpaceDE/>
        <w:autoSpaceDN/>
        <w:bidi w:val="0"/>
        <w:adjustRightInd w:val="0"/>
        <w:snapToGrid w:val="0"/>
        <w:spacing w:line="400" w:lineRule="exact"/>
        <w:ind w:firstLine="425"/>
        <w:textAlignment w:val="auto"/>
        <w:rPr>
          <w:rFonts w:hint="eastAsia" w:ascii="Times New Roman" w:hAnsi="Times New Roman" w:eastAsiaTheme="minorEastAsia"/>
          <w:color w:val="000000"/>
          <w:szCs w:val="21"/>
        </w:rPr>
      </w:pPr>
      <w:r>
        <w:rPr>
          <w:rFonts w:hint="eastAsia" w:ascii="Times New Roman" w:hAnsi="Times New Roman" w:eastAsiaTheme="minorEastAsia"/>
          <w:color w:val="000000"/>
          <w:szCs w:val="21"/>
        </w:rPr>
        <w:t>课程目标 3：在人格养成方面，结合课程思政建设，引导学生联系生活实际，思考人文科学特别是优秀传统文化资源在当代精神生活中的特殊意义，提升人文修养与生命境界，并把人文精神与人文情怀运用到专业学习与日常生活中。</w:t>
      </w:r>
    </w:p>
    <w:p w14:paraId="152DB02B">
      <w:pPr>
        <w:keepNext w:val="0"/>
        <w:keepLines w:val="0"/>
        <w:pageBreakBefore w:val="0"/>
        <w:widowControl w:val="0"/>
        <w:kinsoku/>
        <w:wordWrap/>
        <w:overflowPunct/>
        <w:topLinePunct w:val="0"/>
        <w:autoSpaceDE/>
        <w:autoSpaceDN/>
        <w:bidi w:val="0"/>
        <w:adjustRightInd w:val="0"/>
        <w:snapToGrid w:val="0"/>
        <w:spacing w:line="400" w:lineRule="exact"/>
        <w:ind w:firstLine="425"/>
        <w:textAlignment w:val="auto"/>
        <w:rPr>
          <w:rFonts w:hint="eastAsia" w:ascii="Times New Roman" w:hAnsi="Times New Roman" w:eastAsiaTheme="minorEastAsia"/>
          <w:color w:val="000000"/>
          <w:szCs w:val="21"/>
        </w:rPr>
      </w:pPr>
    </w:p>
    <w:p w14:paraId="06A374B2">
      <w:pPr>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textAlignment w:val="auto"/>
        <w:rPr>
          <w:rFonts w:hint="eastAsia" w:ascii="黑体" w:hAnsi="黑体" w:eastAsia="黑体" w:cs="黑体"/>
          <w:color w:val="000000"/>
          <w:szCs w:val="21"/>
          <w:lang w:val="en-US" w:eastAsia="zh-CN"/>
        </w:rPr>
      </w:pPr>
      <w:r>
        <w:rPr>
          <w:rFonts w:hint="eastAsia" w:ascii="黑体" w:hAnsi="黑体" w:eastAsia="黑体" w:cs="黑体"/>
          <w:color w:val="000000"/>
          <w:szCs w:val="21"/>
          <w:lang w:val="en-US" w:eastAsia="zh-CN"/>
        </w:rPr>
        <w:t>四、考核方式和标准</w:t>
      </w:r>
    </w:p>
    <w:p w14:paraId="0BDE9E09">
      <w:pPr>
        <w:keepNext w:val="0"/>
        <w:keepLines w:val="0"/>
        <w:widowControl/>
        <w:suppressLineNumbers w:val="0"/>
        <w:ind w:left="0" w:leftChars="0" w:firstLine="417" w:firstLineChars="199"/>
        <w:jc w:val="left"/>
        <w:rPr>
          <w:b w:val="0"/>
          <w:bCs w:val="0"/>
        </w:rPr>
      </w:pPr>
      <w:r>
        <w:rPr>
          <w:rFonts w:hint="eastAsia" w:ascii="宋体" w:hAnsi="宋体" w:eastAsia="宋体" w:cs="宋体"/>
          <w:b w:val="0"/>
          <w:bCs w:val="0"/>
          <w:color w:val="000000"/>
          <w:kern w:val="0"/>
          <w:sz w:val="21"/>
          <w:szCs w:val="21"/>
          <w:lang w:val="en-US" w:eastAsia="zh-CN" w:bidi="ar"/>
        </w:rPr>
        <w:t xml:space="preserve">本课程主要采用教师讲授、课堂讨论与学生自学相结合的教学方式。 </w:t>
      </w:r>
    </w:p>
    <w:p w14:paraId="0969475B">
      <w:pPr>
        <w:keepNext w:val="0"/>
        <w:keepLines w:val="0"/>
        <w:widowControl/>
        <w:suppressLineNumbers w:val="0"/>
        <w:ind w:left="0" w:leftChars="0" w:firstLine="417" w:firstLineChars="199"/>
        <w:jc w:val="left"/>
        <w:rPr>
          <w:b w:val="0"/>
          <w:bCs w:val="0"/>
        </w:rPr>
      </w:pPr>
      <w:r>
        <w:rPr>
          <w:rFonts w:hint="eastAsia" w:ascii="宋体" w:hAnsi="宋体" w:eastAsia="宋体" w:cs="宋体"/>
          <w:b w:val="0"/>
          <w:bCs w:val="0"/>
          <w:color w:val="000000"/>
          <w:kern w:val="0"/>
          <w:sz w:val="21"/>
          <w:szCs w:val="21"/>
          <w:lang w:val="en-US" w:eastAsia="zh-CN" w:bidi="ar"/>
        </w:rPr>
        <w:t>课程成绩评定包括：10%考勤</w:t>
      </w:r>
      <w:r>
        <w:rPr>
          <w:rFonts w:hint="eastAsia" w:ascii="宋体" w:hAnsi="宋体" w:cs="宋体"/>
          <w:b w:val="0"/>
          <w:bCs w:val="0"/>
          <w:color w:val="000000"/>
          <w:kern w:val="0"/>
          <w:sz w:val="21"/>
          <w:szCs w:val="21"/>
          <w:lang w:val="en-US" w:eastAsia="zh-CN" w:bidi="ar"/>
        </w:rPr>
        <w:t>与课堂表现</w:t>
      </w:r>
      <w:r>
        <w:rPr>
          <w:rFonts w:hint="eastAsia" w:ascii="宋体" w:hAnsi="宋体" w:eastAsia="宋体" w:cs="宋体"/>
          <w:b w:val="0"/>
          <w:bCs w:val="0"/>
          <w:color w:val="000000"/>
          <w:kern w:val="0"/>
          <w:sz w:val="21"/>
          <w:szCs w:val="21"/>
          <w:lang w:val="en-US" w:eastAsia="zh-CN" w:bidi="ar"/>
        </w:rPr>
        <w:t>+</w:t>
      </w:r>
      <w:r>
        <w:rPr>
          <w:rFonts w:hint="eastAsia" w:ascii="宋体" w:hAnsi="宋体" w:cs="宋体"/>
          <w:b w:val="0"/>
          <w:bCs w:val="0"/>
          <w:color w:val="000000"/>
          <w:kern w:val="0"/>
          <w:sz w:val="21"/>
          <w:szCs w:val="21"/>
          <w:lang w:val="en-US" w:eastAsia="zh-CN" w:bidi="ar"/>
        </w:rPr>
        <w:t>3</w:t>
      </w:r>
      <w:r>
        <w:rPr>
          <w:rFonts w:hint="eastAsia" w:ascii="宋体" w:hAnsi="宋体" w:eastAsia="宋体" w:cs="宋体"/>
          <w:b w:val="0"/>
          <w:bCs w:val="0"/>
          <w:color w:val="000000"/>
          <w:kern w:val="0"/>
          <w:sz w:val="21"/>
          <w:szCs w:val="21"/>
          <w:lang w:val="en-US" w:eastAsia="zh-CN" w:bidi="ar"/>
        </w:rPr>
        <w:t>0%</w:t>
      </w:r>
      <w:r>
        <w:rPr>
          <w:rFonts w:hint="eastAsia" w:ascii="宋体" w:hAnsi="宋体" w:cs="宋体"/>
          <w:b w:val="0"/>
          <w:bCs w:val="0"/>
          <w:color w:val="000000"/>
          <w:kern w:val="0"/>
          <w:sz w:val="21"/>
          <w:szCs w:val="21"/>
          <w:lang w:val="en-US" w:eastAsia="zh-CN" w:bidi="ar"/>
        </w:rPr>
        <w:t>平时作业</w:t>
      </w:r>
      <w:r>
        <w:rPr>
          <w:rFonts w:hint="eastAsia" w:ascii="宋体" w:hAnsi="宋体" w:eastAsia="宋体" w:cs="宋体"/>
          <w:b w:val="0"/>
          <w:bCs w:val="0"/>
          <w:color w:val="000000"/>
          <w:kern w:val="0"/>
          <w:sz w:val="21"/>
          <w:szCs w:val="21"/>
          <w:lang w:val="en-US" w:eastAsia="zh-CN" w:bidi="ar"/>
        </w:rPr>
        <w:t>+</w:t>
      </w:r>
      <w:r>
        <w:rPr>
          <w:rFonts w:hint="eastAsia" w:ascii="宋体" w:hAnsi="宋体" w:cs="宋体"/>
          <w:b w:val="0"/>
          <w:bCs w:val="0"/>
          <w:color w:val="000000"/>
          <w:kern w:val="0"/>
          <w:sz w:val="21"/>
          <w:szCs w:val="21"/>
          <w:lang w:val="en-US" w:eastAsia="zh-CN" w:bidi="ar"/>
        </w:rPr>
        <w:t>6</w:t>
      </w:r>
      <w:r>
        <w:rPr>
          <w:rFonts w:hint="eastAsia" w:ascii="宋体" w:hAnsi="宋体" w:eastAsia="宋体" w:cs="宋体"/>
          <w:b w:val="0"/>
          <w:bCs w:val="0"/>
          <w:color w:val="000000"/>
          <w:kern w:val="0"/>
          <w:sz w:val="21"/>
          <w:szCs w:val="21"/>
          <w:lang w:val="en-US" w:eastAsia="zh-CN" w:bidi="ar"/>
        </w:rPr>
        <w:t>0%</w:t>
      </w:r>
      <w:r>
        <w:rPr>
          <w:rFonts w:hint="eastAsia" w:ascii="宋体" w:hAnsi="宋体" w:cs="宋体"/>
          <w:b w:val="0"/>
          <w:bCs w:val="0"/>
          <w:color w:val="000000"/>
          <w:kern w:val="0"/>
          <w:sz w:val="21"/>
          <w:szCs w:val="21"/>
          <w:lang w:val="en-US" w:eastAsia="zh-CN" w:bidi="ar"/>
        </w:rPr>
        <w:t>期末论文</w:t>
      </w:r>
      <w:r>
        <w:rPr>
          <w:rFonts w:hint="eastAsia" w:ascii="宋体" w:hAnsi="宋体" w:eastAsia="宋体" w:cs="宋体"/>
          <w:b w:val="0"/>
          <w:bCs w:val="0"/>
          <w:color w:val="000000"/>
          <w:kern w:val="0"/>
          <w:sz w:val="21"/>
          <w:szCs w:val="21"/>
          <w:lang w:val="en-US" w:eastAsia="zh-CN" w:bidi="ar"/>
        </w:rPr>
        <w:t>。</w:t>
      </w:r>
    </w:p>
    <w:p w14:paraId="272192B8">
      <w:pPr>
        <w:keepNext w:val="0"/>
        <w:keepLines w:val="0"/>
        <w:pageBreakBefore w:val="0"/>
        <w:kinsoku/>
        <w:wordWrap/>
        <w:overflowPunct/>
        <w:topLinePunct w:val="0"/>
        <w:autoSpaceDE/>
        <w:autoSpaceDN/>
        <w:bidi w:val="0"/>
        <w:adjustRightInd w:val="0"/>
        <w:snapToGrid w:val="0"/>
        <w:spacing w:line="360" w:lineRule="auto"/>
        <w:ind w:left="420"/>
        <w:textAlignment w:val="auto"/>
        <w:rPr>
          <w:rFonts w:ascii="Times New Roman" w:hAnsi="Times New Roman" w:eastAsiaTheme="minorEastAsia"/>
          <w:color w:val="000000"/>
          <w:lang w:eastAsia="zh-Hans"/>
        </w:rPr>
      </w:pPr>
      <w:r>
        <w:rPr>
          <w:rFonts w:hint="eastAsia" w:ascii="宋体" w:hAnsi="宋体" w:eastAsia="宋体" w:cs="宋体"/>
          <w:b w:val="0"/>
          <w:bCs w:val="0"/>
          <w:color w:val="000000"/>
          <w:kern w:val="0"/>
          <w:sz w:val="21"/>
          <w:szCs w:val="21"/>
          <w:lang w:val="en-US" w:eastAsia="zh-CN" w:bidi="ar"/>
        </w:rPr>
        <w:t>重修要求：跟班重修</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3"/>
        <w:gridCol w:w="824"/>
        <w:gridCol w:w="2028"/>
        <w:gridCol w:w="3957"/>
      </w:tblGrid>
      <w:tr w14:paraId="4F02B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493" w:type="dxa"/>
            <w:shd w:val="clear" w:color="auto" w:fill="auto"/>
            <w:vAlign w:val="center"/>
          </w:tcPr>
          <w:p w14:paraId="2E43E00B">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b/>
                <w:bCs/>
                <w:szCs w:val="21"/>
              </w:rPr>
            </w:pPr>
            <w:bookmarkStart w:id="0" w:name="_Hlk102652398"/>
            <w:r>
              <w:rPr>
                <w:rFonts w:ascii="Times New Roman" w:hAnsi="Times New Roman"/>
                <w:b/>
                <w:bCs/>
                <w:szCs w:val="21"/>
              </w:rPr>
              <w:t>考核方式</w:t>
            </w:r>
          </w:p>
        </w:tc>
        <w:tc>
          <w:tcPr>
            <w:tcW w:w="824" w:type="dxa"/>
            <w:shd w:val="clear" w:color="auto" w:fill="auto"/>
            <w:vAlign w:val="center"/>
          </w:tcPr>
          <w:p w14:paraId="64B4A3D3">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b/>
                <w:bCs/>
                <w:szCs w:val="21"/>
              </w:rPr>
            </w:pPr>
            <w:r>
              <w:rPr>
                <w:rFonts w:hint="eastAsia" w:ascii="Times New Roman" w:hAnsi="Times New Roman"/>
                <w:b/>
                <w:bCs/>
                <w:szCs w:val="21"/>
              </w:rPr>
              <w:t>占</w:t>
            </w:r>
            <w:r>
              <w:rPr>
                <w:rFonts w:ascii="Times New Roman" w:hAnsi="Times New Roman"/>
                <w:b/>
                <w:bCs/>
                <w:szCs w:val="21"/>
              </w:rPr>
              <w:t>比</w:t>
            </w:r>
          </w:p>
        </w:tc>
        <w:tc>
          <w:tcPr>
            <w:tcW w:w="2028" w:type="dxa"/>
            <w:shd w:val="clear" w:color="auto" w:fill="auto"/>
            <w:vAlign w:val="center"/>
          </w:tcPr>
          <w:p w14:paraId="61A80256">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b/>
                <w:bCs/>
                <w:szCs w:val="21"/>
              </w:rPr>
            </w:pPr>
            <w:r>
              <w:rPr>
                <w:rFonts w:ascii="Times New Roman" w:hAnsi="Times New Roman"/>
                <w:b/>
                <w:bCs/>
                <w:szCs w:val="21"/>
              </w:rPr>
              <w:t>支撑课程目标</w:t>
            </w:r>
          </w:p>
        </w:tc>
        <w:tc>
          <w:tcPr>
            <w:tcW w:w="3957" w:type="dxa"/>
            <w:shd w:val="clear" w:color="auto" w:fill="auto"/>
            <w:vAlign w:val="center"/>
          </w:tcPr>
          <w:p w14:paraId="330395F9">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b/>
                <w:bCs/>
                <w:szCs w:val="21"/>
              </w:rPr>
            </w:pPr>
            <w:r>
              <w:rPr>
                <w:rFonts w:ascii="Times New Roman" w:hAnsi="Times New Roman"/>
                <w:b/>
                <w:bCs/>
                <w:szCs w:val="21"/>
              </w:rPr>
              <w:t>备注</w:t>
            </w:r>
          </w:p>
        </w:tc>
      </w:tr>
      <w:tr w14:paraId="0E12B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93" w:type="dxa"/>
            <w:vMerge w:val="restart"/>
            <w:shd w:val="clear" w:color="auto" w:fill="auto"/>
            <w:vAlign w:val="center"/>
          </w:tcPr>
          <w:p w14:paraId="4A9FA463">
            <w:pPr>
              <w:keepNext w:val="0"/>
              <w:keepLines w:val="0"/>
              <w:pageBreakBefore w:val="0"/>
              <w:kinsoku/>
              <w:wordWrap/>
              <w:overflowPunct/>
              <w:topLinePunct w:val="0"/>
              <w:autoSpaceDE/>
              <w:autoSpaceDN/>
              <w:bidi w:val="0"/>
              <w:spacing w:line="360" w:lineRule="auto"/>
              <w:jc w:val="center"/>
              <w:textAlignment w:val="auto"/>
              <w:rPr>
                <w:rFonts w:hint="eastAsia" w:ascii="Times New Roman" w:hAnsi="Times New Roman"/>
                <w:szCs w:val="21"/>
                <w:lang w:val="en-US" w:eastAsia="zh-CN"/>
              </w:rPr>
            </w:pPr>
            <w:r>
              <w:rPr>
                <w:rFonts w:hint="eastAsia" w:ascii="Times New Roman" w:hAnsi="Times New Roman"/>
                <w:szCs w:val="21"/>
                <w:lang w:val="en-US" w:eastAsia="zh-CN"/>
              </w:rPr>
              <w:t>考勤</w:t>
            </w:r>
          </w:p>
          <w:p w14:paraId="5537AE86">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szCs w:val="21"/>
                <w:lang w:eastAsia="zh-Hans"/>
              </w:rPr>
            </w:pPr>
            <w:r>
              <w:rPr>
                <w:rFonts w:hint="eastAsia" w:ascii="Times New Roman" w:hAnsi="Times New Roman"/>
                <w:szCs w:val="21"/>
                <w:lang w:eastAsia="zh-Hans"/>
              </w:rPr>
              <w:t>课堂表现</w:t>
            </w:r>
          </w:p>
        </w:tc>
        <w:tc>
          <w:tcPr>
            <w:tcW w:w="824" w:type="dxa"/>
            <w:vMerge w:val="restart"/>
            <w:shd w:val="clear" w:color="auto" w:fill="auto"/>
            <w:vAlign w:val="center"/>
          </w:tcPr>
          <w:p w14:paraId="57F33ECE">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eastAsiaTheme="minorEastAsia"/>
                <w:szCs w:val="21"/>
              </w:rPr>
            </w:pPr>
            <w:r>
              <w:rPr>
                <w:rFonts w:ascii="Times New Roman" w:hAnsi="Times New Roman" w:eastAsiaTheme="minorEastAsia"/>
                <w:szCs w:val="21"/>
              </w:rPr>
              <w:t>10%</w:t>
            </w:r>
          </w:p>
        </w:tc>
        <w:tc>
          <w:tcPr>
            <w:tcW w:w="2028" w:type="dxa"/>
            <w:shd w:val="clear" w:color="auto" w:fill="auto"/>
            <w:vAlign w:val="center"/>
          </w:tcPr>
          <w:p w14:paraId="00EA0963">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eastAsiaTheme="minorEastAsia"/>
                <w:szCs w:val="21"/>
              </w:rPr>
            </w:pPr>
            <w:r>
              <w:rPr>
                <w:rFonts w:ascii="Times New Roman" w:hAnsi="Times New Roman" w:eastAsiaTheme="minorEastAsia"/>
                <w:szCs w:val="21"/>
              </w:rPr>
              <w:t>课程目标1</w:t>
            </w:r>
          </w:p>
        </w:tc>
        <w:tc>
          <w:tcPr>
            <w:tcW w:w="3957" w:type="dxa"/>
            <w:vMerge w:val="restart"/>
            <w:shd w:val="clear" w:color="auto" w:fill="auto"/>
            <w:vAlign w:val="center"/>
          </w:tcPr>
          <w:p w14:paraId="73C84919">
            <w:pPr>
              <w:keepNext w:val="0"/>
              <w:keepLines w:val="0"/>
              <w:pageBreakBefore w:val="0"/>
              <w:kinsoku/>
              <w:wordWrap/>
              <w:overflowPunct/>
              <w:topLinePunct w:val="0"/>
              <w:autoSpaceDE/>
              <w:autoSpaceDN/>
              <w:bidi w:val="0"/>
              <w:spacing w:line="360" w:lineRule="auto"/>
              <w:textAlignment w:val="auto"/>
              <w:rPr>
                <w:rFonts w:ascii="Times New Roman" w:hAnsi="Times New Roman" w:cs="宋体"/>
                <w:color w:val="000000"/>
                <w:lang w:eastAsia="zh-Hans"/>
              </w:rPr>
            </w:pPr>
            <w:r>
              <w:rPr>
                <w:rFonts w:hint="eastAsia" w:ascii="Times New Roman" w:hAnsi="Times New Roman" w:cs="宋体"/>
                <w:color w:val="000000"/>
                <w:lang w:eastAsia="zh-Hans"/>
              </w:rPr>
              <w:t>包括出勤率情况、课堂问答表现</w:t>
            </w:r>
          </w:p>
        </w:tc>
      </w:tr>
      <w:tr w14:paraId="67254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493" w:type="dxa"/>
            <w:vMerge w:val="continue"/>
            <w:shd w:val="clear" w:color="auto" w:fill="auto"/>
            <w:vAlign w:val="center"/>
          </w:tcPr>
          <w:p w14:paraId="3B3F6C5A">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szCs w:val="21"/>
              </w:rPr>
            </w:pPr>
          </w:p>
        </w:tc>
        <w:tc>
          <w:tcPr>
            <w:tcW w:w="824" w:type="dxa"/>
            <w:vMerge w:val="continue"/>
            <w:shd w:val="clear" w:color="auto" w:fill="auto"/>
            <w:vAlign w:val="center"/>
          </w:tcPr>
          <w:p w14:paraId="0C4DF694">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eastAsiaTheme="minorEastAsia"/>
                <w:szCs w:val="21"/>
              </w:rPr>
            </w:pPr>
          </w:p>
        </w:tc>
        <w:tc>
          <w:tcPr>
            <w:tcW w:w="2028" w:type="dxa"/>
            <w:shd w:val="clear" w:color="auto" w:fill="auto"/>
            <w:vAlign w:val="center"/>
          </w:tcPr>
          <w:p w14:paraId="5B87958C">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eastAsiaTheme="minorEastAsia"/>
                <w:szCs w:val="21"/>
              </w:rPr>
            </w:pPr>
            <w:r>
              <w:rPr>
                <w:rFonts w:ascii="Times New Roman" w:hAnsi="Times New Roman" w:eastAsiaTheme="minorEastAsia"/>
                <w:szCs w:val="21"/>
              </w:rPr>
              <w:t>课程目标2</w:t>
            </w:r>
          </w:p>
        </w:tc>
        <w:tc>
          <w:tcPr>
            <w:tcW w:w="3957" w:type="dxa"/>
            <w:vMerge w:val="continue"/>
            <w:shd w:val="clear" w:color="auto" w:fill="auto"/>
            <w:vAlign w:val="center"/>
          </w:tcPr>
          <w:p w14:paraId="0770B47C">
            <w:pPr>
              <w:keepNext w:val="0"/>
              <w:keepLines w:val="0"/>
              <w:pageBreakBefore w:val="0"/>
              <w:kinsoku/>
              <w:wordWrap/>
              <w:overflowPunct/>
              <w:topLinePunct w:val="0"/>
              <w:autoSpaceDE/>
              <w:autoSpaceDN/>
              <w:bidi w:val="0"/>
              <w:spacing w:line="360" w:lineRule="auto"/>
              <w:textAlignment w:val="auto"/>
              <w:rPr>
                <w:rFonts w:ascii="Times New Roman" w:hAnsi="Times New Roman" w:cs="宋体"/>
                <w:color w:val="000000"/>
                <w:lang w:eastAsia="zh-Hans"/>
              </w:rPr>
            </w:pPr>
          </w:p>
        </w:tc>
      </w:tr>
      <w:tr w14:paraId="61FC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93" w:type="dxa"/>
            <w:vMerge w:val="restart"/>
            <w:shd w:val="clear" w:color="auto" w:fill="auto"/>
            <w:vAlign w:val="center"/>
          </w:tcPr>
          <w:p w14:paraId="7023256F">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szCs w:val="21"/>
              </w:rPr>
            </w:pPr>
            <w:r>
              <w:rPr>
                <w:rFonts w:hint="eastAsia" w:ascii="Times New Roman" w:hAnsi="Times New Roman"/>
                <w:szCs w:val="21"/>
              </w:rPr>
              <w:t>平时作业</w:t>
            </w:r>
          </w:p>
        </w:tc>
        <w:tc>
          <w:tcPr>
            <w:tcW w:w="824" w:type="dxa"/>
            <w:vMerge w:val="restart"/>
            <w:shd w:val="clear" w:color="auto" w:fill="auto"/>
            <w:vAlign w:val="center"/>
          </w:tcPr>
          <w:p w14:paraId="6DF7CAC6">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eastAsiaTheme="minorEastAsia"/>
                <w:szCs w:val="21"/>
              </w:rPr>
            </w:pPr>
            <w:r>
              <w:rPr>
                <w:rFonts w:hint="eastAsia" w:ascii="Times New Roman" w:hAnsi="Times New Roman" w:eastAsiaTheme="minorEastAsia"/>
                <w:szCs w:val="21"/>
                <w:lang w:val="en-US" w:eastAsia="zh-CN"/>
              </w:rPr>
              <w:t>3</w:t>
            </w:r>
            <w:r>
              <w:rPr>
                <w:rFonts w:ascii="Times New Roman" w:hAnsi="Times New Roman" w:eastAsiaTheme="minorEastAsia"/>
                <w:szCs w:val="21"/>
              </w:rPr>
              <w:t>0%</w:t>
            </w:r>
          </w:p>
        </w:tc>
        <w:tc>
          <w:tcPr>
            <w:tcW w:w="2028" w:type="dxa"/>
            <w:shd w:val="clear" w:color="auto" w:fill="auto"/>
            <w:vAlign w:val="center"/>
          </w:tcPr>
          <w:p w14:paraId="0D5EF1B5">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eastAsiaTheme="minorEastAsia"/>
                <w:szCs w:val="21"/>
              </w:rPr>
            </w:pPr>
            <w:r>
              <w:rPr>
                <w:rFonts w:ascii="Times New Roman" w:hAnsi="Times New Roman" w:eastAsiaTheme="minorEastAsia"/>
                <w:szCs w:val="21"/>
              </w:rPr>
              <w:t>课程目标1</w:t>
            </w:r>
          </w:p>
        </w:tc>
        <w:tc>
          <w:tcPr>
            <w:tcW w:w="3957" w:type="dxa"/>
            <w:vMerge w:val="restart"/>
            <w:shd w:val="clear" w:color="auto" w:fill="auto"/>
            <w:vAlign w:val="center"/>
          </w:tcPr>
          <w:p w14:paraId="06E2F47D">
            <w:pPr>
              <w:keepNext w:val="0"/>
              <w:keepLines w:val="0"/>
              <w:pageBreakBefore w:val="0"/>
              <w:kinsoku/>
              <w:wordWrap/>
              <w:overflowPunct/>
              <w:topLinePunct w:val="0"/>
              <w:autoSpaceDE/>
              <w:autoSpaceDN/>
              <w:bidi w:val="0"/>
              <w:spacing w:line="360" w:lineRule="auto"/>
              <w:textAlignment w:val="auto"/>
              <w:rPr>
                <w:rFonts w:hint="default" w:ascii="Times New Roman" w:hAnsi="Times New Roman" w:eastAsia="宋体" w:cs="宋体"/>
                <w:color w:val="000000"/>
                <w:lang w:val="en-US" w:eastAsia="zh-CN"/>
              </w:rPr>
            </w:pPr>
            <w:r>
              <w:rPr>
                <w:rFonts w:hint="eastAsia" w:ascii="Times New Roman" w:hAnsi="Times New Roman" w:cs="宋体"/>
                <w:color w:val="000000"/>
                <w:lang w:eastAsia="zh-Hans"/>
              </w:rPr>
              <w:t>包括平时作业是否按时提交、作业完成情况</w:t>
            </w:r>
            <w:r>
              <w:rPr>
                <w:rFonts w:hint="eastAsia" w:ascii="Times New Roman" w:hAnsi="Times New Roman" w:cs="宋体"/>
                <w:color w:val="000000"/>
                <w:lang w:eastAsia="zh-CN"/>
              </w:rPr>
              <w:t>。从所有问题选项中选做其中一题，题目自拟。</w:t>
            </w:r>
            <w:r>
              <w:rPr>
                <w:rFonts w:hint="eastAsia" w:ascii="Times New Roman" w:hAnsi="Times New Roman" w:cs="宋体"/>
                <w:color w:val="000000"/>
                <w:lang w:val="en-US" w:eastAsia="zh-CN"/>
              </w:rPr>
              <w:t>形式为一篇文章，800-1000字以内，不得超字数。第11周提交。</w:t>
            </w:r>
          </w:p>
        </w:tc>
      </w:tr>
      <w:tr w14:paraId="436ED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93" w:type="dxa"/>
            <w:vMerge w:val="continue"/>
            <w:shd w:val="clear" w:color="auto" w:fill="auto"/>
            <w:vAlign w:val="center"/>
          </w:tcPr>
          <w:p w14:paraId="544F011A">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szCs w:val="21"/>
              </w:rPr>
            </w:pPr>
          </w:p>
        </w:tc>
        <w:tc>
          <w:tcPr>
            <w:tcW w:w="824" w:type="dxa"/>
            <w:vMerge w:val="continue"/>
            <w:shd w:val="clear" w:color="auto" w:fill="auto"/>
            <w:vAlign w:val="center"/>
          </w:tcPr>
          <w:p w14:paraId="355BA161">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eastAsiaTheme="minorEastAsia"/>
                <w:szCs w:val="21"/>
              </w:rPr>
            </w:pPr>
          </w:p>
        </w:tc>
        <w:tc>
          <w:tcPr>
            <w:tcW w:w="2028" w:type="dxa"/>
            <w:shd w:val="clear" w:color="auto" w:fill="auto"/>
            <w:vAlign w:val="center"/>
          </w:tcPr>
          <w:p w14:paraId="6760407A">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eastAsiaTheme="minorEastAsia"/>
                <w:szCs w:val="21"/>
              </w:rPr>
            </w:pPr>
            <w:r>
              <w:rPr>
                <w:rFonts w:ascii="Times New Roman" w:hAnsi="Times New Roman" w:eastAsiaTheme="minorEastAsia"/>
                <w:szCs w:val="21"/>
              </w:rPr>
              <w:t>课程目标2</w:t>
            </w:r>
          </w:p>
        </w:tc>
        <w:tc>
          <w:tcPr>
            <w:tcW w:w="3957" w:type="dxa"/>
            <w:vMerge w:val="continue"/>
            <w:shd w:val="clear" w:color="auto" w:fill="auto"/>
            <w:vAlign w:val="center"/>
          </w:tcPr>
          <w:p w14:paraId="2BEF87B9">
            <w:pPr>
              <w:keepNext w:val="0"/>
              <w:keepLines w:val="0"/>
              <w:pageBreakBefore w:val="0"/>
              <w:kinsoku/>
              <w:wordWrap/>
              <w:overflowPunct/>
              <w:topLinePunct w:val="0"/>
              <w:autoSpaceDE/>
              <w:autoSpaceDN/>
              <w:bidi w:val="0"/>
              <w:spacing w:line="360" w:lineRule="auto"/>
              <w:textAlignment w:val="auto"/>
              <w:rPr>
                <w:rFonts w:ascii="Times New Roman" w:hAnsi="Times New Roman"/>
                <w:color w:val="FF0000"/>
                <w:szCs w:val="21"/>
              </w:rPr>
            </w:pPr>
          </w:p>
        </w:tc>
      </w:tr>
      <w:tr w14:paraId="59BE8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493" w:type="dxa"/>
            <w:vMerge w:val="continue"/>
            <w:shd w:val="clear" w:color="auto" w:fill="auto"/>
            <w:vAlign w:val="center"/>
          </w:tcPr>
          <w:p w14:paraId="2E993208">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szCs w:val="21"/>
              </w:rPr>
            </w:pPr>
          </w:p>
        </w:tc>
        <w:tc>
          <w:tcPr>
            <w:tcW w:w="824" w:type="dxa"/>
            <w:vMerge w:val="continue"/>
            <w:shd w:val="clear" w:color="auto" w:fill="auto"/>
            <w:vAlign w:val="center"/>
          </w:tcPr>
          <w:p w14:paraId="32454173">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eastAsiaTheme="minorEastAsia"/>
                <w:szCs w:val="21"/>
              </w:rPr>
            </w:pPr>
          </w:p>
        </w:tc>
        <w:tc>
          <w:tcPr>
            <w:tcW w:w="2028" w:type="dxa"/>
            <w:shd w:val="clear" w:color="auto" w:fill="auto"/>
            <w:vAlign w:val="center"/>
          </w:tcPr>
          <w:p w14:paraId="4CF2C850">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eastAsiaTheme="minorEastAsia"/>
                <w:szCs w:val="21"/>
              </w:rPr>
            </w:pPr>
            <w:r>
              <w:rPr>
                <w:rFonts w:ascii="Times New Roman" w:hAnsi="Times New Roman" w:eastAsiaTheme="minorEastAsia"/>
                <w:szCs w:val="21"/>
              </w:rPr>
              <w:t>课程目标3</w:t>
            </w:r>
          </w:p>
        </w:tc>
        <w:tc>
          <w:tcPr>
            <w:tcW w:w="3957" w:type="dxa"/>
            <w:vMerge w:val="continue"/>
            <w:shd w:val="clear" w:color="auto" w:fill="auto"/>
            <w:vAlign w:val="center"/>
          </w:tcPr>
          <w:p w14:paraId="0E3DD044">
            <w:pPr>
              <w:keepNext w:val="0"/>
              <w:keepLines w:val="0"/>
              <w:pageBreakBefore w:val="0"/>
              <w:kinsoku/>
              <w:wordWrap/>
              <w:overflowPunct/>
              <w:topLinePunct w:val="0"/>
              <w:autoSpaceDE/>
              <w:autoSpaceDN/>
              <w:bidi w:val="0"/>
              <w:spacing w:line="360" w:lineRule="auto"/>
              <w:textAlignment w:val="auto"/>
              <w:rPr>
                <w:rFonts w:ascii="Times New Roman" w:hAnsi="Times New Roman"/>
                <w:color w:val="FF0000"/>
                <w:szCs w:val="21"/>
              </w:rPr>
            </w:pPr>
          </w:p>
        </w:tc>
      </w:tr>
      <w:tr w14:paraId="7F557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93" w:type="dxa"/>
            <w:vMerge w:val="restart"/>
            <w:shd w:val="clear" w:color="auto" w:fill="auto"/>
            <w:vAlign w:val="center"/>
          </w:tcPr>
          <w:p w14:paraId="1002DCCA">
            <w:pPr>
              <w:keepNext w:val="0"/>
              <w:keepLines w:val="0"/>
              <w:pageBreakBefore w:val="0"/>
              <w:kinsoku/>
              <w:wordWrap/>
              <w:overflowPunct/>
              <w:topLinePunct w:val="0"/>
              <w:autoSpaceDE/>
              <w:autoSpaceDN/>
              <w:bidi w:val="0"/>
              <w:spacing w:line="360" w:lineRule="auto"/>
              <w:jc w:val="center"/>
              <w:textAlignment w:val="auto"/>
              <w:rPr>
                <w:rFonts w:hint="eastAsia" w:ascii="Times New Roman" w:hAnsi="Times New Roman" w:eastAsia="宋体"/>
                <w:szCs w:val="21"/>
                <w:lang w:eastAsia="zh-CN"/>
              </w:rPr>
            </w:pPr>
            <w:r>
              <w:rPr>
                <w:rFonts w:hint="eastAsia" w:ascii="Times New Roman" w:hAnsi="Times New Roman"/>
                <w:szCs w:val="21"/>
              </w:rPr>
              <w:t>期末</w:t>
            </w:r>
            <w:r>
              <w:rPr>
                <w:rFonts w:hint="eastAsia" w:ascii="Times New Roman" w:hAnsi="Times New Roman"/>
                <w:szCs w:val="21"/>
                <w:lang w:val="en-US" w:eastAsia="zh-CN"/>
              </w:rPr>
              <w:t>论文</w:t>
            </w:r>
          </w:p>
        </w:tc>
        <w:tc>
          <w:tcPr>
            <w:tcW w:w="824" w:type="dxa"/>
            <w:vMerge w:val="restart"/>
            <w:shd w:val="clear" w:color="auto" w:fill="auto"/>
            <w:vAlign w:val="center"/>
          </w:tcPr>
          <w:p w14:paraId="47E7FCC4">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eastAsiaTheme="minorEastAsia"/>
                <w:szCs w:val="21"/>
              </w:rPr>
            </w:pPr>
            <w:r>
              <w:rPr>
                <w:rFonts w:hint="eastAsia" w:ascii="Times New Roman" w:hAnsi="Times New Roman" w:eastAsiaTheme="minorEastAsia"/>
                <w:szCs w:val="21"/>
                <w:lang w:val="en-US" w:eastAsia="zh-CN"/>
              </w:rPr>
              <w:t>6</w:t>
            </w:r>
            <w:r>
              <w:rPr>
                <w:rFonts w:ascii="Times New Roman" w:hAnsi="Times New Roman" w:eastAsiaTheme="minorEastAsia"/>
                <w:szCs w:val="21"/>
              </w:rPr>
              <w:t>0%</w:t>
            </w:r>
          </w:p>
        </w:tc>
        <w:tc>
          <w:tcPr>
            <w:tcW w:w="2028" w:type="dxa"/>
            <w:shd w:val="clear" w:color="auto" w:fill="auto"/>
            <w:vAlign w:val="center"/>
          </w:tcPr>
          <w:p w14:paraId="0376DB9E">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eastAsiaTheme="minorEastAsia"/>
                <w:szCs w:val="21"/>
              </w:rPr>
            </w:pPr>
            <w:r>
              <w:rPr>
                <w:rFonts w:ascii="Times New Roman" w:hAnsi="Times New Roman" w:eastAsiaTheme="minorEastAsia"/>
                <w:szCs w:val="21"/>
              </w:rPr>
              <w:t>课程目标1</w:t>
            </w:r>
          </w:p>
        </w:tc>
        <w:tc>
          <w:tcPr>
            <w:tcW w:w="3957" w:type="dxa"/>
            <w:vMerge w:val="restart"/>
            <w:shd w:val="clear" w:color="auto" w:fill="auto"/>
            <w:vAlign w:val="center"/>
          </w:tcPr>
          <w:p w14:paraId="4157FCE2">
            <w:pPr>
              <w:keepNext w:val="0"/>
              <w:keepLines w:val="0"/>
              <w:pageBreakBefore w:val="0"/>
              <w:kinsoku/>
              <w:wordWrap/>
              <w:overflowPunct/>
              <w:topLinePunct w:val="0"/>
              <w:autoSpaceDE/>
              <w:autoSpaceDN/>
              <w:bidi w:val="0"/>
              <w:spacing w:line="360" w:lineRule="auto"/>
              <w:textAlignment w:val="auto"/>
              <w:rPr>
                <w:rFonts w:hint="default" w:ascii="Times New Roman" w:hAnsi="Times New Roman" w:eastAsia="宋体"/>
                <w:color w:val="FF0000"/>
                <w:szCs w:val="21"/>
                <w:lang w:val="en-US" w:eastAsia="zh-CN"/>
              </w:rPr>
            </w:pPr>
            <w:r>
              <w:rPr>
                <w:rFonts w:hint="eastAsia" w:ascii="Times New Roman" w:hAnsi="Times New Roman" w:cs="宋体"/>
                <w:color w:val="000000"/>
                <w:lang w:eastAsia="zh-Hans"/>
              </w:rPr>
              <w:t>包括</w:t>
            </w:r>
            <w:r>
              <w:rPr>
                <w:rFonts w:hint="eastAsia" w:ascii="Times New Roman" w:hAnsi="Times New Roman" w:cs="宋体"/>
                <w:color w:val="000000"/>
                <w:lang w:val="en-US" w:eastAsia="zh-CN"/>
              </w:rPr>
              <w:t>对人文科学的总体认识和问题意识，</w:t>
            </w:r>
            <w:r>
              <w:rPr>
                <w:rFonts w:hint="eastAsia" w:ascii="Times New Roman" w:hAnsi="Times New Roman" w:cs="宋体"/>
                <w:color w:val="000000"/>
                <w:lang w:eastAsia="zh-Hans"/>
              </w:rPr>
              <w:t>对基本概念及知识点的掌握、对重点话题的分析、对文本的鉴赏、对知识与理论的综合运用</w:t>
            </w:r>
            <w:r>
              <w:rPr>
                <w:rFonts w:hint="eastAsia" w:ascii="Times New Roman" w:hAnsi="Times New Roman" w:cs="宋体"/>
                <w:color w:val="000000"/>
                <w:lang w:eastAsia="zh-CN"/>
              </w:rPr>
              <w:t>。从各个板块具体授课内容选取一讲内容，给出自己的角度，展开分析，进行阐述。</w:t>
            </w:r>
            <w:r>
              <w:rPr>
                <w:rFonts w:hint="eastAsia" w:ascii="Times New Roman" w:hAnsi="Times New Roman" w:cs="宋体"/>
                <w:color w:val="000000"/>
                <w:lang w:val="en-US" w:eastAsia="zh-CN"/>
              </w:rPr>
              <w:t>形式为一篇论文，2000-3000字，不得超字数。第16周提交。</w:t>
            </w:r>
          </w:p>
        </w:tc>
      </w:tr>
      <w:tr w14:paraId="664C4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93" w:type="dxa"/>
            <w:vMerge w:val="continue"/>
            <w:shd w:val="clear" w:color="auto" w:fill="auto"/>
            <w:vAlign w:val="center"/>
          </w:tcPr>
          <w:p w14:paraId="7E71F722">
            <w:pPr>
              <w:keepNext w:val="0"/>
              <w:keepLines w:val="0"/>
              <w:pageBreakBefore w:val="0"/>
              <w:kinsoku/>
              <w:wordWrap/>
              <w:overflowPunct/>
              <w:topLinePunct w:val="0"/>
              <w:autoSpaceDE/>
              <w:autoSpaceDN/>
              <w:bidi w:val="0"/>
              <w:spacing w:line="360" w:lineRule="auto"/>
              <w:textAlignment w:val="auto"/>
              <w:rPr>
                <w:rFonts w:ascii="Times New Roman" w:hAnsi="Times New Roman"/>
                <w:szCs w:val="21"/>
              </w:rPr>
            </w:pPr>
          </w:p>
        </w:tc>
        <w:tc>
          <w:tcPr>
            <w:tcW w:w="824" w:type="dxa"/>
            <w:vMerge w:val="continue"/>
            <w:shd w:val="clear" w:color="auto" w:fill="auto"/>
            <w:vAlign w:val="center"/>
          </w:tcPr>
          <w:p w14:paraId="3B2BCB6D">
            <w:pPr>
              <w:keepNext w:val="0"/>
              <w:keepLines w:val="0"/>
              <w:pageBreakBefore w:val="0"/>
              <w:kinsoku/>
              <w:wordWrap/>
              <w:overflowPunct/>
              <w:topLinePunct w:val="0"/>
              <w:autoSpaceDE/>
              <w:autoSpaceDN/>
              <w:bidi w:val="0"/>
              <w:spacing w:line="360" w:lineRule="auto"/>
              <w:textAlignment w:val="auto"/>
              <w:rPr>
                <w:rFonts w:ascii="Times New Roman" w:hAnsi="Times New Roman" w:eastAsiaTheme="minorEastAsia"/>
                <w:szCs w:val="21"/>
              </w:rPr>
            </w:pPr>
          </w:p>
        </w:tc>
        <w:tc>
          <w:tcPr>
            <w:tcW w:w="2028" w:type="dxa"/>
            <w:shd w:val="clear" w:color="auto" w:fill="auto"/>
            <w:vAlign w:val="center"/>
          </w:tcPr>
          <w:p w14:paraId="4B3CDDF7">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eastAsiaTheme="minorEastAsia"/>
                <w:szCs w:val="21"/>
              </w:rPr>
            </w:pPr>
            <w:r>
              <w:rPr>
                <w:rFonts w:ascii="Times New Roman" w:hAnsi="Times New Roman" w:eastAsiaTheme="minorEastAsia"/>
                <w:szCs w:val="21"/>
              </w:rPr>
              <w:t>课程目标2</w:t>
            </w:r>
          </w:p>
        </w:tc>
        <w:tc>
          <w:tcPr>
            <w:tcW w:w="3957" w:type="dxa"/>
            <w:vMerge w:val="continue"/>
            <w:shd w:val="clear" w:color="auto" w:fill="auto"/>
            <w:vAlign w:val="center"/>
          </w:tcPr>
          <w:p w14:paraId="71869D7C">
            <w:pPr>
              <w:keepNext w:val="0"/>
              <w:keepLines w:val="0"/>
              <w:pageBreakBefore w:val="0"/>
              <w:kinsoku/>
              <w:wordWrap/>
              <w:overflowPunct/>
              <w:topLinePunct w:val="0"/>
              <w:autoSpaceDE/>
              <w:autoSpaceDN/>
              <w:bidi w:val="0"/>
              <w:spacing w:line="360" w:lineRule="auto"/>
              <w:textAlignment w:val="auto"/>
              <w:rPr>
                <w:rFonts w:ascii="Times New Roman" w:hAnsi="Times New Roman"/>
                <w:szCs w:val="21"/>
              </w:rPr>
            </w:pPr>
          </w:p>
        </w:tc>
      </w:tr>
      <w:tr w14:paraId="0B44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4" w:hRule="atLeast"/>
          <w:jc w:val="center"/>
        </w:trPr>
        <w:tc>
          <w:tcPr>
            <w:tcW w:w="1493" w:type="dxa"/>
            <w:vMerge w:val="continue"/>
            <w:shd w:val="clear" w:color="auto" w:fill="auto"/>
            <w:vAlign w:val="center"/>
          </w:tcPr>
          <w:p w14:paraId="00A343BF">
            <w:pPr>
              <w:keepNext w:val="0"/>
              <w:keepLines w:val="0"/>
              <w:pageBreakBefore w:val="0"/>
              <w:kinsoku/>
              <w:wordWrap/>
              <w:overflowPunct/>
              <w:topLinePunct w:val="0"/>
              <w:autoSpaceDE/>
              <w:autoSpaceDN/>
              <w:bidi w:val="0"/>
              <w:spacing w:line="360" w:lineRule="auto"/>
              <w:textAlignment w:val="auto"/>
              <w:rPr>
                <w:rFonts w:ascii="Times New Roman" w:hAnsi="Times New Roman"/>
                <w:szCs w:val="21"/>
              </w:rPr>
            </w:pPr>
          </w:p>
        </w:tc>
        <w:tc>
          <w:tcPr>
            <w:tcW w:w="824" w:type="dxa"/>
            <w:vMerge w:val="continue"/>
            <w:shd w:val="clear" w:color="auto" w:fill="auto"/>
            <w:vAlign w:val="center"/>
          </w:tcPr>
          <w:p w14:paraId="4C78C354">
            <w:pPr>
              <w:keepNext w:val="0"/>
              <w:keepLines w:val="0"/>
              <w:pageBreakBefore w:val="0"/>
              <w:kinsoku/>
              <w:wordWrap/>
              <w:overflowPunct/>
              <w:topLinePunct w:val="0"/>
              <w:autoSpaceDE/>
              <w:autoSpaceDN/>
              <w:bidi w:val="0"/>
              <w:spacing w:line="360" w:lineRule="auto"/>
              <w:textAlignment w:val="auto"/>
              <w:rPr>
                <w:rFonts w:ascii="Times New Roman" w:hAnsi="Times New Roman" w:eastAsiaTheme="minorEastAsia"/>
                <w:szCs w:val="21"/>
              </w:rPr>
            </w:pPr>
          </w:p>
        </w:tc>
        <w:tc>
          <w:tcPr>
            <w:tcW w:w="2028" w:type="dxa"/>
            <w:shd w:val="clear" w:color="auto" w:fill="auto"/>
            <w:vAlign w:val="center"/>
          </w:tcPr>
          <w:p w14:paraId="2A63A81D">
            <w:pPr>
              <w:keepNext w:val="0"/>
              <w:keepLines w:val="0"/>
              <w:pageBreakBefore w:val="0"/>
              <w:kinsoku/>
              <w:wordWrap/>
              <w:overflowPunct/>
              <w:topLinePunct w:val="0"/>
              <w:autoSpaceDE/>
              <w:autoSpaceDN/>
              <w:bidi w:val="0"/>
              <w:spacing w:line="360" w:lineRule="auto"/>
              <w:jc w:val="center"/>
              <w:textAlignment w:val="auto"/>
              <w:rPr>
                <w:rFonts w:ascii="Times New Roman" w:hAnsi="Times New Roman" w:eastAsiaTheme="minorEastAsia"/>
                <w:szCs w:val="21"/>
              </w:rPr>
            </w:pPr>
            <w:r>
              <w:rPr>
                <w:rFonts w:ascii="Times New Roman" w:hAnsi="Times New Roman" w:eastAsiaTheme="minorEastAsia"/>
                <w:szCs w:val="21"/>
              </w:rPr>
              <w:t>课程目标3</w:t>
            </w:r>
          </w:p>
        </w:tc>
        <w:tc>
          <w:tcPr>
            <w:tcW w:w="3957" w:type="dxa"/>
            <w:vMerge w:val="continue"/>
            <w:shd w:val="clear" w:color="auto" w:fill="auto"/>
            <w:vAlign w:val="center"/>
          </w:tcPr>
          <w:p w14:paraId="352B8A96">
            <w:pPr>
              <w:keepNext w:val="0"/>
              <w:keepLines w:val="0"/>
              <w:pageBreakBefore w:val="0"/>
              <w:kinsoku/>
              <w:wordWrap/>
              <w:overflowPunct/>
              <w:topLinePunct w:val="0"/>
              <w:autoSpaceDE/>
              <w:autoSpaceDN/>
              <w:bidi w:val="0"/>
              <w:spacing w:line="360" w:lineRule="auto"/>
              <w:textAlignment w:val="auto"/>
              <w:rPr>
                <w:rFonts w:ascii="Times New Roman" w:hAnsi="Times New Roman"/>
                <w:szCs w:val="21"/>
              </w:rPr>
            </w:pPr>
          </w:p>
        </w:tc>
      </w:tr>
      <w:bookmarkEnd w:id="0"/>
    </w:tbl>
    <w:p w14:paraId="266F501B">
      <w:pPr>
        <w:pStyle w:val="7"/>
        <w:spacing w:line="360" w:lineRule="auto"/>
        <w:ind w:firstLine="0" w:firstLineChars="0"/>
        <w:rPr>
          <w:rFonts w:hint="eastAsia" w:ascii="黑体" w:hAnsi="黑体" w:eastAsia="黑体"/>
          <w:color w:val="000000"/>
          <w:szCs w:val="21"/>
          <w:lang w:val="en-US" w:eastAsia="zh-CN"/>
        </w:rPr>
      </w:pPr>
    </w:p>
    <w:p w14:paraId="2EA2C108">
      <w:pPr>
        <w:pStyle w:val="7"/>
        <w:spacing w:line="360" w:lineRule="auto"/>
        <w:ind w:firstLine="0" w:firstLineChars="0"/>
        <w:rPr>
          <w:rFonts w:hint="eastAsia" w:ascii="黑体" w:hAnsi="黑体" w:eastAsia="黑体"/>
          <w:color w:val="000000"/>
          <w:szCs w:val="21"/>
          <w:lang w:val="en-US" w:eastAsia="zh-CN"/>
        </w:rPr>
      </w:pPr>
      <w:r>
        <w:rPr>
          <w:rFonts w:hint="eastAsia" w:ascii="黑体" w:hAnsi="黑体" w:eastAsia="黑体"/>
          <w:color w:val="000000"/>
          <w:szCs w:val="21"/>
          <w:lang w:val="en-US" w:eastAsia="zh-CN"/>
        </w:rPr>
        <w:t>平时作业题目和要求</w:t>
      </w:r>
    </w:p>
    <w:p w14:paraId="122ED656">
      <w:pPr>
        <w:pStyle w:val="7"/>
        <w:spacing w:line="360" w:lineRule="auto"/>
        <w:ind w:firstLine="0" w:firstLineChars="0"/>
        <w:rPr>
          <w:rFonts w:hint="default" w:ascii="黑体" w:hAnsi="黑体" w:eastAsia="黑体"/>
          <w:color w:val="000000"/>
          <w:szCs w:val="21"/>
          <w:lang w:val="en-US" w:eastAsia="zh-CN"/>
        </w:rPr>
      </w:pPr>
      <w:r>
        <w:rPr>
          <w:rFonts w:hint="eastAsia" w:ascii="黑体" w:hAnsi="黑体" w:eastAsia="黑体"/>
          <w:color w:val="000000"/>
          <w:szCs w:val="21"/>
          <w:lang w:val="en-US" w:eastAsia="zh-CN"/>
        </w:rPr>
        <w:t>题目选项：</w:t>
      </w:r>
    </w:p>
    <w:p w14:paraId="2C25B236">
      <w:pPr>
        <w:pStyle w:val="7"/>
        <w:numPr>
          <w:ilvl w:val="0"/>
          <w:numId w:val="4"/>
        </w:numPr>
        <w:spacing w:line="360" w:lineRule="auto"/>
        <w:ind w:firstLine="0" w:firstLineChars="0"/>
        <w:rPr>
          <w:rFonts w:hint="eastAsia" w:ascii="黑体" w:hAnsi="黑体" w:eastAsia="黑体"/>
          <w:color w:val="000000"/>
          <w:szCs w:val="21"/>
          <w:lang w:val="en-US" w:eastAsia="zh-CN"/>
        </w:rPr>
      </w:pPr>
      <w:r>
        <w:rPr>
          <w:rFonts w:hint="eastAsia" w:ascii="黑体" w:hAnsi="黑体" w:eastAsia="黑体"/>
          <w:color w:val="000000"/>
          <w:szCs w:val="21"/>
          <w:lang w:val="en-US" w:eastAsia="zh-CN"/>
        </w:rPr>
        <w:t>文化产业管理</w:t>
      </w:r>
    </w:p>
    <w:p w14:paraId="16FDD873">
      <w:pPr>
        <w:pStyle w:val="7"/>
        <w:numPr>
          <w:ilvl w:val="0"/>
          <w:numId w:val="0"/>
        </w:numPr>
        <w:spacing w:line="360" w:lineRule="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（1）请结合文化产业的基本理论，谈谈你对文化产业某种现象的看法。</w:t>
      </w:r>
    </w:p>
    <w:p w14:paraId="48E2702D">
      <w:pPr>
        <w:pStyle w:val="7"/>
        <w:numPr>
          <w:ilvl w:val="0"/>
          <w:numId w:val="0"/>
        </w:numPr>
        <w:spacing w:line="360" w:lineRule="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例如：基于阅读本雅明《机械复制时代的艺术作品》一书，分析电影在艺术形式和艺术价值方面的体现。</w:t>
      </w:r>
    </w:p>
    <w:p w14:paraId="09A3BD4D">
      <w:pPr>
        <w:pStyle w:val="7"/>
        <w:numPr>
          <w:ilvl w:val="0"/>
          <w:numId w:val="0"/>
        </w:numPr>
        <w:spacing w:line="360" w:lineRule="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（2）请以某项物质或者非物质文化遗产为研究对象，分析其作为文化资源的发展历史及特点，并阐述开发的形式及理由。</w:t>
      </w:r>
    </w:p>
    <w:p w14:paraId="3DCBC79B">
      <w:pPr>
        <w:pStyle w:val="7"/>
        <w:numPr>
          <w:ilvl w:val="0"/>
          <w:numId w:val="0"/>
        </w:numPr>
        <w:spacing w:line="360" w:lineRule="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例如：阐述非遗苏绣的发展简史及特点，结合当下消费环境阐述其开发的形式及理由。</w:t>
      </w:r>
    </w:p>
    <w:p w14:paraId="4DF0BDC6">
      <w:pPr>
        <w:pStyle w:val="7"/>
        <w:numPr>
          <w:ilvl w:val="0"/>
          <w:numId w:val="0"/>
        </w:numPr>
        <w:spacing w:line="360" w:lineRule="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（3）请以某类或某个文化产品或服务为研究对象，结合品牌理论分析打造文化品牌的理由、目的及具体路径。</w:t>
      </w:r>
    </w:p>
    <w:p w14:paraId="1B8B2C3A">
      <w:pPr>
        <w:pStyle w:val="7"/>
        <w:numPr>
          <w:ilvl w:val="0"/>
          <w:numId w:val="0"/>
        </w:numPr>
        <w:spacing w:line="360" w:lineRule="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例如：以敦煌文创产品为研究对象，结合品牌理论分析其打造品牌的基础及路径。</w:t>
      </w:r>
    </w:p>
    <w:p w14:paraId="684A2365">
      <w:pPr>
        <w:pStyle w:val="7"/>
        <w:numPr>
          <w:ilvl w:val="0"/>
          <w:numId w:val="0"/>
        </w:numPr>
        <w:spacing w:line="360" w:lineRule="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（4）请基于文化消费理论，结合文化产业某个行业谈谈你对文化消费的看法。</w:t>
      </w:r>
    </w:p>
    <w:p w14:paraId="2BF27107">
      <w:pPr>
        <w:pStyle w:val="7"/>
        <w:numPr>
          <w:ilvl w:val="0"/>
          <w:numId w:val="0"/>
        </w:numPr>
        <w:spacing w:line="360" w:lineRule="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例如：基于文化消费理论，分析演艺产业的消费现状，探讨促进演艺消费的路径。</w:t>
      </w:r>
    </w:p>
    <w:p w14:paraId="3779785D">
      <w:pPr>
        <w:pStyle w:val="7"/>
        <w:numPr>
          <w:ilvl w:val="0"/>
          <w:numId w:val="0"/>
        </w:numPr>
        <w:spacing w:line="360" w:lineRule="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（5）选择你感兴趣的某类数字文化行业，结合近5年的行业数据，分析其发展环境、行业特点、发展趋势。</w:t>
      </w:r>
    </w:p>
    <w:p w14:paraId="5F131B2F">
      <w:pPr>
        <w:pStyle w:val="7"/>
        <w:numPr>
          <w:ilvl w:val="0"/>
          <w:numId w:val="0"/>
        </w:numPr>
        <w:spacing w:line="360" w:lineRule="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例如：结合具体数据，分析电竞产业的发展环境、行业特点、发展趋势。</w:t>
      </w:r>
    </w:p>
    <w:p w14:paraId="5BF592B2">
      <w:pPr>
        <w:pStyle w:val="7"/>
        <w:numPr>
          <w:ilvl w:val="0"/>
          <w:numId w:val="4"/>
        </w:numPr>
        <w:spacing w:line="360" w:lineRule="auto"/>
        <w:ind w:left="0" w:leftChars="0" w:firstLine="0" w:firstLineChars="0"/>
        <w:rPr>
          <w:rFonts w:hint="eastAsia" w:ascii="黑体" w:hAnsi="黑体" w:eastAsia="黑体"/>
          <w:color w:val="000000"/>
          <w:szCs w:val="21"/>
          <w:lang w:val="en-US" w:eastAsia="zh-CN"/>
        </w:rPr>
      </w:pPr>
      <w:r>
        <w:rPr>
          <w:rFonts w:hint="eastAsia" w:ascii="黑体" w:hAnsi="黑体" w:eastAsia="黑体"/>
          <w:color w:val="000000"/>
          <w:szCs w:val="21"/>
          <w:lang w:val="en-US" w:eastAsia="zh-CN"/>
        </w:rPr>
        <w:t>文学理论</w:t>
      </w:r>
    </w:p>
    <w:p w14:paraId="6FD5D603">
      <w:pPr>
        <w:ind w:firstLine="435"/>
        <w:jc w:val="both"/>
      </w:pPr>
      <w:r>
        <w:rPr>
          <w:rFonts w:hint="eastAsia"/>
        </w:rPr>
        <w:t>（1）通过分析一</w:t>
      </w:r>
      <w:r>
        <w:rPr>
          <w:rFonts w:hint="eastAsia"/>
          <w:lang w:val="en-US" w:eastAsia="zh-CN"/>
        </w:rPr>
        <w:t>部现当代作家作品，</w:t>
      </w:r>
      <w:r>
        <w:rPr>
          <w:rFonts w:hint="eastAsia"/>
        </w:rPr>
        <w:t>分析其创作风格的形成与其所处时代的关系。</w:t>
      </w:r>
    </w:p>
    <w:p w14:paraId="5ACF729F">
      <w:pPr>
        <w:ind w:firstLine="435"/>
        <w:jc w:val="both"/>
        <w:rPr>
          <w:sz w:val="21"/>
          <w:szCs w:val="21"/>
        </w:rPr>
      </w:pPr>
      <w:r>
        <w:rPr>
          <w:rFonts w:hint="eastAsia"/>
          <w:sz w:val="21"/>
          <w:szCs w:val="21"/>
        </w:rPr>
        <w:t>比如：从</w:t>
      </w:r>
      <w:r>
        <w:rPr>
          <w:rFonts w:hint="eastAsia"/>
          <w:sz w:val="21"/>
          <w:szCs w:val="21"/>
          <w:lang w:eastAsia="zh-CN"/>
        </w:rPr>
        <w:t>《</w:t>
      </w:r>
      <w:r>
        <w:rPr>
          <w:rFonts w:hint="eastAsia"/>
          <w:sz w:val="21"/>
          <w:szCs w:val="21"/>
          <w:lang w:val="en-US" w:eastAsia="zh-CN"/>
        </w:rPr>
        <w:t>阿Q正传</w:t>
      </w:r>
      <w:r>
        <w:rPr>
          <w:rFonts w:hint="eastAsia"/>
          <w:sz w:val="21"/>
          <w:szCs w:val="21"/>
          <w:lang w:eastAsia="zh-CN"/>
        </w:rPr>
        <w:t>》</w:t>
      </w:r>
      <w:r>
        <w:rPr>
          <w:rFonts w:hint="eastAsia"/>
          <w:sz w:val="21"/>
          <w:szCs w:val="21"/>
        </w:rPr>
        <w:t>看</w:t>
      </w:r>
      <w:r>
        <w:rPr>
          <w:rFonts w:hint="eastAsia"/>
          <w:sz w:val="21"/>
          <w:szCs w:val="21"/>
          <w:lang w:val="en-US" w:eastAsia="zh-CN"/>
        </w:rPr>
        <w:t>鲁迅小说叙事的内在变化和外在动因</w:t>
      </w:r>
      <w:r>
        <w:rPr>
          <w:rFonts w:hint="eastAsia"/>
          <w:sz w:val="21"/>
          <w:szCs w:val="21"/>
        </w:rPr>
        <w:t>。</w:t>
      </w:r>
    </w:p>
    <w:p w14:paraId="0803C1F3">
      <w:pPr>
        <w:ind w:firstLine="435"/>
        <w:jc w:val="both"/>
        <w:rPr>
          <w:rFonts w:hint="default" w:eastAsia="宋体"/>
          <w:sz w:val="21"/>
          <w:szCs w:val="21"/>
          <w:lang w:val="en-US" w:eastAsia="zh-CN"/>
        </w:rPr>
      </w:pPr>
      <w:r>
        <w:rPr>
          <w:rFonts w:hint="eastAsia"/>
          <w:sz w:val="21"/>
          <w:szCs w:val="21"/>
        </w:rPr>
        <w:t>比如：</w:t>
      </w:r>
      <w:r>
        <w:rPr>
          <w:rFonts w:hint="eastAsia"/>
          <w:sz w:val="21"/>
          <w:szCs w:val="21"/>
          <w:lang w:val="en-US" w:eastAsia="zh-CN"/>
        </w:rPr>
        <w:t>从《亲和力》看歌德后期小说创作的特点</w:t>
      </w:r>
    </w:p>
    <w:p w14:paraId="6398A3F1">
      <w:pPr>
        <w:numPr>
          <w:ilvl w:val="0"/>
          <w:numId w:val="5"/>
        </w:numPr>
        <w:ind w:firstLine="435"/>
        <w:jc w:val="both"/>
        <w:rPr>
          <w:rFonts w:hint="eastAsia"/>
          <w:sz w:val="21"/>
          <w:szCs w:val="21"/>
        </w:rPr>
      </w:pPr>
      <w:r>
        <w:rPr>
          <w:rFonts w:hint="eastAsia"/>
          <w:sz w:val="21"/>
          <w:szCs w:val="21"/>
          <w:lang w:val="en-US" w:eastAsia="zh-CN"/>
        </w:rPr>
        <w:t>以“诗言志”“为艺术而艺术”等文学观念为例，分析其</w:t>
      </w:r>
      <w:r>
        <w:rPr>
          <w:rFonts w:hint="eastAsia"/>
          <w:sz w:val="21"/>
          <w:szCs w:val="21"/>
        </w:rPr>
        <w:t>在不同时期文学作品中的表现及其演变</w:t>
      </w:r>
      <w:r>
        <w:rPr>
          <w:rFonts w:hint="eastAsia"/>
          <w:sz w:val="21"/>
          <w:szCs w:val="21"/>
          <w:lang w:eastAsia="zh-CN"/>
        </w:rPr>
        <w:t>。</w:t>
      </w:r>
    </w:p>
    <w:p w14:paraId="7CDCE6B6">
      <w:pPr>
        <w:numPr>
          <w:ilvl w:val="0"/>
          <w:numId w:val="5"/>
        </w:numPr>
        <w:ind w:firstLine="435"/>
        <w:jc w:val="both"/>
        <w:rPr>
          <w:rFonts w:hint="eastAsia"/>
          <w:sz w:val="21"/>
          <w:szCs w:val="21"/>
        </w:rPr>
      </w:pPr>
      <w:r>
        <w:rPr>
          <w:rFonts w:hint="eastAsia"/>
          <w:sz w:val="21"/>
          <w:szCs w:val="21"/>
          <w:lang w:val="en-US" w:eastAsia="zh-CN"/>
        </w:rPr>
        <w:t>比较不同文学作品或概念的特征，分析这种特征形成的原因</w:t>
      </w:r>
    </w:p>
    <w:p w14:paraId="374E4ADA">
      <w:pPr>
        <w:numPr>
          <w:ilvl w:val="0"/>
          <w:numId w:val="0"/>
        </w:numPr>
        <w:ind w:firstLine="420"/>
        <w:jc w:val="both"/>
        <w:rPr>
          <w:rFonts w:hint="default"/>
          <w:sz w:val="21"/>
          <w:szCs w:val="21"/>
          <w:lang w:val="en-US" w:eastAsia="zh-CN"/>
        </w:rPr>
      </w:pPr>
      <w:r>
        <w:rPr>
          <w:rFonts w:hint="eastAsia"/>
          <w:sz w:val="21"/>
          <w:szCs w:val="21"/>
          <w:lang w:val="en-US" w:eastAsia="zh-CN"/>
        </w:rPr>
        <w:t>比如：比较“白话文”和“文言文”的异同</w:t>
      </w:r>
    </w:p>
    <w:p w14:paraId="73BE4514">
      <w:pPr>
        <w:numPr>
          <w:ilvl w:val="0"/>
          <w:numId w:val="0"/>
        </w:numPr>
        <w:ind w:firstLine="420"/>
        <w:jc w:val="both"/>
        <w:rPr>
          <w:rFonts w:hint="eastAsia" w:ascii="黑体" w:hAnsi="黑体" w:eastAsia="黑体"/>
          <w:color w:val="000000"/>
          <w:sz w:val="21"/>
          <w:szCs w:val="21"/>
          <w:lang w:val="en-US" w:eastAsia="zh-CN"/>
        </w:rPr>
      </w:pPr>
      <w:r>
        <w:rPr>
          <w:rFonts w:hint="eastAsia"/>
          <w:sz w:val="21"/>
          <w:szCs w:val="21"/>
          <w:lang w:val="en-US" w:eastAsia="zh-CN"/>
        </w:rPr>
        <w:t>比如：比较惠特曼《草叶集》和郭沫若《女神》的异同</w:t>
      </w:r>
    </w:p>
    <w:p w14:paraId="1F208334">
      <w:pPr>
        <w:pStyle w:val="7"/>
        <w:spacing w:line="360" w:lineRule="auto"/>
        <w:ind w:firstLine="0" w:firstLineChars="0"/>
        <w:rPr>
          <w:rFonts w:hint="eastAsia" w:ascii="黑体" w:hAnsi="黑体" w:eastAsia="黑体"/>
          <w:color w:val="000000"/>
          <w:szCs w:val="21"/>
          <w:lang w:val="en-US" w:eastAsia="zh-CN"/>
        </w:rPr>
      </w:pPr>
      <w:r>
        <w:rPr>
          <w:rFonts w:hint="eastAsia" w:ascii="黑体" w:hAnsi="黑体" w:eastAsia="黑体"/>
          <w:color w:val="000000"/>
          <w:szCs w:val="21"/>
          <w:lang w:val="en-US" w:eastAsia="zh-CN"/>
        </w:rPr>
        <w:t>3.中国哲学</w:t>
      </w:r>
    </w:p>
    <w:p w14:paraId="70B0A49B">
      <w:pPr>
        <w:ind w:firstLine="435"/>
        <w:jc w:val="both"/>
      </w:pPr>
      <w:r>
        <w:rPr>
          <w:rFonts w:hint="eastAsia"/>
        </w:rPr>
        <w:t>第一类：通过分析一个或一组“字”，解读背后的造字逻辑与思想观念。</w:t>
      </w:r>
    </w:p>
    <w:p w14:paraId="48EDEED4">
      <w:pPr>
        <w:ind w:firstLine="435"/>
        <w:jc w:val="both"/>
      </w:pPr>
      <w:r>
        <w:rPr>
          <w:rFonts w:hint="eastAsia"/>
        </w:rPr>
        <w:t>比如：（1）从“中”字看古代“中国”观念的形成。</w:t>
      </w:r>
    </w:p>
    <w:p w14:paraId="1773E633">
      <w:pPr>
        <w:ind w:firstLine="435"/>
        <w:jc w:val="both"/>
      </w:pPr>
      <w:r>
        <w:rPr>
          <w:rFonts w:hint="eastAsia"/>
        </w:rPr>
        <w:t>比如：（2）什么是“易”，或什么是“周易”。</w:t>
      </w:r>
    </w:p>
    <w:p w14:paraId="63329DF6">
      <w:pPr>
        <w:ind w:firstLine="435"/>
        <w:jc w:val="both"/>
      </w:pPr>
      <w:r>
        <w:rPr>
          <w:rFonts w:hint="eastAsia"/>
        </w:rPr>
        <w:t>第二类：通过分析先秦典籍文句中的一个字、词，达到对一句、一段话更准确表达。</w:t>
      </w:r>
    </w:p>
    <w:p w14:paraId="435027C4">
      <w:pPr>
        <w:ind w:firstLine="435"/>
        <w:jc w:val="both"/>
      </w:pPr>
      <w:r>
        <w:rPr>
          <w:rFonts w:hint="eastAsia"/>
        </w:rPr>
        <w:t>比如：（</w:t>
      </w:r>
      <w:r>
        <w:rPr>
          <w:rFonts w:hint="eastAsia"/>
          <w:lang w:val="en-US" w:eastAsia="zh-CN"/>
        </w:rPr>
        <w:t>3</w:t>
      </w:r>
      <w:r>
        <w:rPr>
          <w:rFonts w:hint="eastAsia"/>
        </w:rPr>
        <w:t>）通过对“道”的解读，更好地理解“道可道，非常道”。</w:t>
      </w:r>
    </w:p>
    <w:p w14:paraId="2318A1EA">
      <w:pPr>
        <w:ind w:firstLine="435"/>
        <w:jc w:val="both"/>
      </w:pPr>
      <w:r>
        <w:rPr>
          <w:rFonts w:hint="eastAsia"/>
        </w:rPr>
        <w:t>比如：（</w:t>
      </w:r>
      <w:r>
        <w:rPr>
          <w:rFonts w:hint="eastAsia"/>
          <w:lang w:val="en-US" w:eastAsia="zh-CN"/>
        </w:rPr>
        <w:t>4</w:t>
      </w:r>
      <w:r>
        <w:rPr>
          <w:rFonts w:hint="eastAsia"/>
        </w:rPr>
        <w:t>）通过对“学”“习”的分析，更好地理解“学而时习之，不亦说乎”。</w:t>
      </w:r>
    </w:p>
    <w:p w14:paraId="331C80CE">
      <w:pPr>
        <w:ind w:firstLine="435"/>
        <w:jc w:val="both"/>
        <w:rPr>
          <w:rFonts w:hint="eastAsia"/>
        </w:rPr>
      </w:pPr>
      <w:r>
        <w:rPr>
          <w:rFonts w:hint="eastAsia"/>
        </w:rPr>
        <w:t>（</w:t>
      </w:r>
      <w:r>
        <w:rPr>
          <w:rFonts w:hint="eastAsia"/>
          <w:lang w:val="en-US" w:eastAsia="zh-CN"/>
        </w:rPr>
        <w:t>5</w:t>
      </w:r>
      <w:r>
        <w:rPr>
          <w:rFonts w:hint="eastAsia"/>
        </w:rPr>
        <w:t>）自拟</w:t>
      </w:r>
    </w:p>
    <w:p w14:paraId="3562B03A">
      <w:pPr>
        <w:jc w:val="both"/>
        <w:rPr>
          <w:rFonts w:hint="eastAsia" w:ascii="黑体" w:hAnsi="黑体" w:eastAsia="黑体" w:cs="黑体"/>
        </w:rPr>
      </w:pPr>
      <w:r>
        <w:rPr>
          <w:rFonts w:hint="eastAsia" w:ascii="黑体" w:hAnsi="黑体" w:eastAsia="黑体" w:cs="黑体"/>
        </w:rPr>
        <w:t>要求：</w:t>
      </w:r>
    </w:p>
    <w:p w14:paraId="2632E36E">
      <w:pPr>
        <w:ind w:firstLine="435"/>
        <w:jc w:val="both"/>
      </w:pPr>
      <w:r>
        <w:rPr>
          <w:rFonts w:hint="eastAsia"/>
          <w:lang w:val="en-US" w:eastAsia="zh-CN"/>
        </w:rPr>
        <w:t>从所有问题选项中选做其中一题，</w:t>
      </w:r>
      <w:r>
        <w:rPr>
          <w:rFonts w:hint="eastAsia"/>
        </w:rPr>
        <w:t>题目自拟，字数不少于800字</w:t>
      </w:r>
      <w:r>
        <w:rPr>
          <w:rFonts w:hint="eastAsia"/>
          <w:lang w:eastAsia="zh-CN"/>
        </w:rPr>
        <w:t>，</w:t>
      </w:r>
      <w:r>
        <w:rPr>
          <w:rFonts w:hint="eastAsia"/>
          <w:lang w:val="en-US" w:eastAsia="zh-CN"/>
        </w:rPr>
        <w:t>不得超过1000字</w:t>
      </w:r>
      <w:r>
        <w:rPr>
          <w:rFonts w:hint="eastAsia"/>
        </w:rPr>
        <w:t>。</w:t>
      </w:r>
      <w:r>
        <w:rPr>
          <w:rFonts w:hint="eastAsia" w:ascii="Times New Roman" w:hAnsi="Times New Roman"/>
          <w:lang w:val="en-US" w:eastAsia="zh-CN"/>
        </w:rPr>
        <w:t>第11周提交。</w:t>
      </w:r>
    </w:p>
    <w:p w14:paraId="01BFDB08">
      <w:pPr>
        <w:pStyle w:val="7"/>
        <w:spacing w:line="360" w:lineRule="auto"/>
        <w:ind w:firstLine="0" w:firstLineChars="0"/>
        <w:rPr>
          <w:rFonts w:hint="default" w:ascii="黑体" w:hAnsi="黑体" w:eastAsia="黑体"/>
          <w:color w:val="000000"/>
          <w:szCs w:val="21"/>
          <w:lang w:val="en-US" w:eastAsia="zh-CN"/>
        </w:rPr>
      </w:pPr>
    </w:p>
    <w:p w14:paraId="0EAC8BAF">
      <w:pPr>
        <w:pStyle w:val="7"/>
        <w:spacing w:line="360" w:lineRule="auto"/>
        <w:ind w:firstLine="0" w:firstLineChars="0"/>
        <w:rPr>
          <w:rFonts w:hint="eastAsia" w:ascii="黑体" w:hAnsi="黑体" w:eastAsia="黑体"/>
          <w:color w:val="000000"/>
          <w:szCs w:val="21"/>
          <w:lang w:val="en-US" w:eastAsia="zh-CN"/>
        </w:rPr>
      </w:pPr>
      <w:r>
        <w:rPr>
          <w:rFonts w:hint="eastAsia" w:ascii="黑体" w:hAnsi="黑体" w:eastAsia="黑体"/>
          <w:color w:val="000000"/>
          <w:szCs w:val="21"/>
          <w:lang w:val="en-US" w:eastAsia="zh-CN"/>
        </w:rPr>
        <w:t>期末论文</w:t>
      </w:r>
    </w:p>
    <w:p w14:paraId="129A3A44">
      <w:pPr>
        <w:pStyle w:val="7"/>
        <w:spacing w:line="360" w:lineRule="auto"/>
        <w:ind w:firstLine="0" w:firstLineChars="0"/>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从各个板块具体授课内容选取一讲内容，给出自己的角度，展开分析，进行阐述。</w:t>
      </w:r>
    </w:p>
    <w:p w14:paraId="04B7795E">
      <w:pPr>
        <w:pStyle w:val="7"/>
        <w:spacing w:line="360" w:lineRule="auto"/>
        <w:ind w:firstLine="0" w:firstLineChars="0"/>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形式为一篇论文，2000-3000字，不得超过3000字。</w:t>
      </w:r>
      <w:r>
        <w:rPr>
          <w:rFonts w:hint="eastAsia" w:ascii="Times New Roman" w:hAnsi="Times New Roman"/>
          <w:lang w:val="en-US" w:eastAsia="zh-CN"/>
        </w:rPr>
        <w:t>第16</w:t>
      </w:r>
      <w:bookmarkStart w:id="2" w:name="_GoBack"/>
      <w:bookmarkEnd w:id="2"/>
      <w:r>
        <w:rPr>
          <w:rFonts w:hint="eastAsia" w:ascii="Times New Roman" w:hAnsi="Times New Roman"/>
          <w:lang w:val="en-US" w:eastAsia="zh-CN"/>
        </w:rPr>
        <w:t>周提交。</w:t>
      </w:r>
    </w:p>
    <w:p w14:paraId="50B3B402">
      <w:pPr>
        <w:pStyle w:val="7"/>
        <w:spacing w:line="360" w:lineRule="auto"/>
        <w:ind w:firstLine="0" w:firstLineChars="0"/>
        <w:rPr>
          <w:rFonts w:hint="default" w:ascii="黑体" w:hAnsi="黑体" w:eastAsia="黑体"/>
          <w:color w:val="000000"/>
          <w:szCs w:val="21"/>
          <w:lang w:val="en-US" w:eastAsia="zh-CN"/>
        </w:rPr>
      </w:pPr>
    </w:p>
    <w:p w14:paraId="7C44E5DA">
      <w:pPr>
        <w:pStyle w:val="7"/>
        <w:spacing w:line="360" w:lineRule="auto"/>
        <w:ind w:firstLine="0" w:firstLineChars="0"/>
        <w:rPr>
          <w:rFonts w:hint="eastAsia" w:ascii="黑体" w:hAnsi="黑体" w:eastAsia="黑体"/>
          <w:color w:val="000000"/>
          <w:szCs w:val="21"/>
          <w:lang w:val="en-US" w:eastAsia="zh-CN"/>
        </w:rPr>
      </w:pPr>
      <w:r>
        <w:rPr>
          <w:rFonts w:hint="eastAsia" w:ascii="黑体" w:hAnsi="黑体" w:eastAsia="黑体"/>
          <w:color w:val="000000"/>
          <w:szCs w:val="21"/>
          <w:lang w:val="en-US" w:eastAsia="zh-CN"/>
        </w:rPr>
        <w:t>评价标准</w:t>
      </w:r>
    </w:p>
    <w:p w14:paraId="3105CAEA">
      <w:pPr>
        <w:numPr>
          <w:ilvl w:val="0"/>
          <w:numId w:val="6"/>
        </w:numPr>
        <w:adjustRightInd w:val="0"/>
        <w:snapToGrid w:val="0"/>
        <w:spacing w:line="360" w:lineRule="auto"/>
        <w:jc w:val="left"/>
        <w:rPr>
          <w:rFonts w:ascii="黑体" w:hAnsi="黑体" w:eastAsia="黑体"/>
          <w:color w:val="000000"/>
          <w:szCs w:val="21"/>
        </w:rPr>
      </w:pPr>
      <w:bookmarkStart w:id="1" w:name="_Hlk102641842"/>
      <w:r>
        <w:rPr>
          <w:rFonts w:hint="eastAsia" w:ascii="黑体" w:hAnsi="黑体" w:eastAsia="黑体"/>
          <w:color w:val="000000"/>
          <w:szCs w:val="21"/>
          <w:lang w:val="en-US" w:eastAsia="zh-CN"/>
        </w:rPr>
        <w:t>考勤和</w:t>
      </w:r>
      <w:r>
        <w:rPr>
          <w:rFonts w:hint="eastAsia" w:ascii="黑体" w:hAnsi="黑体" w:eastAsia="黑体"/>
          <w:color w:val="000000"/>
          <w:szCs w:val="21"/>
          <w:lang w:eastAsia="zh-Hans"/>
        </w:rPr>
        <w:t>课堂表现</w:t>
      </w:r>
      <w:r>
        <w:rPr>
          <w:rFonts w:hint="eastAsia" w:ascii="黑体" w:hAnsi="黑体" w:eastAsia="黑体"/>
          <w:color w:val="000000"/>
          <w:szCs w:val="21"/>
        </w:rPr>
        <w:t>评价标准</w:t>
      </w:r>
    </w:p>
    <w:tbl>
      <w:tblPr>
        <w:tblStyle w:val="4"/>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80"/>
        <w:gridCol w:w="1547"/>
        <w:gridCol w:w="1548"/>
        <w:gridCol w:w="1548"/>
        <w:gridCol w:w="1548"/>
        <w:gridCol w:w="1551"/>
      </w:tblGrid>
      <w:tr w14:paraId="3570A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blHeader/>
          <w:jc w:val="center"/>
        </w:trPr>
        <w:tc>
          <w:tcPr>
            <w:tcW w:w="780" w:type="dxa"/>
            <w:vMerge w:val="restart"/>
            <w:vAlign w:val="center"/>
          </w:tcPr>
          <w:p w14:paraId="41FDA7A3">
            <w:pPr>
              <w:snapToGrid w:val="0"/>
              <w:jc w:val="center"/>
              <w:rPr>
                <w:rFonts w:ascii="宋体" w:hAnsi="宋体"/>
                <w:b/>
                <w:bCs/>
                <w:szCs w:val="21"/>
              </w:rPr>
            </w:pPr>
            <w:r>
              <w:rPr>
                <w:rFonts w:ascii="宋体" w:hAnsi="宋体"/>
                <w:b/>
                <w:bCs/>
                <w:szCs w:val="21"/>
              </w:rPr>
              <w:t>支撑课程目标</w:t>
            </w:r>
          </w:p>
        </w:tc>
        <w:tc>
          <w:tcPr>
            <w:tcW w:w="7742" w:type="dxa"/>
            <w:gridSpan w:val="5"/>
            <w:vAlign w:val="center"/>
          </w:tcPr>
          <w:p w14:paraId="1B5A66F5">
            <w:pPr>
              <w:snapToGrid w:val="0"/>
              <w:jc w:val="center"/>
              <w:rPr>
                <w:rFonts w:ascii="宋体" w:hAnsi="宋体"/>
                <w:b/>
                <w:bCs/>
                <w:szCs w:val="21"/>
              </w:rPr>
            </w:pPr>
            <w:r>
              <w:rPr>
                <w:rFonts w:ascii="宋体" w:hAnsi="宋体"/>
                <w:b/>
                <w:bCs/>
                <w:szCs w:val="21"/>
              </w:rPr>
              <w:t>评价细则及得分</w:t>
            </w:r>
          </w:p>
        </w:tc>
      </w:tr>
      <w:tr w14:paraId="05137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blHeader/>
          <w:jc w:val="center"/>
        </w:trPr>
        <w:tc>
          <w:tcPr>
            <w:tcW w:w="780" w:type="dxa"/>
            <w:vMerge w:val="continue"/>
          </w:tcPr>
          <w:p w14:paraId="3F08474F">
            <w:pPr>
              <w:snapToGrid w:val="0"/>
              <w:jc w:val="center"/>
              <w:rPr>
                <w:rFonts w:ascii="宋体" w:hAnsi="宋体"/>
                <w:b/>
                <w:bCs/>
                <w:szCs w:val="21"/>
              </w:rPr>
            </w:pPr>
          </w:p>
        </w:tc>
        <w:tc>
          <w:tcPr>
            <w:tcW w:w="1547" w:type="dxa"/>
            <w:vAlign w:val="center"/>
          </w:tcPr>
          <w:p w14:paraId="56C231E0">
            <w:pPr>
              <w:snapToGrid w:val="0"/>
              <w:jc w:val="center"/>
              <w:rPr>
                <w:rFonts w:hint="eastAsia" w:ascii="Times New Roman Regular" w:hAnsi="Times New Roman Regular" w:cs="Times New Roman Regular"/>
                <w:bCs/>
                <w:szCs w:val="21"/>
              </w:rPr>
            </w:pPr>
            <w:r>
              <w:rPr>
                <w:rFonts w:ascii="Times New Roman Regular" w:hAnsi="Times New Roman Regular" w:cs="Times New Roman Regular"/>
                <w:bCs/>
                <w:szCs w:val="21"/>
              </w:rPr>
              <w:t>100-90</w:t>
            </w:r>
          </w:p>
        </w:tc>
        <w:tc>
          <w:tcPr>
            <w:tcW w:w="1548" w:type="dxa"/>
            <w:vAlign w:val="center"/>
          </w:tcPr>
          <w:p w14:paraId="42424660">
            <w:pPr>
              <w:snapToGrid w:val="0"/>
              <w:jc w:val="center"/>
              <w:rPr>
                <w:rFonts w:hint="eastAsia" w:ascii="Times New Roman Regular" w:hAnsi="Times New Roman Regular" w:cs="Times New Roman Regular"/>
                <w:bCs/>
                <w:szCs w:val="21"/>
              </w:rPr>
            </w:pPr>
            <w:r>
              <w:rPr>
                <w:rFonts w:ascii="Times New Roman Regular" w:hAnsi="Times New Roman Regular" w:cs="Times New Roman Regular"/>
                <w:bCs/>
                <w:szCs w:val="21"/>
              </w:rPr>
              <w:t>89-80</w:t>
            </w:r>
          </w:p>
        </w:tc>
        <w:tc>
          <w:tcPr>
            <w:tcW w:w="1548" w:type="dxa"/>
            <w:vAlign w:val="center"/>
          </w:tcPr>
          <w:p w14:paraId="03D29E01">
            <w:pPr>
              <w:snapToGrid w:val="0"/>
              <w:jc w:val="center"/>
              <w:rPr>
                <w:rFonts w:hint="eastAsia" w:ascii="Times New Roman Regular" w:hAnsi="Times New Roman Regular" w:cs="Times New Roman Regular"/>
                <w:bCs/>
                <w:szCs w:val="21"/>
              </w:rPr>
            </w:pPr>
            <w:r>
              <w:rPr>
                <w:rFonts w:ascii="Times New Roman Regular" w:hAnsi="Times New Roman Regular" w:cs="Times New Roman Regular"/>
                <w:bCs/>
                <w:szCs w:val="21"/>
              </w:rPr>
              <w:t>79-70</w:t>
            </w:r>
          </w:p>
        </w:tc>
        <w:tc>
          <w:tcPr>
            <w:tcW w:w="1548" w:type="dxa"/>
            <w:vAlign w:val="center"/>
          </w:tcPr>
          <w:p w14:paraId="07DE6D73">
            <w:pPr>
              <w:snapToGrid w:val="0"/>
              <w:jc w:val="center"/>
              <w:rPr>
                <w:rFonts w:hint="eastAsia" w:ascii="Times New Roman Regular" w:hAnsi="Times New Roman Regular" w:cs="Times New Roman Regular"/>
                <w:bCs/>
                <w:szCs w:val="21"/>
              </w:rPr>
            </w:pPr>
            <w:r>
              <w:rPr>
                <w:rFonts w:ascii="Times New Roman Regular" w:hAnsi="Times New Roman Regular" w:cs="Times New Roman Regular"/>
                <w:bCs/>
                <w:szCs w:val="21"/>
              </w:rPr>
              <w:t>69-60</w:t>
            </w:r>
          </w:p>
        </w:tc>
        <w:tc>
          <w:tcPr>
            <w:tcW w:w="1551" w:type="dxa"/>
            <w:vAlign w:val="center"/>
          </w:tcPr>
          <w:p w14:paraId="23A0EA40">
            <w:pPr>
              <w:snapToGrid w:val="0"/>
              <w:jc w:val="center"/>
              <w:rPr>
                <w:rFonts w:hint="eastAsia" w:ascii="Times New Roman Regular" w:hAnsi="Times New Roman Regular" w:cs="Times New Roman Regular"/>
                <w:bCs/>
                <w:szCs w:val="21"/>
              </w:rPr>
            </w:pPr>
            <w:r>
              <w:rPr>
                <w:rFonts w:ascii="Times New Roman Regular" w:hAnsi="Times New Roman Regular" w:cs="Times New Roman Regular"/>
                <w:bCs/>
                <w:szCs w:val="21"/>
              </w:rPr>
              <w:t>59-0</w:t>
            </w:r>
          </w:p>
        </w:tc>
      </w:tr>
      <w:tr w14:paraId="13D06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780" w:type="dxa"/>
          </w:tcPr>
          <w:p w14:paraId="25B8FCE0">
            <w:pPr>
              <w:jc w:val="center"/>
              <w:rPr>
                <w:rFonts w:ascii="Times New Roman" w:hAnsi="Times New Roman" w:eastAsiaTheme="minorEastAsia"/>
                <w:szCs w:val="21"/>
              </w:rPr>
            </w:pPr>
            <w:r>
              <w:rPr>
                <w:rFonts w:ascii="Times New Roman" w:hAnsi="Times New Roman" w:eastAsiaTheme="minorEastAsia"/>
              </w:rPr>
              <w:t>目标1~4</w:t>
            </w:r>
          </w:p>
        </w:tc>
        <w:tc>
          <w:tcPr>
            <w:tcW w:w="1547" w:type="dxa"/>
          </w:tcPr>
          <w:p w14:paraId="6D85260F">
            <w:pPr>
              <w:spacing w:line="400" w:lineRule="exact"/>
              <w:rPr>
                <w:rFonts w:ascii="Times New Roman" w:hAnsi="Times New Roman" w:eastAsiaTheme="minorEastAsia"/>
                <w:color w:val="000000"/>
                <w:lang w:eastAsia="zh-Hans"/>
              </w:rPr>
            </w:pPr>
            <w:r>
              <w:rPr>
                <w:rFonts w:ascii="Times New Roman" w:hAnsi="Times New Roman" w:eastAsiaTheme="minorEastAsia"/>
              </w:rPr>
              <w:t>满勤；积极参与课程问答和讨论；回答问题正确。</w:t>
            </w:r>
          </w:p>
        </w:tc>
        <w:tc>
          <w:tcPr>
            <w:tcW w:w="1548" w:type="dxa"/>
          </w:tcPr>
          <w:p w14:paraId="59B0FEBA">
            <w:pPr>
              <w:spacing w:line="400" w:lineRule="exact"/>
              <w:rPr>
                <w:rFonts w:ascii="Times New Roman" w:hAnsi="Times New Roman" w:eastAsiaTheme="minorEastAsia"/>
                <w:color w:val="000000"/>
                <w:lang w:eastAsia="zh-Hans"/>
              </w:rPr>
            </w:pPr>
            <w:r>
              <w:rPr>
                <w:rFonts w:ascii="Times New Roman" w:hAnsi="Times New Roman" w:eastAsiaTheme="minorEastAsia"/>
              </w:rPr>
              <w:t>缺勤1次；较积极参与课程问答和讨论；回答问题正确率不低于80%。</w:t>
            </w:r>
          </w:p>
        </w:tc>
        <w:tc>
          <w:tcPr>
            <w:tcW w:w="1548" w:type="dxa"/>
          </w:tcPr>
          <w:p w14:paraId="69D9B9F9">
            <w:pPr>
              <w:spacing w:line="400" w:lineRule="exact"/>
              <w:rPr>
                <w:rFonts w:ascii="Times New Roman" w:hAnsi="Times New Roman" w:eastAsiaTheme="minorEastAsia"/>
                <w:color w:val="000000"/>
                <w:lang w:eastAsia="zh-Hans"/>
              </w:rPr>
            </w:pPr>
            <w:r>
              <w:rPr>
                <w:rFonts w:ascii="Times New Roman" w:hAnsi="Times New Roman" w:eastAsiaTheme="minorEastAsia"/>
              </w:rPr>
              <w:t>缺勤2次；参与课程问答和讨论；回答问题正确率不低于70%。</w:t>
            </w:r>
          </w:p>
        </w:tc>
        <w:tc>
          <w:tcPr>
            <w:tcW w:w="1548" w:type="dxa"/>
          </w:tcPr>
          <w:p w14:paraId="59C368D3">
            <w:pPr>
              <w:spacing w:line="400" w:lineRule="exact"/>
              <w:rPr>
                <w:rFonts w:ascii="Times New Roman" w:hAnsi="Times New Roman" w:eastAsiaTheme="minorEastAsia"/>
                <w:color w:val="000000"/>
                <w:lang w:eastAsia="zh-Hans"/>
              </w:rPr>
            </w:pPr>
            <w:r>
              <w:rPr>
                <w:rFonts w:ascii="Times New Roman" w:hAnsi="Times New Roman" w:eastAsiaTheme="minorEastAsia"/>
              </w:rPr>
              <w:t>缺勤3次；较少参与课程问答和讨论；回答问题正确率不低于60%。</w:t>
            </w:r>
          </w:p>
        </w:tc>
        <w:tc>
          <w:tcPr>
            <w:tcW w:w="1551" w:type="dxa"/>
          </w:tcPr>
          <w:p w14:paraId="56194899">
            <w:pPr>
              <w:spacing w:line="400" w:lineRule="exact"/>
              <w:rPr>
                <w:rFonts w:ascii="Times New Roman" w:hAnsi="Times New Roman" w:eastAsiaTheme="minorEastAsia"/>
                <w:color w:val="000000"/>
                <w:lang w:eastAsia="zh-Hans"/>
              </w:rPr>
            </w:pPr>
            <w:r>
              <w:rPr>
                <w:rFonts w:ascii="Times New Roman" w:hAnsi="Times New Roman" w:eastAsiaTheme="minorEastAsia"/>
              </w:rPr>
              <w:t>缺勤4次及以上；很少参与课程问答和讨论；回答问题正确率低于合格水平。</w:t>
            </w:r>
          </w:p>
        </w:tc>
      </w:tr>
    </w:tbl>
    <w:p w14:paraId="6BCB8AC9">
      <w:pPr>
        <w:adjustRightInd w:val="0"/>
        <w:snapToGrid w:val="0"/>
        <w:spacing w:line="360" w:lineRule="auto"/>
        <w:ind w:left="420"/>
        <w:rPr>
          <w:rFonts w:ascii="黑体" w:hAnsi="黑体" w:eastAsia="黑体"/>
          <w:color w:val="000000"/>
          <w:szCs w:val="21"/>
        </w:rPr>
      </w:pPr>
    </w:p>
    <w:bookmarkEnd w:id="1"/>
    <w:p w14:paraId="23038BBB">
      <w:pPr>
        <w:numPr>
          <w:ilvl w:val="0"/>
          <w:numId w:val="6"/>
        </w:numPr>
        <w:adjustRightInd w:val="0"/>
        <w:snapToGrid w:val="0"/>
        <w:spacing w:line="360" w:lineRule="auto"/>
        <w:rPr>
          <w:rFonts w:ascii="黑体" w:hAnsi="黑体" w:eastAsia="黑体"/>
          <w:color w:val="000000"/>
          <w:szCs w:val="21"/>
        </w:rPr>
      </w:pPr>
      <w:r>
        <w:rPr>
          <w:rFonts w:hint="eastAsia" w:ascii="黑体" w:hAnsi="黑体" w:eastAsia="黑体"/>
          <w:color w:val="000000"/>
          <w:szCs w:val="21"/>
          <w:lang w:eastAsia="zh-Hans"/>
        </w:rPr>
        <w:t>平时作业</w:t>
      </w:r>
      <w:r>
        <w:rPr>
          <w:rFonts w:hint="eastAsia" w:ascii="黑体" w:hAnsi="黑体" w:eastAsia="黑体"/>
          <w:color w:val="000000"/>
          <w:szCs w:val="21"/>
        </w:rPr>
        <w:t>评价标准</w:t>
      </w:r>
    </w:p>
    <w:tbl>
      <w:tblPr>
        <w:tblStyle w:val="4"/>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80"/>
        <w:gridCol w:w="1547"/>
        <w:gridCol w:w="1548"/>
        <w:gridCol w:w="1548"/>
        <w:gridCol w:w="1548"/>
        <w:gridCol w:w="1551"/>
      </w:tblGrid>
      <w:tr w14:paraId="18BB8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blHeader/>
          <w:jc w:val="center"/>
        </w:trPr>
        <w:tc>
          <w:tcPr>
            <w:tcW w:w="780" w:type="dxa"/>
            <w:vMerge w:val="restart"/>
            <w:vAlign w:val="center"/>
          </w:tcPr>
          <w:p w14:paraId="1E357505">
            <w:pPr>
              <w:snapToGrid w:val="0"/>
              <w:jc w:val="center"/>
              <w:rPr>
                <w:rFonts w:ascii="宋体" w:hAnsi="宋体"/>
                <w:b/>
                <w:bCs/>
                <w:szCs w:val="21"/>
              </w:rPr>
            </w:pPr>
            <w:r>
              <w:rPr>
                <w:rFonts w:ascii="宋体" w:hAnsi="宋体"/>
                <w:b/>
                <w:bCs/>
                <w:szCs w:val="21"/>
              </w:rPr>
              <w:t>支撑课程目标</w:t>
            </w:r>
          </w:p>
        </w:tc>
        <w:tc>
          <w:tcPr>
            <w:tcW w:w="7742" w:type="dxa"/>
            <w:gridSpan w:val="5"/>
            <w:vAlign w:val="center"/>
          </w:tcPr>
          <w:p w14:paraId="061DE91C">
            <w:pPr>
              <w:snapToGrid w:val="0"/>
              <w:jc w:val="center"/>
              <w:rPr>
                <w:rFonts w:ascii="宋体" w:hAnsi="宋体"/>
                <w:b/>
                <w:bCs/>
                <w:szCs w:val="21"/>
              </w:rPr>
            </w:pPr>
            <w:r>
              <w:rPr>
                <w:rFonts w:ascii="宋体" w:hAnsi="宋体"/>
                <w:b/>
                <w:bCs/>
                <w:szCs w:val="21"/>
              </w:rPr>
              <w:t>评价细则及得分</w:t>
            </w:r>
          </w:p>
        </w:tc>
      </w:tr>
      <w:tr w14:paraId="71193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blHeader/>
          <w:jc w:val="center"/>
        </w:trPr>
        <w:tc>
          <w:tcPr>
            <w:tcW w:w="780" w:type="dxa"/>
            <w:vMerge w:val="continue"/>
          </w:tcPr>
          <w:p w14:paraId="6C215722">
            <w:pPr>
              <w:snapToGrid w:val="0"/>
              <w:jc w:val="center"/>
              <w:rPr>
                <w:rFonts w:ascii="宋体" w:hAnsi="宋体"/>
                <w:b/>
                <w:bCs/>
                <w:szCs w:val="21"/>
              </w:rPr>
            </w:pPr>
          </w:p>
        </w:tc>
        <w:tc>
          <w:tcPr>
            <w:tcW w:w="1547" w:type="dxa"/>
            <w:vAlign w:val="center"/>
          </w:tcPr>
          <w:p w14:paraId="205B6A16">
            <w:pPr>
              <w:snapToGrid w:val="0"/>
              <w:jc w:val="center"/>
              <w:rPr>
                <w:rFonts w:hint="eastAsia" w:ascii="Times New Roman Regular" w:hAnsi="Times New Roman Regular" w:cs="Times New Roman Regular"/>
                <w:bCs/>
                <w:szCs w:val="21"/>
              </w:rPr>
            </w:pPr>
            <w:r>
              <w:rPr>
                <w:rFonts w:ascii="Times New Roman Regular" w:hAnsi="Times New Roman Regular" w:cs="Times New Roman Regular"/>
                <w:bCs/>
                <w:szCs w:val="21"/>
              </w:rPr>
              <w:t>100-90</w:t>
            </w:r>
          </w:p>
        </w:tc>
        <w:tc>
          <w:tcPr>
            <w:tcW w:w="1548" w:type="dxa"/>
            <w:vAlign w:val="center"/>
          </w:tcPr>
          <w:p w14:paraId="1BD42921">
            <w:pPr>
              <w:snapToGrid w:val="0"/>
              <w:jc w:val="center"/>
              <w:rPr>
                <w:rFonts w:hint="eastAsia" w:ascii="Times New Roman Regular" w:hAnsi="Times New Roman Regular" w:cs="Times New Roman Regular"/>
                <w:bCs/>
                <w:szCs w:val="21"/>
              </w:rPr>
            </w:pPr>
            <w:r>
              <w:rPr>
                <w:rFonts w:ascii="Times New Roman Regular" w:hAnsi="Times New Roman Regular" w:cs="Times New Roman Regular"/>
                <w:bCs/>
                <w:szCs w:val="21"/>
              </w:rPr>
              <w:t>89-80</w:t>
            </w:r>
          </w:p>
        </w:tc>
        <w:tc>
          <w:tcPr>
            <w:tcW w:w="1548" w:type="dxa"/>
            <w:vAlign w:val="center"/>
          </w:tcPr>
          <w:p w14:paraId="28BF5F21">
            <w:pPr>
              <w:snapToGrid w:val="0"/>
              <w:jc w:val="center"/>
              <w:rPr>
                <w:rFonts w:hint="eastAsia" w:ascii="Times New Roman Regular" w:hAnsi="Times New Roman Regular" w:cs="Times New Roman Regular"/>
                <w:bCs/>
                <w:szCs w:val="21"/>
              </w:rPr>
            </w:pPr>
            <w:r>
              <w:rPr>
                <w:rFonts w:ascii="Times New Roman Regular" w:hAnsi="Times New Roman Regular" w:cs="Times New Roman Regular"/>
                <w:bCs/>
                <w:szCs w:val="21"/>
              </w:rPr>
              <w:t>79-70</w:t>
            </w:r>
          </w:p>
        </w:tc>
        <w:tc>
          <w:tcPr>
            <w:tcW w:w="1548" w:type="dxa"/>
            <w:vAlign w:val="center"/>
          </w:tcPr>
          <w:p w14:paraId="49DDFEAD">
            <w:pPr>
              <w:snapToGrid w:val="0"/>
              <w:jc w:val="center"/>
              <w:rPr>
                <w:rFonts w:hint="eastAsia" w:ascii="Times New Roman Regular" w:hAnsi="Times New Roman Regular" w:cs="Times New Roman Regular"/>
                <w:bCs/>
                <w:szCs w:val="21"/>
              </w:rPr>
            </w:pPr>
            <w:r>
              <w:rPr>
                <w:rFonts w:ascii="Times New Roman Regular" w:hAnsi="Times New Roman Regular" w:cs="Times New Roman Regular"/>
                <w:bCs/>
                <w:szCs w:val="21"/>
              </w:rPr>
              <w:t>69-60</w:t>
            </w:r>
          </w:p>
        </w:tc>
        <w:tc>
          <w:tcPr>
            <w:tcW w:w="1551" w:type="dxa"/>
            <w:vAlign w:val="center"/>
          </w:tcPr>
          <w:p w14:paraId="0504F684">
            <w:pPr>
              <w:snapToGrid w:val="0"/>
              <w:jc w:val="center"/>
              <w:rPr>
                <w:rFonts w:hint="eastAsia" w:ascii="Times New Roman Regular" w:hAnsi="Times New Roman Regular" w:cs="Times New Roman Regular"/>
                <w:bCs/>
                <w:szCs w:val="21"/>
              </w:rPr>
            </w:pPr>
            <w:r>
              <w:rPr>
                <w:rFonts w:ascii="Times New Roman Regular" w:hAnsi="Times New Roman Regular" w:cs="Times New Roman Regular"/>
                <w:bCs/>
                <w:szCs w:val="21"/>
              </w:rPr>
              <w:t>59-0</w:t>
            </w:r>
          </w:p>
        </w:tc>
      </w:tr>
      <w:tr w14:paraId="10E26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780" w:type="dxa"/>
          </w:tcPr>
          <w:p w14:paraId="72624D21">
            <w:pPr>
              <w:jc w:val="center"/>
              <w:rPr>
                <w:rFonts w:ascii="Times New Roman" w:hAnsi="Times New Roman" w:eastAsiaTheme="minorEastAsia"/>
                <w:szCs w:val="21"/>
              </w:rPr>
            </w:pPr>
            <w:r>
              <w:rPr>
                <w:rFonts w:ascii="Times New Roman" w:hAnsi="Times New Roman" w:eastAsiaTheme="minorEastAsia"/>
              </w:rPr>
              <w:t>目标1～4</w:t>
            </w:r>
          </w:p>
        </w:tc>
        <w:tc>
          <w:tcPr>
            <w:tcW w:w="1547" w:type="dxa"/>
          </w:tcPr>
          <w:p w14:paraId="454C1986">
            <w:pPr>
              <w:spacing w:line="400" w:lineRule="exact"/>
              <w:rPr>
                <w:rFonts w:ascii="Times New Roman" w:hAnsi="Times New Roman" w:eastAsiaTheme="minorEastAsia"/>
                <w:color w:val="000000"/>
                <w:lang w:eastAsia="zh-Hans"/>
              </w:rPr>
            </w:pPr>
            <w:r>
              <w:rPr>
                <w:rFonts w:ascii="Times New Roman" w:hAnsi="Times New Roman" w:eastAsiaTheme="minorEastAsia"/>
              </w:rPr>
              <w:t>按时交作业；概念解释清晰，分析问题条理清楚，计算过程层次清晰，结果正确率高于90%；表述合理，书写规范等。</w:t>
            </w:r>
          </w:p>
        </w:tc>
        <w:tc>
          <w:tcPr>
            <w:tcW w:w="1548" w:type="dxa"/>
          </w:tcPr>
          <w:p w14:paraId="63523ADD">
            <w:pPr>
              <w:spacing w:line="400" w:lineRule="exact"/>
              <w:rPr>
                <w:rFonts w:ascii="Times New Roman" w:hAnsi="Times New Roman" w:eastAsiaTheme="minorEastAsia"/>
                <w:color w:val="000000"/>
                <w:lang w:eastAsia="zh-Hans"/>
              </w:rPr>
            </w:pPr>
            <w:r>
              <w:rPr>
                <w:rFonts w:ascii="Times New Roman" w:hAnsi="Times New Roman" w:eastAsiaTheme="minorEastAsia"/>
              </w:rPr>
              <w:t>按时交作业；概念解释、分析问题、计算过程等比较清晰，结果正确率不低于80%；表述比较合理，书写比较规范等。</w:t>
            </w:r>
          </w:p>
        </w:tc>
        <w:tc>
          <w:tcPr>
            <w:tcW w:w="1548" w:type="dxa"/>
          </w:tcPr>
          <w:p w14:paraId="2710FF3E">
            <w:pPr>
              <w:spacing w:line="400" w:lineRule="exact"/>
              <w:rPr>
                <w:rFonts w:ascii="Times New Roman" w:hAnsi="Times New Roman" w:eastAsiaTheme="minorEastAsia"/>
                <w:color w:val="000000"/>
                <w:lang w:eastAsia="zh-Hans"/>
              </w:rPr>
            </w:pPr>
            <w:r>
              <w:rPr>
                <w:rFonts w:ascii="Times New Roman" w:hAnsi="Times New Roman" w:eastAsiaTheme="minorEastAsia"/>
              </w:rPr>
              <w:t>按时交作业；概念解释、分析问题、计算过程等基本清晰，结果正确率不低于70%；表述比较合理，书写基本规范等。</w:t>
            </w:r>
          </w:p>
        </w:tc>
        <w:tc>
          <w:tcPr>
            <w:tcW w:w="1548" w:type="dxa"/>
          </w:tcPr>
          <w:p w14:paraId="3113F892">
            <w:pPr>
              <w:spacing w:line="400" w:lineRule="exact"/>
              <w:rPr>
                <w:rFonts w:ascii="Times New Roman" w:hAnsi="Times New Roman" w:eastAsiaTheme="minorEastAsia"/>
                <w:color w:val="000000"/>
                <w:lang w:eastAsia="zh-Hans"/>
              </w:rPr>
            </w:pPr>
            <w:r>
              <w:rPr>
                <w:rFonts w:ascii="Times New Roman" w:hAnsi="Times New Roman" w:eastAsiaTheme="minorEastAsia"/>
              </w:rPr>
              <w:t>短时迟交作业；概念解释、分析问题、计算过程等基本清晰，结果正确率不低于60%；表述基本合理，书写基本规范等。</w:t>
            </w:r>
          </w:p>
        </w:tc>
        <w:tc>
          <w:tcPr>
            <w:tcW w:w="1551" w:type="dxa"/>
          </w:tcPr>
          <w:p w14:paraId="3CB5CF7C">
            <w:pPr>
              <w:spacing w:line="400" w:lineRule="exact"/>
              <w:rPr>
                <w:rFonts w:ascii="Times New Roman" w:hAnsi="Times New Roman" w:eastAsiaTheme="minorEastAsia"/>
                <w:color w:val="000000"/>
                <w:lang w:eastAsia="zh-Hans"/>
              </w:rPr>
            </w:pPr>
            <w:r>
              <w:rPr>
                <w:rFonts w:ascii="Times New Roman" w:hAnsi="Times New Roman" w:eastAsiaTheme="minorEastAsia"/>
              </w:rPr>
              <w:t>不交或严重超时迟交作业；概念解释、分析问题、计算过程等不清晰，结果正确率低于合格水平；表述不合理，书写不规范等。</w:t>
            </w:r>
          </w:p>
        </w:tc>
      </w:tr>
    </w:tbl>
    <w:p w14:paraId="4B707F25">
      <w:pPr>
        <w:pStyle w:val="7"/>
        <w:spacing w:line="360" w:lineRule="auto"/>
        <w:ind w:firstLine="0" w:firstLineChars="0"/>
        <w:rPr>
          <w:rFonts w:ascii="黑体" w:hAnsi="黑体" w:eastAsia="黑体"/>
          <w:color w:val="000000"/>
          <w:szCs w:val="21"/>
        </w:rPr>
      </w:pPr>
    </w:p>
    <w:p w14:paraId="4563076D">
      <w:pPr>
        <w:numPr>
          <w:ilvl w:val="0"/>
          <w:numId w:val="6"/>
        </w:numPr>
        <w:adjustRightInd w:val="0"/>
        <w:snapToGrid w:val="0"/>
        <w:spacing w:line="360" w:lineRule="auto"/>
        <w:rPr>
          <w:rFonts w:ascii="黑体" w:hAnsi="黑体" w:eastAsia="黑体"/>
          <w:color w:val="000000"/>
          <w:szCs w:val="21"/>
        </w:rPr>
      </w:pPr>
      <w:r>
        <w:rPr>
          <w:rFonts w:hint="eastAsia" w:ascii="黑体" w:hAnsi="黑体" w:eastAsia="黑体"/>
          <w:color w:val="000000"/>
          <w:szCs w:val="21"/>
        </w:rPr>
        <w:t>期末</w:t>
      </w:r>
      <w:r>
        <w:rPr>
          <w:rFonts w:hint="eastAsia" w:ascii="黑体" w:hAnsi="黑体" w:eastAsia="黑体"/>
          <w:color w:val="000000"/>
          <w:szCs w:val="21"/>
          <w:lang w:val="en-US" w:eastAsia="zh-CN"/>
        </w:rPr>
        <w:t>作业</w:t>
      </w:r>
      <w:r>
        <w:rPr>
          <w:rFonts w:hint="eastAsia" w:ascii="黑体" w:hAnsi="黑体" w:eastAsia="黑体"/>
          <w:color w:val="000000"/>
          <w:szCs w:val="21"/>
        </w:rPr>
        <w:t>评价标准</w:t>
      </w:r>
    </w:p>
    <w:tbl>
      <w:tblPr>
        <w:tblStyle w:val="4"/>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80"/>
        <w:gridCol w:w="1547"/>
        <w:gridCol w:w="1548"/>
        <w:gridCol w:w="1548"/>
        <w:gridCol w:w="1548"/>
        <w:gridCol w:w="1551"/>
      </w:tblGrid>
      <w:tr w14:paraId="5768D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blHeader/>
          <w:jc w:val="center"/>
        </w:trPr>
        <w:tc>
          <w:tcPr>
            <w:tcW w:w="780" w:type="dxa"/>
            <w:vMerge w:val="restart"/>
            <w:vAlign w:val="center"/>
          </w:tcPr>
          <w:p w14:paraId="4E3D7374">
            <w:pPr>
              <w:snapToGrid w:val="0"/>
              <w:jc w:val="center"/>
              <w:rPr>
                <w:rFonts w:ascii="宋体" w:hAnsi="宋体"/>
                <w:b/>
                <w:bCs/>
                <w:szCs w:val="21"/>
              </w:rPr>
            </w:pPr>
            <w:r>
              <w:rPr>
                <w:rFonts w:ascii="宋体" w:hAnsi="宋体"/>
                <w:b/>
                <w:bCs/>
                <w:szCs w:val="21"/>
              </w:rPr>
              <w:t>支撑课程目标</w:t>
            </w:r>
          </w:p>
        </w:tc>
        <w:tc>
          <w:tcPr>
            <w:tcW w:w="7742" w:type="dxa"/>
            <w:gridSpan w:val="5"/>
            <w:vAlign w:val="center"/>
          </w:tcPr>
          <w:p w14:paraId="5608FCF1">
            <w:pPr>
              <w:snapToGrid w:val="0"/>
              <w:jc w:val="center"/>
              <w:rPr>
                <w:rFonts w:ascii="宋体" w:hAnsi="宋体"/>
                <w:b/>
                <w:bCs/>
                <w:szCs w:val="21"/>
              </w:rPr>
            </w:pPr>
            <w:r>
              <w:rPr>
                <w:rFonts w:ascii="宋体" w:hAnsi="宋体"/>
                <w:b/>
                <w:bCs/>
                <w:szCs w:val="21"/>
              </w:rPr>
              <w:t>评价细则及得分</w:t>
            </w:r>
          </w:p>
        </w:tc>
      </w:tr>
      <w:tr w14:paraId="40E3E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blHeader/>
          <w:jc w:val="center"/>
        </w:trPr>
        <w:tc>
          <w:tcPr>
            <w:tcW w:w="780" w:type="dxa"/>
            <w:vMerge w:val="continue"/>
          </w:tcPr>
          <w:p w14:paraId="6B5E3541">
            <w:pPr>
              <w:snapToGrid w:val="0"/>
              <w:jc w:val="center"/>
              <w:rPr>
                <w:rFonts w:ascii="宋体" w:hAnsi="宋体"/>
                <w:b/>
                <w:bCs/>
                <w:szCs w:val="21"/>
              </w:rPr>
            </w:pPr>
          </w:p>
        </w:tc>
        <w:tc>
          <w:tcPr>
            <w:tcW w:w="1547" w:type="dxa"/>
            <w:vAlign w:val="center"/>
          </w:tcPr>
          <w:p w14:paraId="582F48DD">
            <w:pPr>
              <w:snapToGrid w:val="0"/>
              <w:jc w:val="center"/>
              <w:rPr>
                <w:rFonts w:hint="eastAsia" w:ascii="Times New Roman Regular" w:hAnsi="Times New Roman Regular" w:cs="Times New Roman Regular"/>
                <w:bCs/>
                <w:szCs w:val="21"/>
              </w:rPr>
            </w:pPr>
            <w:r>
              <w:rPr>
                <w:rFonts w:ascii="Times New Roman Regular" w:hAnsi="Times New Roman Regular" w:cs="Times New Roman Regular"/>
                <w:bCs/>
                <w:szCs w:val="21"/>
              </w:rPr>
              <w:t>100-90</w:t>
            </w:r>
          </w:p>
        </w:tc>
        <w:tc>
          <w:tcPr>
            <w:tcW w:w="1548" w:type="dxa"/>
            <w:vAlign w:val="center"/>
          </w:tcPr>
          <w:p w14:paraId="03724241">
            <w:pPr>
              <w:snapToGrid w:val="0"/>
              <w:jc w:val="center"/>
              <w:rPr>
                <w:rFonts w:hint="eastAsia" w:ascii="Times New Roman Regular" w:hAnsi="Times New Roman Regular" w:cs="Times New Roman Regular"/>
                <w:bCs/>
                <w:szCs w:val="21"/>
              </w:rPr>
            </w:pPr>
            <w:r>
              <w:rPr>
                <w:rFonts w:ascii="Times New Roman Regular" w:hAnsi="Times New Roman Regular" w:cs="Times New Roman Regular"/>
                <w:bCs/>
                <w:szCs w:val="21"/>
              </w:rPr>
              <w:t>89-80</w:t>
            </w:r>
          </w:p>
        </w:tc>
        <w:tc>
          <w:tcPr>
            <w:tcW w:w="1548" w:type="dxa"/>
            <w:vAlign w:val="center"/>
          </w:tcPr>
          <w:p w14:paraId="2D7A881C">
            <w:pPr>
              <w:snapToGrid w:val="0"/>
              <w:jc w:val="center"/>
              <w:rPr>
                <w:rFonts w:hint="eastAsia" w:ascii="Times New Roman Regular" w:hAnsi="Times New Roman Regular" w:cs="Times New Roman Regular"/>
                <w:bCs/>
                <w:szCs w:val="21"/>
              </w:rPr>
            </w:pPr>
            <w:r>
              <w:rPr>
                <w:rFonts w:ascii="Times New Roman Regular" w:hAnsi="Times New Roman Regular" w:cs="Times New Roman Regular"/>
                <w:bCs/>
                <w:szCs w:val="21"/>
              </w:rPr>
              <w:t>79-70</w:t>
            </w:r>
          </w:p>
        </w:tc>
        <w:tc>
          <w:tcPr>
            <w:tcW w:w="1548" w:type="dxa"/>
            <w:vAlign w:val="center"/>
          </w:tcPr>
          <w:p w14:paraId="04AA783A">
            <w:pPr>
              <w:snapToGrid w:val="0"/>
              <w:jc w:val="center"/>
              <w:rPr>
                <w:rFonts w:hint="eastAsia" w:ascii="Times New Roman Regular" w:hAnsi="Times New Roman Regular" w:cs="Times New Roman Regular"/>
                <w:bCs/>
                <w:szCs w:val="21"/>
              </w:rPr>
            </w:pPr>
            <w:r>
              <w:rPr>
                <w:rFonts w:ascii="Times New Roman Regular" w:hAnsi="Times New Roman Regular" w:cs="Times New Roman Regular"/>
                <w:bCs/>
                <w:szCs w:val="21"/>
              </w:rPr>
              <w:t>69-60</w:t>
            </w:r>
          </w:p>
        </w:tc>
        <w:tc>
          <w:tcPr>
            <w:tcW w:w="1551" w:type="dxa"/>
            <w:vAlign w:val="center"/>
          </w:tcPr>
          <w:p w14:paraId="00FFF30E">
            <w:pPr>
              <w:snapToGrid w:val="0"/>
              <w:jc w:val="center"/>
              <w:rPr>
                <w:rFonts w:hint="eastAsia" w:ascii="Times New Roman Regular" w:hAnsi="Times New Roman Regular" w:cs="Times New Roman Regular"/>
                <w:bCs/>
                <w:szCs w:val="21"/>
              </w:rPr>
            </w:pPr>
            <w:r>
              <w:rPr>
                <w:rFonts w:ascii="Times New Roman Regular" w:hAnsi="Times New Roman Regular" w:cs="Times New Roman Regular"/>
                <w:bCs/>
                <w:szCs w:val="21"/>
              </w:rPr>
              <w:t>59-0</w:t>
            </w:r>
          </w:p>
        </w:tc>
      </w:tr>
      <w:tr w14:paraId="4DB64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780" w:type="dxa"/>
          </w:tcPr>
          <w:p w14:paraId="3A84B26E">
            <w:pPr>
              <w:jc w:val="center"/>
              <w:rPr>
                <w:rFonts w:ascii="Times New Roman" w:hAnsi="Times New Roman" w:eastAsiaTheme="minorEastAsia"/>
                <w:szCs w:val="21"/>
              </w:rPr>
            </w:pPr>
            <w:r>
              <w:rPr>
                <w:rFonts w:ascii="Times New Roman" w:hAnsi="Times New Roman" w:eastAsiaTheme="minorEastAsia"/>
              </w:rPr>
              <w:t>目标1～4</w:t>
            </w:r>
          </w:p>
        </w:tc>
        <w:tc>
          <w:tcPr>
            <w:tcW w:w="1547" w:type="dxa"/>
          </w:tcPr>
          <w:p w14:paraId="524F132E">
            <w:pPr>
              <w:spacing w:line="400" w:lineRule="exact"/>
              <w:rPr>
                <w:rFonts w:ascii="Times New Roman" w:hAnsi="Times New Roman" w:eastAsiaTheme="minorEastAsia"/>
                <w:color w:val="000000"/>
                <w:lang w:eastAsia="zh-Hans"/>
              </w:rPr>
            </w:pPr>
            <w:r>
              <w:rPr>
                <w:rFonts w:hint="eastAsia" w:ascii="Times New Roman" w:hAnsi="Times New Roman" w:eastAsiaTheme="minorEastAsia"/>
                <w:lang w:val="en-US" w:eastAsia="zh-CN"/>
              </w:rPr>
              <w:t>具有突出的人文科学的问题意识，</w:t>
            </w:r>
            <w:r>
              <w:rPr>
                <w:rFonts w:ascii="Times New Roman" w:hAnsi="Times New Roman" w:eastAsiaTheme="minorEastAsia"/>
              </w:rPr>
              <w:t>概念解释清晰，分析问题条理清楚，计算过程层次清晰，结果正确率高于90%；表述合理，书写规范等。</w:t>
            </w:r>
          </w:p>
        </w:tc>
        <w:tc>
          <w:tcPr>
            <w:tcW w:w="1548" w:type="dxa"/>
          </w:tcPr>
          <w:p w14:paraId="5C6C2CDE">
            <w:pPr>
              <w:spacing w:line="400" w:lineRule="exact"/>
              <w:rPr>
                <w:rFonts w:ascii="Times New Roman" w:hAnsi="Times New Roman" w:eastAsiaTheme="minorEastAsia"/>
                <w:color w:val="000000"/>
                <w:lang w:eastAsia="zh-Hans"/>
              </w:rPr>
            </w:pPr>
            <w:r>
              <w:rPr>
                <w:rFonts w:hint="eastAsia" w:ascii="Times New Roman" w:hAnsi="Times New Roman" w:eastAsiaTheme="minorEastAsia"/>
                <w:lang w:val="en-US" w:eastAsia="zh-CN"/>
              </w:rPr>
              <w:t>具有明确的人文科学的问题意识，</w:t>
            </w:r>
            <w:r>
              <w:rPr>
                <w:rFonts w:ascii="Times New Roman" w:hAnsi="Times New Roman" w:eastAsiaTheme="minorEastAsia"/>
              </w:rPr>
              <w:t>概念解释、分析问题、计算过程等比较清晰，结果正确率不低于80%；表述比较合理，书写比较规范等。</w:t>
            </w:r>
          </w:p>
        </w:tc>
        <w:tc>
          <w:tcPr>
            <w:tcW w:w="1548" w:type="dxa"/>
          </w:tcPr>
          <w:p w14:paraId="06628C29">
            <w:pPr>
              <w:spacing w:line="400" w:lineRule="exact"/>
              <w:rPr>
                <w:rFonts w:ascii="Times New Roman" w:hAnsi="Times New Roman" w:eastAsiaTheme="minorEastAsia"/>
                <w:color w:val="000000"/>
                <w:lang w:eastAsia="zh-Hans"/>
              </w:rPr>
            </w:pPr>
            <w:r>
              <w:rPr>
                <w:rFonts w:hint="eastAsia" w:ascii="Times New Roman" w:hAnsi="Times New Roman" w:eastAsiaTheme="minorEastAsia"/>
                <w:lang w:val="en-US" w:eastAsia="zh-CN"/>
              </w:rPr>
              <w:t>具有较为明确的人文科学的问题意识，</w:t>
            </w:r>
            <w:r>
              <w:rPr>
                <w:rFonts w:ascii="Times New Roman" w:hAnsi="Times New Roman" w:eastAsiaTheme="minorEastAsia"/>
              </w:rPr>
              <w:t>概念解释、分析问题、计算过程等基本清晰，结果正确率不低于70%；表述比较合理，书写基本规范等。</w:t>
            </w:r>
          </w:p>
        </w:tc>
        <w:tc>
          <w:tcPr>
            <w:tcW w:w="1548" w:type="dxa"/>
          </w:tcPr>
          <w:p w14:paraId="4344F93D">
            <w:pPr>
              <w:spacing w:line="400" w:lineRule="exact"/>
              <w:rPr>
                <w:rFonts w:ascii="Times New Roman" w:hAnsi="Times New Roman" w:eastAsiaTheme="minorEastAsia"/>
                <w:color w:val="000000"/>
                <w:lang w:eastAsia="zh-Hans"/>
              </w:rPr>
            </w:pPr>
            <w:r>
              <w:rPr>
                <w:rFonts w:hint="eastAsia" w:ascii="Times New Roman" w:hAnsi="Times New Roman" w:eastAsiaTheme="minorEastAsia"/>
                <w:lang w:val="en-US" w:eastAsia="zh-CN"/>
              </w:rPr>
              <w:t>略有的人文科学的问题意识，</w:t>
            </w:r>
            <w:r>
              <w:rPr>
                <w:rFonts w:ascii="Times New Roman" w:hAnsi="Times New Roman" w:eastAsiaTheme="minorEastAsia"/>
              </w:rPr>
              <w:t>概念解释、分析问题、计算过程等基本清晰，结果正确率不低于60%；表述基本合理，书写基本规范等。</w:t>
            </w:r>
          </w:p>
        </w:tc>
        <w:tc>
          <w:tcPr>
            <w:tcW w:w="1551" w:type="dxa"/>
          </w:tcPr>
          <w:p w14:paraId="746F7967">
            <w:pPr>
              <w:spacing w:line="400" w:lineRule="exact"/>
              <w:rPr>
                <w:rFonts w:ascii="Times New Roman" w:hAnsi="Times New Roman" w:eastAsiaTheme="minorEastAsia"/>
                <w:color w:val="000000"/>
                <w:lang w:eastAsia="zh-Hans"/>
              </w:rPr>
            </w:pPr>
            <w:r>
              <w:rPr>
                <w:rFonts w:hint="eastAsia" w:ascii="Times New Roman" w:hAnsi="Times New Roman" w:eastAsiaTheme="minorEastAsia"/>
                <w:lang w:val="en-US" w:eastAsia="zh-CN"/>
              </w:rPr>
              <w:t>不太具有或没有人文科学的问题意识，</w:t>
            </w:r>
            <w:r>
              <w:rPr>
                <w:rFonts w:ascii="Times New Roman" w:hAnsi="Times New Roman" w:eastAsiaTheme="minorEastAsia"/>
              </w:rPr>
              <w:t>概念解释、分析问题、计算过程等不清晰，结果正确率低于合格水平；表述不合理，书写不规范等。</w:t>
            </w:r>
          </w:p>
        </w:tc>
      </w:tr>
    </w:tbl>
    <w:p w14:paraId="5BB4C247">
      <w:pPr>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textAlignment w:val="auto"/>
        <w:rPr>
          <w:rFonts w:hint="default" w:ascii="Times New Roman" w:hAnsi="Times New Roman"/>
          <w:color w:val="000000"/>
          <w:szCs w:val="21"/>
          <w:lang w:val="en-US" w:eastAsia="zh-CN"/>
        </w:rPr>
      </w:pPr>
    </w:p>
    <w:p w14:paraId="7CA06E0F">
      <w:pPr>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textAlignment w:val="auto"/>
        <w:rPr>
          <w:rFonts w:hint="eastAsia" w:ascii="黑体" w:hAnsi="黑体" w:eastAsia="黑体" w:cs="黑体"/>
          <w:color w:val="000000"/>
          <w:szCs w:val="21"/>
          <w:lang w:val="en-US" w:eastAsia="zh-CN"/>
        </w:rPr>
      </w:pPr>
      <w:r>
        <w:rPr>
          <w:rFonts w:hint="eastAsia" w:ascii="黑体" w:hAnsi="黑体" w:eastAsia="黑体" w:cs="黑体"/>
          <w:color w:val="000000"/>
          <w:szCs w:val="21"/>
          <w:lang w:val="en-US" w:eastAsia="zh-CN"/>
        </w:rPr>
        <w:t>加分标准：</w:t>
      </w:r>
    </w:p>
    <w:p w14:paraId="06BD6729">
      <w:pPr>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textAlignment w:val="auto"/>
        <w:rPr>
          <w:rFonts w:hint="default"/>
          <w:lang w:val="en-US" w:eastAsia="zh-CN"/>
        </w:rPr>
      </w:pPr>
      <w:r>
        <w:rPr>
          <w:rFonts w:hint="default"/>
          <w:lang w:val="en-US" w:eastAsia="zh-CN"/>
        </w:rPr>
        <w:t>根据老师提前布置的预习内容和思考题，学生能够积极回答课堂提问，回答内容优秀者每次得1分</w:t>
      </w:r>
      <w:r>
        <w:rPr>
          <w:rFonts w:hint="eastAsia"/>
          <w:lang w:val="en-US" w:eastAsia="zh-CN"/>
        </w:rPr>
        <w:t>，总分不超过5分</w:t>
      </w:r>
      <w:r>
        <w:rPr>
          <w:rFonts w:hint="default"/>
          <w:lang w:val="en-US" w:eastAsia="zh-CN"/>
        </w:rPr>
        <w:t>。</w:t>
      </w:r>
    </w:p>
    <w:p w14:paraId="5C3A7B78">
      <w:pPr>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textAlignment w:val="auto"/>
        <w:rPr>
          <w:rFonts w:hint="default"/>
          <w:lang w:val="en-US" w:eastAsia="zh-CN"/>
        </w:rPr>
      </w:pPr>
      <w:r>
        <w:rPr>
          <w:rFonts w:hint="default"/>
          <w:lang w:val="en-US" w:eastAsia="zh-CN"/>
        </w:rPr>
        <w:t>总评成绩中加分运用标准：</w:t>
      </w:r>
    </w:p>
    <w:p w14:paraId="4C84FD5A">
      <w:pPr>
        <w:keepNext w:val="0"/>
        <w:keepLines w:val="0"/>
        <w:pageBreakBefore w:val="0"/>
        <w:widowControl w:val="0"/>
        <w:numPr>
          <w:ilvl w:val="0"/>
          <w:numId w:val="0"/>
        </w:numPr>
        <w:kinsoku/>
        <w:wordWrap/>
        <w:overflowPunct/>
        <w:topLinePunct w:val="0"/>
        <w:autoSpaceDE/>
        <w:autoSpaceDN/>
        <w:bidi w:val="0"/>
        <w:adjustRightInd w:val="0"/>
        <w:snapToGrid w:val="0"/>
        <w:spacing w:line="400" w:lineRule="exact"/>
        <w:textAlignment w:val="auto"/>
        <w:rPr>
          <w:rFonts w:hint="default"/>
          <w:lang w:val="en-US" w:eastAsia="zh-CN"/>
        </w:rPr>
      </w:pPr>
      <w:r>
        <w:rPr>
          <w:rFonts w:hint="default"/>
          <w:lang w:val="en-US" w:eastAsia="zh-CN"/>
        </w:rPr>
        <w:t>1、当学生A和学生B的期中作业和期末论文成绩不一致</w:t>
      </w:r>
      <w:r>
        <w:rPr>
          <w:rFonts w:hint="eastAsia"/>
          <w:lang w:val="en-US" w:eastAsia="zh-CN"/>
        </w:rPr>
        <w:t>（已区分出优良中及格等级、且加分不能改变原先等级评定）</w:t>
      </w:r>
      <w:r>
        <w:rPr>
          <w:rFonts w:hint="default"/>
          <w:lang w:val="en-US" w:eastAsia="zh-CN"/>
        </w:rPr>
        <w:t>时，加分无效。学生总评成绩以考评+期中作业+期末论文为准。</w:t>
      </w:r>
    </w:p>
    <w:p w14:paraId="144E4EE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2、当学生A和学生B的期中作业和期末论文成绩</w:t>
      </w:r>
      <w:r>
        <w:rPr>
          <w:rFonts w:hint="eastAsia"/>
          <w:lang w:val="en-US" w:eastAsia="zh-CN"/>
        </w:rPr>
        <w:t>优良等级一致（影响到优良中及格名额竞争、且加分后可升级）</w:t>
      </w:r>
      <w:r>
        <w:rPr>
          <w:rFonts w:hint="default"/>
          <w:lang w:val="en-US" w:eastAsia="zh-CN"/>
        </w:rPr>
        <w:t>时，加分有效。对获得课堂加分的同学予以加分，将成绩加入期末论文成绩中。</w:t>
      </w:r>
    </w:p>
    <w:p w14:paraId="117AFD1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14:paraId="2BAF95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lang w:val="en-US" w:eastAsia="zh-CN"/>
        </w:rPr>
      </w:pPr>
      <w:r>
        <w:rPr>
          <w:rFonts w:hint="eastAsia" w:ascii="黑体" w:hAnsi="黑体" w:eastAsia="黑体" w:cs="黑体"/>
          <w:lang w:val="en-US" w:eastAsia="zh-CN"/>
        </w:rPr>
        <w:t>课程教材：</w:t>
      </w:r>
    </w:p>
    <w:p w14:paraId="36372E5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ascii="Times New Roman" w:hAnsi="Times New Roman"/>
          <w:lang w:val="en-US" w:eastAsia="zh-CN"/>
        </w:rPr>
        <w:t>刘振霞：《人文社会科学导论》，高等教育出版社，2020年版。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Regular">
    <w:altName w:val="Times New Roman"/>
    <w:panose1 w:val="02020503050405090304"/>
    <w:charset w:val="00"/>
    <w:family w:val="auto"/>
    <w:pitch w:val="default"/>
    <w:sig w:usb0="00000000" w:usb1="00000000"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87A2DD"/>
    <w:multiLevelType w:val="singleLevel"/>
    <w:tmpl w:val="A087A2DD"/>
    <w:lvl w:ilvl="0" w:tentative="0">
      <w:start w:val="1"/>
      <w:numFmt w:val="decimal"/>
      <w:suff w:val="space"/>
      <w:lvlText w:val="%1."/>
      <w:lvlJc w:val="left"/>
    </w:lvl>
  </w:abstractNum>
  <w:abstractNum w:abstractNumId="1">
    <w:nsid w:val="BF6934E1"/>
    <w:multiLevelType w:val="singleLevel"/>
    <w:tmpl w:val="BF6934E1"/>
    <w:lvl w:ilvl="0" w:tentative="0">
      <w:start w:val="1"/>
      <w:numFmt w:val="decimal"/>
      <w:lvlText w:val="%1."/>
      <w:lvlJc w:val="left"/>
      <w:pPr>
        <w:tabs>
          <w:tab w:val="left" w:pos="420"/>
        </w:tabs>
        <w:ind w:left="845" w:hanging="425"/>
      </w:pPr>
      <w:rPr>
        <w:rFonts w:hint="default"/>
      </w:rPr>
    </w:lvl>
  </w:abstractNum>
  <w:abstractNum w:abstractNumId="2">
    <w:nsid w:val="0382E6FA"/>
    <w:multiLevelType w:val="singleLevel"/>
    <w:tmpl w:val="0382E6FA"/>
    <w:lvl w:ilvl="0" w:tentative="0">
      <w:start w:val="1"/>
      <w:numFmt w:val="decimal"/>
      <w:suff w:val="space"/>
      <w:lvlText w:val="%1."/>
      <w:lvlJc w:val="left"/>
    </w:lvl>
  </w:abstractNum>
  <w:abstractNum w:abstractNumId="3">
    <w:nsid w:val="3F7020E1"/>
    <w:multiLevelType w:val="singleLevel"/>
    <w:tmpl w:val="3F7020E1"/>
    <w:lvl w:ilvl="0" w:tentative="0">
      <w:start w:val="1"/>
      <w:numFmt w:val="decimal"/>
      <w:lvlText w:val="%1."/>
      <w:lvlJc w:val="left"/>
      <w:pPr>
        <w:tabs>
          <w:tab w:val="left" w:pos="312"/>
        </w:tabs>
      </w:pPr>
    </w:lvl>
  </w:abstractNum>
  <w:abstractNum w:abstractNumId="4">
    <w:nsid w:val="4AA2DEAA"/>
    <w:multiLevelType w:val="singleLevel"/>
    <w:tmpl w:val="4AA2DEAA"/>
    <w:lvl w:ilvl="0" w:tentative="0">
      <w:start w:val="1"/>
      <w:numFmt w:val="decimal"/>
      <w:suff w:val="space"/>
      <w:lvlText w:val="%1."/>
      <w:lvlJc w:val="left"/>
    </w:lvl>
  </w:abstractNum>
  <w:abstractNum w:abstractNumId="5">
    <w:nsid w:val="7BFCEDB8"/>
    <w:multiLevelType w:val="singleLevel"/>
    <w:tmpl w:val="7BFCEDB8"/>
    <w:lvl w:ilvl="0" w:tentative="0">
      <w:start w:val="2"/>
      <w:numFmt w:val="decimal"/>
      <w:suff w:val="nothing"/>
      <w:lvlText w:val="（%1）"/>
      <w:lvlJc w:val="left"/>
    </w:lvl>
  </w:abstractNum>
  <w:num w:numId="1">
    <w:abstractNumId w:val="2"/>
  </w:num>
  <w:num w:numId="2">
    <w:abstractNumId w:val="0"/>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5ODE2NTgzNTc3MWM0ZGFkYWQ0YTA0ODI1ZDllN2QifQ=="/>
  </w:docVars>
  <w:rsids>
    <w:rsidRoot w:val="00000000"/>
    <w:rsid w:val="01646200"/>
    <w:rsid w:val="0290085B"/>
    <w:rsid w:val="113E7B61"/>
    <w:rsid w:val="12CD45CE"/>
    <w:rsid w:val="13A868EE"/>
    <w:rsid w:val="1F234E5B"/>
    <w:rsid w:val="223B0D3D"/>
    <w:rsid w:val="24AB5A1B"/>
    <w:rsid w:val="270B22BE"/>
    <w:rsid w:val="275205EA"/>
    <w:rsid w:val="28057C40"/>
    <w:rsid w:val="297D49B9"/>
    <w:rsid w:val="311D744E"/>
    <w:rsid w:val="314A76AB"/>
    <w:rsid w:val="32AF753D"/>
    <w:rsid w:val="3ACD5E8E"/>
    <w:rsid w:val="3EDE072D"/>
    <w:rsid w:val="44421D96"/>
    <w:rsid w:val="46751975"/>
    <w:rsid w:val="470962C9"/>
    <w:rsid w:val="4F9C201E"/>
    <w:rsid w:val="545249AD"/>
    <w:rsid w:val="679E3780"/>
    <w:rsid w:val="69AB277E"/>
    <w:rsid w:val="6F677F97"/>
    <w:rsid w:val="7029292D"/>
    <w:rsid w:val="70DF43E5"/>
    <w:rsid w:val="77B4052F"/>
    <w:rsid w:val="7A6F7EB6"/>
    <w:rsid w:val="B5FF0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spacing w:line="240" w:lineRule="auto"/>
    </w:pPr>
    <w:rPr>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character" w:styleId="6">
    <w:name w:val="Hyperlink"/>
    <w:basedOn w:val="5"/>
    <w:unhideWhenUsed/>
    <w:qFormat/>
    <w:uiPriority w:val="99"/>
    <w:rPr>
      <w:color w:val="0026E5" w:themeColor="hyperlink"/>
      <w:u w:val="single"/>
      <w14:textFill>
        <w14:solidFill>
          <w14:schemeClr w14:val="hlink"/>
        </w14:solidFill>
      </w14:textFill>
    </w:rPr>
  </w:style>
  <w:style w:type="paragraph" w:styleId="7">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4715</Words>
  <Characters>4911</Characters>
  <Lines>0</Lines>
  <Paragraphs>0</Paragraphs>
  <TotalTime>1</TotalTime>
  <ScaleCrop>false</ScaleCrop>
  <LinksUpToDate>false</LinksUpToDate>
  <CharactersWithSpaces>4936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2024-09-08T10:53:00Z</dcterms:created>
  <dc:creator/>
  <dcterms:modified xsi:type="dcterms:W3CDTF">2026-02-27T14:14:35Z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D110CB60BCC2192641A1A16955BAF07F_43</vt:lpwstr>
  </property>
  <property fmtid="{D5CDD505-2E9C-101B-9397-08002B2CF9AE}" pid="4" name="KSOTemplateDocerSaveRecord">
    <vt:lpwstr>eyJoZGlkIjoiMDY5ODE2NTgzNTc3MWM0ZGFkYWQ0YTA0ODI1ZDllN2QiLCJ1c2VySWQiOiIyMjQ4MzEwNzcifQ==</vt:lpwstr>
  </property>
</Properties>
</file>