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39DB3">
      <w:pPr>
        <w:pStyle w:val="3"/>
        <w:rPr>
          <w:rFonts w:hint="eastAsia"/>
        </w:rPr>
      </w:pPr>
      <w:bookmarkStart w:id="0" w:name="_GoBack"/>
      <w:r>
        <w:rPr>
          <w:rFonts w:hint="eastAsia"/>
        </w:rPr>
        <w:t>探究米开朗基罗的艺术特色在个性化与精神性层面上的体现</w:t>
      </w:r>
    </w:p>
    <w:bookmarkEnd w:id="0"/>
    <w:p w14:paraId="3FEB6116">
      <w:pPr>
        <w:rPr>
          <w:rFonts w:hint="eastAsia"/>
          <w:lang w:eastAsia="zh-CN"/>
        </w:rPr>
      </w:pPr>
    </w:p>
    <w:p w14:paraId="565E54E5">
      <w:pPr>
        <w:rPr>
          <w:rFonts w:hint="eastAsia"/>
          <w:lang w:eastAsia="zh-CN"/>
        </w:rPr>
      </w:pPr>
      <w:r>
        <w:rPr>
          <w:rFonts w:hint="eastAsia"/>
          <w:lang w:eastAsia="zh-CN"/>
        </w:rPr>
        <w:t xml:space="preserve">    根据《意大利文艺复兴时期的文化》书中作者提出的观点，米开朗基罗的艺术特色体现在五个纬度:  强大的力量感、理想化的人体、戏剧性和情感表现、解剖学准确性、动态和节奏感以及个性化和精神性。</w:t>
      </w:r>
    </w:p>
    <w:p w14:paraId="1E29AF55">
      <w:pPr>
        <w:ind w:firstLineChars="200"/>
        <w:rPr>
          <w:rFonts w:hint="eastAsia"/>
          <w:lang w:eastAsia="zh-CN"/>
        </w:rPr>
      </w:pPr>
      <w:r>
        <w:rPr>
          <w:rFonts w:hint="eastAsia"/>
          <w:lang w:eastAsia="zh-CN"/>
        </w:rPr>
        <w:t>其中，精神性是指米开朗基罗的作品不只是对人体的再现，还赋予了人物强烈的个性和精神内涵，体现了文艺复兴时期的人文主义精神。</w:t>
      </w:r>
    </w:p>
    <w:p w14:paraId="3CCEB70A">
      <w:pPr>
        <w:rPr>
          <w:rFonts w:hint="eastAsia"/>
          <w:lang w:eastAsia="zh-CN"/>
        </w:rPr>
      </w:pPr>
      <w:r>
        <w:rPr>
          <w:rFonts w:hint="eastAsia"/>
          <w:lang w:eastAsia="zh-CN"/>
        </w:rPr>
        <w:t>这一评价的实质是，米开朗基罗顺应了文艺复兴时期人文主义运动的高潮，把三大思想革命的精神内涵融入自己的艺术作品，同时其作品题材和内容受到希腊艺术传统的高度影响。例如他在创作西斯廷天顶画时对于“创造亚当”这一圣经经典的艺术表现，既表现出他对古典希腊艺术风格的全面性理解和内化吸收；也更显示出他对于现代科学即解剖学的高度兴趣和深刻认识，并将其应用于他的艺术创作；以及，他对于宗教改革的热忱使得他可以对于宗教（天主教与基督教）进行自己的批判性思考，让他的创作更为自由而富有表现力。</w:t>
      </w:r>
    </w:p>
    <w:p w14:paraId="7CAEFCBF">
      <w:pPr>
        <w:ind w:firstLineChars="200"/>
        <w:rPr>
          <w:rFonts w:hint="eastAsia"/>
          <w:lang w:eastAsia="zh-CN"/>
        </w:rPr>
      </w:pPr>
      <w:r>
        <w:rPr>
          <w:rFonts w:hint="eastAsia"/>
          <w:lang w:eastAsia="zh-CN"/>
        </w:rPr>
        <w:t>因此，纵观他的作品，他实现了对于艺术技法和思想内涵的双重实现。“心灵上的伟大，才是真正的伟大。”是罗曼·罗兰对于米开朗基罗的评价。他23时创作的初期作品《哀悼基督》雕像，刻画了身着素纱的圣母对于她怀中逝去的基督进行温柔沉静的哀悼。作品传达出超越宗教限制的温柔、深沉的母爱，让人崇拜敬仰，更让人感受到人文主义的关怀。而实际上，这一作品的创作动机来源于米开朗基罗对于积极进行宗教改革的主教萨伏那洛拉被教皇联合佛罗伦萨旧贵族排挤并把他处以火刑，还将骨灰扔到河里这一惨案的深切同情与关怀。这一作品的创作过程是米开朗基罗关心并亲自投入三大革命进程的鲜明例证。同时，更是米开朗基罗作品之个性化与精神性的强烈体现，融入了他独有的情感体验与个性思想。</w:t>
      </w:r>
    </w:p>
    <w:p w14:paraId="286B20B8">
      <w:pPr>
        <w:ind w:firstLineChars="200"/>
        <w:rPr>
          <w:rFonts w:hint="eastAsia"/>
          <w:lang w:eastAsia="zh-CN"/>
        </w:rPr>
      </w:pPr>
      <w:r>
        <w:rPr>
          <w:rFonts w:hint="eastAsia"/>
          <w:lang w:eastAsia="zh-CN"/>
        </w:rPr>
        <w:t>横向比较而言，他从广泛的宗教理念里汲取思想素材，他虽然陷入了天主教和基督教的“ 二教之争”，却从没有停下他对于宗教问题、宗教与艺术的思考与反思，最终将自己的思想挣扎化为了自身不可复制的宗教心灵，带给观众心灵性的神秘体验。例如，在米开朗基罗艺术创作过程中上帝形象的不断变化，从“创世纪”到“卸下圣体”，是从严厉到悲悯，从审判者到生命的创造者的转变。深刻的自我反思最终为他带来了对于宗教的深刻理解与忠诚信仰。更使他的作品具有“宗教性与超越宗教性”的艺术特色。</w:t>
      </w:r>
    </w:p>
    <w:p w14:paraId="28439CEE">
      <w:pPr>
        <w:ind w:firstLineChars="200"/>
      </w:pPr>
      <w:r>
        <w:rPr>
          <w:rFonts w:hint="eastAsia"/>
          <w:lang w:eastAsia="zh-CN"/>
        </w:rPr>
        <w:t>因此，综上所述，米开朗基罗的艺术特色是具有矛盾性的，折射出他一生都处于思想斗争的漩涡中心，而由于他超前的艺术能力与思想高度，他成功地将这一斗争的过程转化为他独有的艺术特色，实现了矛盾双方的对立统一过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0426BB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link w:val="6"/>
    <w:qFormat/>
    <w:uiPriority w:val="9"/>
    <w:pPr>
      <w:spacing w:before="340" w:after="330" w:line="578" w:lineRule="auto"/>
      <w:outlineLvl w:val="0"/>
    </w:pPr>
    <w:rPr>
      <w:b/>
      <w:bCs/>
      <w:kern w:val="44"/>
      <w:sz w:val="44"/>
      <w:szCs w:val="44"/>
    </w:rPr>
  </w:style>
  <w:style w:type="paragraph" w:styleId="3">
    <w:name w:val="heading 2"/>
    <w:basedOn w:val="1"/>
    <w:next w:val="1"/>
    <w:link w:val="7"/>
    <w:qFormat/>
    <w:uiPriority w:val="9"/>
    <w:pPr>
      <w:spacing w:before="260" w:after="260" w:line="416" w:lineRule="auto"/>
      <w:outlineLvl w:val="1"/>
    </w:pPr>
    <w:rPr>
      <w:b/>
      <w:bCs/>
      <w:sz w:val="32"/>
      <w:szCs w:val="32"/>
    </w:rPr>
  </w:style>
  <w:style w:type="character" w:default="1" w:styleId="5">
    <w:name w:val="Default Paragraph Font"/>
    <w:uiPriority w:val="1"/>
  </w:style>
  <w:style w:type="table" w:default="1" w:styleId="4">
    <w:name w:val="Normal Table"/>
    <w:uiPriority w:val="99"/>
    <w:tblPr>
      <w:tblCellMar>
        <w:top w:w="0" w:type="dxa"/>
        <w:left w:w="108" w:type="dxa"/>
        <w:bottom w:w="0" w:type="dxa"/>
        <w:right w:w="108" w:type="dxa"/>
      </w:tblCellMar>
    </w:tblPr>
  </w:style>
  <w:style w:type="character" w:customStyle="1" w:styleId="6">
    <w:name w:val="Heading 1 Char"/>
    <w:basedOn w:val="5"/>
    <w:link w:val="2"/>
    <w:uiPriority w:val="9"/>
    <w:rPr>
      <w:b/>
      <w:bCs/>
      <w:kern w:val="44"/>
      <w:sz w:val="44"/>
      <w:szCs w:val="44"/>
    </w:rPr>
  </w:style>
  <w:style w:type="character" w:customStyle="1" w:styleId="7">
    <w:name w:val="Heading 2 Char"/>
    <w:basedOn w:val="5"/>
    <w:link w:val="3"/>
    <w:uiPriority w:val="9"/>
    <w:rPr>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1063</Words>
  <Characters>1070</Characters>
  <Paragraphs>8</Paragraphs>
  <TotalTime>0</TotalTime>
  <ScaleCrop>false</ScaleCrop>
  <LinksUpToDate>false</LinksUpToDate>
  <CharactersWithSpaces>1079</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2024-11-10T10:05:00Z</dcterms:created>
  <dc:creator/>
  <dcterms:modified xsi:type="dcterms:W3CDTF">2025-02-10T03:37:23Z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daf5a237beb741b6abb300588bedb08a_23</vt:lpwstr>
  </property>
  <property fmtid="{D5CDD505-2E9C-101B-9397-08002B2CF9AE}" pid="3" name="KSOTemplateDocerSaveRecord">
    <vt:lpwstr>eyJoZGlkIjoiMDY5ODE2NTgzNTc3MWM0ZGFkYWQ0YTA0ODI1ZDllN2QiLCJ1c2VySWQiOiIyMjQ4MzEwNzcifQ==</vt:lpwstr>
  </property>
  <property fmtid="{D5CDD505-2E9C-101B-9397-08002B2CF9AE}" pid="4" name="KSOProductBuildVer">
    <vt:lpwstr>2052-12.1.0.19770</vt:lpwstr>
  </property>
</Properties>
</file>