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19F330">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对海德格尔“此在”含义的理解及启发</w:t>
      </w:r>
    </w:p>
    <w:p w14:paraId="7E2160F5">
      <w:pPr>
        <w:keepNext w:val="0"/>
        <w:keepLines w:val="0"/>
        <w:pageBreakBefore w:val="0"/>
        <w:widowControl/>
        <w:kinsoku w:val="0"/>
        <w:wordWrap/>
        <w:overflowPunct/>
        <w:topLinePunct w:val="0"/>
        <w:autoSpaceDE w:val="0"/>
        <w:autoSpaceDN w:val="0"/>
        <w:bidi w:val="0"/>
        <w:adjustRightInd w:val="0"/>
        <w:snapToGrid w:val="0"/>
        <w:spacing w:line="400" w:lineRule="exact"/>
        <w:ind w:left="315" w:leftChars="150" w:right="315" w:rightChars="150" w:firstLine="0" w:firstLineChars="0"/>
        <w:textAlignment w:val="baseline"/>
        <w:rPr>
          <w:rFonts w:hint="eastAsia" w:ascii="宋体" w:hAnsi="宋体" w:eastAsia="宋体" w:cs="宋体"/>
          <w:sz w:val="24"/>
          <w:szCs w:val="24"/>
          <w:lang w:eastAsia="zh-CN"/>
        </w:rPr>
      </w:pPr>
    </w:p>
    <w:p w14:paraId="3F4F9ED0">
      <w:pPr>
        <w:keepNext w:val="0"/>
        <w:keepLines w:val="0"/>
        <w:pageBreakBefore w:val="0"/>
        <w:widowControl/>
        <w:kinsoku w:val="0"/>
        <w:wordWrap/>
        <w:overflowPunct/>
        <w:topLinePunct w:val="0"/>
        <w:autoSpaceDE w:val="0"/>
        <w:autoSpaceDN w:val="0"/>
        <w:bidi w:val="0"/>
        <w:adjustRightInd w:val="0"/>
        <w:snapToGrid w:val="0"/>
        <w:spacing w:line="400" w:lineRule="exact"/>
        <w:ind w:left="315" w:leftChars="150" w:right="315" w:rightChars="150" w:firstLine="0" w:firstLineChars="0"/>
        <w:textAlignment w:val="baseline"/>
        <w:rPr>
          <w:rFonts w:hint="default" w:ascii="宋体" w:hAnsi="宋体" w:eastAsia="宋体" w:cs="宋体"/>
          <w:b w:val="0"/>
          <w:bCs w:val="0"/>
          <w:sz w:val="24"/>
          <w:szCs w:val="24"/>
          <w:lang w:val="en-US" w:eastAsia="zh-CN"/>
        </w:rPr>
      </w:pPr>
      <w:bookmarkStart w:id="0" w:name="_GoBack"/>
      <w:bookmarkEnd w:id="0"/>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摘要】本文基于海德格尔的“此在”概念，深入分析了其在生存论中的含义及死亡意识带来的启示。海德格尔通过现象学解释学方法，强调“此在”总是处于历史性和世界性中，通过探讨“沉沦”与“常人化”状态，揭示了死亡意识如何促使“此在”从非本真存在中解放，走向本真存在。除此之外，海德格尔还阐明了“尚未”状态与死亡的内在关联，指出死亡不仅是生命的终结，更是实现个体自由选择、承担责任的动力，推动生命的自我实现与完满。</w:t>
      </w:r>
    </w:p>
    <w:p w14:paraId="41DE13D7">
      <w:pPr>
        <w:keepNext w:val="0"/>
        <w:keepLines w:val="0"/>
        <w:pageBreakBefore w:val="0"/>
        <w:widowControl/>
        <w:suppressLineNumbers w:val="0"/>
        <w:kinsoku w:val="0"/>
        <w:wordWrap/>
        <w:overflowPunct/>
        <w:topLinePunct w:val="0"/>
        <w:autoSpaceDE w:val="0"/>
        <w:autoSpaceDN w:val="0"/>
        <w:bidi w:val="0"/>
        <w:adjustRightInd w:val="0"/>
        <w:snapToGrid w:val="0"/>
        <w:spacing w:line="400" w:lineRule="exact"/>
        <w:ind w:left="315" w:leftChars="150" w:right="315" w:rightChars="150"/>
        <w:jc w:val="left"/>
        <w:textAlignment w:val="baseline"/>
        <w:rPr>
          <w:rFonts w:hint="default" w:ascii="宋体" w:hAnsi="宋体" w:eastAsia="宋体" w:cs="宋体"/>
          <w:b w:val="0"/>
          <w:bCs w:val="0"/>
          <w:snapToGrid w:val="0"/>
          <w:color w:val="000000"/>
          <w:kern w:val="0"/>
          <w:sz w:val="24"/>
          <w:szCs w:val="24"/>
          <w:lang w:val="en-US" w:eastAsia="zh-CN" w:bidi="ar"/>
        </w:rPr>
      </w:pPr>
      <w:r>
        <w:rPr>
          <w:rFonts w:hint="eastAsia" w:ascii="宋体" w:hAnsi="宋体" w:eastAsia="宋体" w:cs="宋体"/>
          <w:b w:val="0"/>
          <w:bCs w:val="0"/>
          <w:snapToGrid w:val="0"/>
          <w:color w:val="000000"/>
          <w:kern w:val="0"/>
          <w:sz w:val="24"/>
          <w:szCs w:val="24"/>
          <w:lang w:val="en-US" w:eastAsia="zh-CN" w:bidi="ar"/>
        </w:rPr>
        <w:t>【关键词】海德格尔；此在；解释学；存在与时间</w:t>
      </w:r>
    </w:p>
    <w:p w14:paraId="7034FF84">
      <w:pPr>
        <w:keepNext w:val="0"/>
        <w:keepLines w:val="0"/>
        <w:pageBreakBefore w:val="0"/>
        <w:widowControl/>
        <w:suppressLineNumbers w:val="0"/>
        <w:kinsoku w:val="0"/>
        <w:wordWrap/>
        <w:overflowPunct/>
        <w:topLinePunct w:val="0"/>
        <w:autoSpaceDE w:val="0"/>
        <w:autoSpaceDN w:val="0"/>
        <w:bidi w:val="0"/>
        <w:adjustRightInd w:val="0"/>
        <w:snapToGrid w:val="0"/>
        <w:spacing w:line="400" w:lineRule="exact"/>
        <w:ind w:left="315" w:leftChars="150" w:right="315" w:rightChars="150"/>
        <w:jc w:val="left"/>
        <w:textAlignment w:val="baseline"/>
        <w:rPr>
          <w:rFonts w:hint="eastAsia" w:ascii="宋体" w:hAnsi="宋体" w:eastAsia="宋体" w:cs="宋体"/>
          <w:b w:val="0"/>
          <w:bCs w:val="0"/>
          <w:snapToGrid w:val="0"/>
          <w:color w:val="000000"/>
          <w:kern w:val="0"/>
          <w:sz w:val="24"/>
          <w:szCs w:val="24"/>
          <w:lang w:val="en-US" w:eastAsia="zh-CN" w:bidi="ar"/>
        </w:rPr>
      </w:pPr>
    </w:p>
    <w:p w14:paraId="6276E559">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ind w:left="0" w:leftChars="0" w:right="0" w:rightChars="0" w:firstLine="0" w:firstLineChars="0"/>
        <w:textAlignment w:val="auto"/>
        <w:rPr>
          <w:rStyle w:val="7"/>
          <w:rFonts w:hint="eastAsia" w:ascii="宋体" w:hAnsi="宋体" w:eastAsia="宋体" w:cs="宋体"/>
          <w:b/>
          <w:bCs/>
          <w:sz w:val="24"/>
          <w:szCs w:val="24"/>
          <w:lang w:val="en-US" w:eastAsia="zh-CN"/>
        </w:rPr>
      </w:pPr>
      <w:r>
        <w:rPr>
          <w:rStyle w:val="7"/>
          <w:rFonts w:hint="eastAsia" w:ascii="宋体" w:hAnsi="宋体" w:eastAsia="宋体" w:cs="宋体"/>
          <w:b/>
          <w:bCs/>
          <w:sz w:val="24"/>
          <w:szCs w:val="24"/>
        </w:rPr>
        <w:t>以</w:t>
      </w:r>
      <w:r>
        <w:rPr>
          <w:rStyle w:val="7"/>
          <w:rFonts w:hint="eastAsia" w:ascii="宋体" w:hAnsi="宋体" w:eastAsia="宋体" w:cs="宋体"/>
          <w:b/>
          <w:bCs/>
          <w:sz w:val="24"/>
          <w:szCs w:val="24"/>
          <w:lang w:val="en-US" w:eastAsia="zh-CN"/>
        </w:rPr>
        <w:t>实际性的</w:t>
      </w:r>
      <w:r>
        <w:rPr>
          <w:rStyle w:val="7"/>
          <w:rFonts w:hint="eastAsia" w:ascii="宋体" w:hAnsi="宋体" w:eastAsia="宋体" w:cs="宋体"/>
          <w:b/>
          <w:bCs/>
          <w:sz w:val="24"/>
          <w:szCs w:val="24"/>
        </w:rPr>
        <w:t>解释学</w:t>
      </w:r>
      <w:r>
        <w:rPr>
          <w:rStyle w:val="7"/>
          <w:rFonts w:hint="eastAsia" w:ascii="宋体" w:hAnsi="宋体" w:eastAsia="宋体" w:cs="宋体"/>
          <w:b/>
          <w:bCs/>
          <w:sz w:val="24"/>
          <w:szCs w:val="24"/>
          <w:lang w:val="en-US" w:eastAsia="zh-CN"/>
        </w:rPr>
        <w:t>阐释</w:t>
      </w:r>
      <w:r>
        <w:rPr>
          <w:rStyle w:val="7"/>
          <w:rFonts w:hint="eastAsia" w:ascii="宋体" w:hAnsi="宋体" w:eastAsia="宋体" w:cs="宋体"/>
          <w:b/>
          <w:bCs/>
          <w:sz w:val="24"/>
          <w:szCs w:val="24"/>
        </w:rPr>
        <w:t>此在</w:t>
      </w:r>
      <w:r>
        <w:rPr>
          <w:rStyle w:val="7"/>
          <w:rFonts w:hint="eastAsia" w:ascii="宋体" w:hAnsi="宋体" w:eastAsia="宋体" w:cs="宋体"/>
          <w:b/>
          <w:bCs/>
          <w:sz w:val="24"/>
          <w:szCs w:val="24"/>
          <w:lang w:val="en-US" w:eastAsia="zh-CN"/>
        </w:rPr>
        <w:t>生存论含义的必要性</w:t>
      </w:r>
    </w:p>
    <w:p w14:paraId="1997AF5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leftChars="0" w:right="0" w:rightChars="0" w:firstLine="480"/>
        <w:textAlignment w:val="auto"/>
        <w:rPr>
          <w:rStyle w:val="7"/>
          <w:rFonts w:hint="eastAsia" w:ascii="宋体" w:hAnsi="宋体" w:eastAsia="宋体" w:cs="宋体"/>
          <w:b w:val="0"/>
          <w:bCs w:val="0"/>
          <w:sz w:val="24"/>
          <w:szCs w:val="24"/>
          <w:lang w:val="en-US" w:eastAsia="zh-CN"/>
        </w:rPr>
      </w:pPr>
      <w:r>
        <w:rPr>
          <w:rStyle w:val="7"/>
          <w:rFonts w:hint="eastAsia" w:ascii="宋体" w:hAnsi="宋体" w:eastAsia="宋体" w:cs="宋体"/>
          <w:b w:val="0"/>
          <w:bCs w:val="0"/>
          <w:sz w:val="24"/>
          <w:szCs w:val="24"/>
          <w:lang w:val="en-US" w:eastAsia="zh-CN"/>
        </w:rPr>
        <w:t>在海德格尔看来，传统形而上学的认识论总是概念化地模糊人及其所遭遇之对象的特殊性，为了避免这样的认识论容易将存在问题概念化的夷平，海德格尔提出，只有利用“面向事情本身”的现象学的解释学方法才能将存在如其自身那样显现出来，有必要用实际性的解释学来解释当下最本己的此在。</w:t>
      </w:r>
    </w:p>
    <w:p w14:paraId="3FA4437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leftChars="0" w:right="0" w:rightChars="0" w:firstLine="480"/>
        <w:textAlignment w:val="auto"/>
        <w:rPr>
          <w:rStyle w:val="7"/>
          <w:rFonts w:hint="eastAsia" w:ascii="宋体" w:hAnsi="宋体" w:eastAsia="宋体" w:cs="宋体"/>
          <w:b w:val="0"/>
          <w:bCs w:val="0"/>
          <w:sz w:val="24"/>
          <w:szCs w:val="24"/>
          <w:lang w:val="en-US" w:eastAsia="zh-CN"/>
        </w:rPr>
      </w:pPr>
      <w:r>
        <w:rPr>
          <w:rStyle w:val="7"/>
          <w:rFonts w:hint="eastAsia" w:ascii="宋体" w:hAnsi="宋体" w:eastAsia="宋体" w:cs="宋体"/>
          <w:b w:val="0"/>
          <w:bCs w:val="0"/>
          <w:sz w:val="24"/>
          <w:szCs w:val="24"/>
          <w:lang w:val="en-US" w:eastAsia="zh-CN"/>
        </w:rPr>
        <w:t>在《对亚里士多德的现象学解释》中，海德格尔首先明确了自己的基本任务，即通过对亚里士多德的现象学解释，形成一个“具体的问题”，构成一种从实际生活经验本身出发的哲学体系。海德格尔通过使自柏拉图以来被分离的生活世界中的概念实际化，确立了一种从实际生活经验本身出发的全新的实际性的解释学。海德格尔将“行为”（Verhalten）的本质概念界定为在关系中决定的，通过对生活经验的现象学阐释来明确哲学与存在论之间的关系。正如海德格尔所揭示的：“‘实际性’是用来表示‘我们的’‘本己的’此在的存在特征”</w:t>
      </w:r>
      <w:r>
        <w:rPr>
          <w:rStyle w:val="5"/>
          <w:rFonts w:hint="eastAsia" w:ascii="宋体" w:hAnsi="宋体" w:eastAsia="宋体" w:cs="宋体"/>
          <w:b w:val="0"/>
          <w:bCs w:val="0"/>
          <w:sz w:val="24"/>
          <w:szCs w:val="24"/>
          <w:lang w:val="en-US" w:eastAsia="zh-CN"/>
        </w:rPr>
        <w:footnoteReference w:id="0"/>
      </w:r>
      <w:r>
        <w:rPr>
          <w:rStyle w:val="7"/>
          <w:rFonts w:hint="eastAsia" w:ascii="宋体" w:hAnsi="宋体" w:eastAsia="宋体" w:cs="宋体"/>
          <w:b w:val="0"/>
          <w:bCs w:val="0"/>
          <w:sz w:val="24"/>
          <w:szCs w:val="24"/>
          <w:lang w:val="en-US" w:eastAsia="zh-CN"/>
        </w:rPr>
        <w:t>。海德格尔认为“实际性”指当下的这个此在，是此在以其最本己的方式在此存在，这代表着当下的此在是具有可能性的存在。他将“实际性”和“此在”的生存等同起来，并用“此在”这一动词代替“人”的名字，目的就是为了突出“人”的去存在的本质特征。此在被规定在每个当下的可能性中，此在存在于历史性的当下性之中，而历史又受到时间的规定，实际性就是此在的当下性，因此“实际性”就是用来表述此在存在特征的基本概念，而用实际性的解释学来解释当下最本己的存在，是最能贴切地表达此在“此在”在生存环节的存在特征的方式。</w:t>
      </w:r>
    </w:p>
    <w:p w14:paraId="72A55CD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leftChars="0" w:right="0" w:rightChars="0"/>
        <w:textAlignment w:val="auto"/>
        <w:rPr>
          <w:rStyle w:val="7"/>
          <w:rFonts w:hint="default" w:ascii="宋体" w:hAnsi="宋体" w:eastAsia="宋体" w:cs="宋体"/>
          <w:b/>
          <w:bCs/>
          <w:sz w:val="24"/>
          <w:szCs w:val="24"/>
          <w:lang w:val="en-US" w:eastAsia="zh-CN"/>
        </w:rPr>
      </w:pPr>
      <w:r>
        <w:rPr>
          <w:rStyle w:val="7"/>
          <w:rFonts w:hint="eastAsia" w:ascii="宋体" w:hAnsi="宋体" w:eastAsia="宋体" w:cs="宋体"/>
          <w:b/>
          <w:bCs/>
          <w:sz w:val="24"/>
          <w:szCs w:val="24"/>
          <w:lang w:val="en-US" w:eastAsia="zh-CN"/>
        </w:rPr>
        <w:t>2、此在的被抛性：与他人共在</w:t>
      </w:r>
    </w:p>
    <w:p w14:paraId="001664A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leftChars="0" w:right="0" w:rightChars="0" w:firstLine="480" w:firstLineChars="200"/>
        <w:textAlignment w:val="auto"/>
        <w:rPr>
          <w:rStyle w:val="7"/>
          <w:rFonts w:hint="eastAsia" w:ascii="宋体" w:hAnsi="宋体" w:eastAsia="宋体" w:cs="宋体"/>
          <w:b w:val="0"/>
          <w:bCs w:val="0"/>
          <w:sz w:val="24"/>
          <w:szCs w:val="24"/>
          <w:lang w:val="en-US" w:eastAsia="zh-CN"/>
        </w:rPr>
      </w:pPr>
      <w:r>
        <w:rPr>
          <w:rStyle w:val="7"/>
          <w:rFonts w:hint="eastAsia" w:ascii="宋体" w:hAnsi="宋体" w:eastAsia="宋体" w:cs="宋体"/>
          <w:b w:val="0"/>
          <w:bCs w:val="0"/>
          <w:sz w:val="24"/>
          <w:szCs w:val="24"/>
          <w:lang w:val="en-US" w:eastAsia="zh-CN"/>
        </w:rPr>
        <w:t>海德格尔认为：“此在本质上就是：存在在世界之中”</w:t>
      </w:r>
      <w:r>
        <w:rPr>
          <w:rStyle w:val="5"/>
          <w:rFonts w:hint="eastAsia" w:ascii="宋体" w:hAnsi="宋体" w:eastAsia="宋体" w:cs="宋体"/>
          <w:b w:val="0"/>
          <w:bCs w:val="0"/>
          <w:sz w:val="24"/>
          <w:szCs w:val="24"/>
          <w:lang w:val="en-US" w:eastAsia="zh-CN"/>
        </w:rPr>
        <w:footnoteReference w:id="1"/>
      </w:r>
      <w:r>
        <w:rPr>
          <w:rStyle w:val="7"/>
          <w:rFonts w:hint="eastAsia" w:ascii="宋体" w:hAnsi="宋体" w:eastAsia="宋体" w:cs="宋体"/>
          <w:b w:val="0"/>
          <w:bCs w:val="0"/>
          <w:sz w:val="24"/>
          <w:szCs w:val="24"/>
          <w:lang w:val="en-US" w:eastAsia="zh-CN"/>
        </w:rPr>
        <w:t>，这表明此在实际性地存在于世界之中，对此在之存在的分析方式也不再是将世界作为认识的客体，而是对于“此在在世界中存在”的存在结构的分析。此在从一出生就“被抛入”到世界之中，此在被外部条件所限定，无法对自己被抛入的世界进行自主选择，个体不具备绝对的自由，这样被动的存在状态揭示了人类生存的有限性与依赖性。</w:t>
      </w:r>
    </w:p>
    <w:p w14:paraId="5D6B98E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leftChars="0" w:right="0" w:rightChars="0" w:firstLine="480" w:firstLineChars="200"/>
        <w:textAlignment w:val="auto"/>
        <w:rPr>
          <w:rStyle w:val="7"/>
          <w:rFonts w:hint="eastAsia" w:ascii="宋体" w:hAnsi="宋体" w:eastAsia="宋体" w:cs="宋体"/>
          <w:b w:val="0"/>
          <w:bCs w:val="0"/>
          <w:sz w:val="24"/>
          <w:szCs w:val="24"/>
          <w:lang w:val="en-US" w:eastAsia="zh-CN"/>
        </w:rPr>
      </w:pPr>
      <w:r>
        <w:rPr>
          <w:rStyle w:val="7"/>
          <w:rFonts w:hint="eastAsia" w:ascii="宋体" w:hAnsi="宋体" w:eastAsia="宋体" w:cs="宋体"/>
          <w:b w:val="0"/>
          <w:bCs w:val="0"/>
          <w:sz w:val="24"/>
          <w:szCs w:val="24"/>
          <w:lang w:val="en-US" w:eastAsia="zh-CN"/>
        </w:rPr>
        <w:t>我们也可以得出另一个结论，那就是此在是不能脱离周围的一切而独立存在的，作为一个让存在显化的存在者，在生存论的意义上它只能是一个与世界交融的存在者，因此才被称为是“此在”。此在在存在论上是一个占有着世界性的存在。此在总是与世界发生着关系，同时此在也具有着意向性，与他人相处是一种存在性的同构，他们一起触发着周围的世界</w:t>
      </w:r>
      <w:r>
        <w:rPr>
          <w:rStyle w:val="5"/>
          <w:rFonts w:hint="eastAsia" w:ascii="宋体" w:hAnsi="宋体" w:eastAsia="宋体" w:cs="宋体"/>
          <w:b w:val="0"/>
          <w:bCs w:val="0"/>
          <w:sz w:val="24"/>
          <w:szCs w:val="24"/>
          <w:lang w:val="en-US" w:eastAsia="zh-CN"/>
        </w:rPr>
        <w:footnoteReference w:id="2"/>
      </w:r>
      <w:r>
        <w:rPr>
          <w:rStyle w:val="7"/>
          <w:rFonts w:hint="eastAsia" w:ascii="宋体" w:hAnsi="宋体" w:eastAsia="宋体" w:cs="宋体"/>
          <w:b w:val="0"/>
          <w:bCs w:val="0"/>
          <w:sz w:val="24"/>
          <w:szCs w:val="24"/>
          <w:lang w:val="en-US" w:eastAsia="zh-CN"/>
        </w:rPr>
        <w:t>，在承担着未来的可能性的同时，它一直存在于一种与周围世界与他人永久的对抗之中。海德格尔为了避免个人为中心的“唯我论”，而提出了“他人”的概念：“‘他人’并不等于说在我之外的全体余数，而这个我则从这全部余数中兀然特立；他人倒是我们本身多半与之无别、我们也在其中的那些人”</w:t>
      </w:r>
      <w:r>
        <w:rPr>
          <w:rStyle w:val="5"/>
          <w:rFonts w:hint="eastAsia" w:ascii="宋体" w:hAnsi="宋体" w:eastAsia="宋体" w:cs="宋体"/>
          <w:b w:val="0"/>
          <w:bCs w:val="0"/>
          <w:sz w:val="24"/>
          <w:szCs w:val="24"/>
          <w:lang w:val="en-US" w:eastAsia="zh-CN"/>
        </w:rPr>
        <w:footnoteReference w:id="3"/>
      </w:r>
      <w:r>
        <w:rPr>
          <w:rStyle w:val="7"/>
          <w:rFonts w:hint="eastAsia" w:ascii="宋体" w:hAnsi="宋体" w:eastAsia="宋体" w:cs="宋体"/>
          <w:b w:val="0"/>
          <w:bCs w:val="0"/>
          <w:sz w:val="24"/>
          <w:szCs w:val="24"/>
          <w:lang w:val="en-US" w:eastAsia="zh-CN"/>
        </w:rPr>
        <w:t>。这样一来，从存在论上分析，他人的共同在此的共同就是此在式的共同，所谓的“也”指存在的同等。也就是说，我与他人都是此在，都作为操劳着的在世存在。因此，此在在世界中存在实际上也是与他人“共在”，共在也是一种“共同此在”，即他人也是在世界之中的在此存在。共同此在对此在而言是他人的存在方式，它并不独立于我的此在，而属于此在日常的存在结构之中。</w:t>
      </w:r>
    </w:p>
    <w:p w14:paraId="6EB6A8B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leftChars="0" w:right="0" w:rightChars="0"/>
        <w:textAlignment w:val="auto"/>
        <w:rPr>
          <w:rStyle w:val="7"/>
          <w:rFonts w:hint="eastAsia" w:ascii="宋体" w:hAnsi="宋体" w:eastAsia="宋体" w:cs="宋体"/>
          <w:b/>
          <w:bCs/>
          <w:sz w:val="24"/>
          <w:szCs w:val="24"/>
          <w:lang w:val="en-US" w:eastAsia="zh-CN"/>
        </w:rPr>
      </w:pPr>
      <w:r>
        <w:rPr>
          <w:rStyle w:val="7"/>
          <w:rFonts w:hint="eastAsia" w:ascii="宋体" w:hAnsi="宋体" w:eastAsia="宋体" w:cs="宋体"/>
          <w:b/>
          <w:bCs/>
          <w:sz w:val="24"/>
          <w:szCs w:val="24"/>
          <w:lang w:val="en-US" w:eastAsia="zh-CN"/>
        </w:rPr>
        <w:t>3、“沉沦”与“常人”：存在论中的丧失与异化</w:t>
      </w:r>
    </w:p>
    <w:p w14:paraId="41BDDE8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leftChars="0" w:right="0" w:rightChars="0" w:firstLine="480" w:firstLineChars="200"/>
        <w:textAlignment w:val="auto"/>
        <w:rPr>
          <w:rStyle w:val="7"/>
          <w:rFonts w:hint="eastAsia" w:ascii="宋体" w:hAnsi="宋体" w:eastAsia="宋体" w:cs="宋体"/>
          <w:b w:val="0"/>
          <w:bCs w:val="0"/>
          <w:sz w:val="24"/>
          <w:szCs w:val="24"/>
          <w:lang w:val="en-US" w:eastAsia="zh-CN"/>
        </w:rPr>
      </w:pPr>
      <w:r>
        <w:rPr>
          <w:rStyle w:val="7"/>
          <w:rFonts w:hint="eastAsia" w:ascii="宋体" w:hAnsi="宋体" w:eastAsia="宋体" w:cs="宋体"/>
          <w:b w:val="0"/>
          <w:bCs w:val="0"/>
          <w:sz w:val="24"/>
          <w:szCs w:val="24"/>
          <w:lang w:val="en-US" w:eastAsia="zh-CN"/>
        </w:rPr>
        <w:t>在海德格尔的存在论框架中，“沉沦”（Verfallen）是“此在”（Dasein）作为一种历史性和社会性存在的非本真状态的表现。海德格尔通过这一概念揭示了“此在”在日常生活中的失落和疏离，以及如何从本真存在（authentic existence）陷入到“常人化”的状态。此处的“常人”并非指具体的某个他人，而是某种庸常的社会文化中普遍存在的一种非个性化的生活方式，“常人”的存在状态没有对死亡、自由、有限性等根本问题的反思，是一个去个性化、去反思的存在状态。在存在的过程中，此在会受到他人的影响而跌入“常人”的陷阱，展现出一种沉沦的状态，使自己的本己性发生异化，个体生活在他人和社会提供的表象之中。然而，海德格尔对“沉沦”的态度并非完全贬义，因为他的哲学立场并不是基于传统哲学结构的伦理学或价值判断，而是一种从只描述而不评价的现象学的解释学出发，用沉沦来描述此在沉迷于世界中的状态及其日常存在的一种方式。</w:t>
      </w:r>
    </w:p>
    <w:p w14:paraId="6A74FDA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leftChars="0" w:right="0" w:rightChars="0"/>
        <w:textAlignment w:val="auto"/>
        <w:rPr>
          <w:rStyle w:val="7"/>
          <w:rFonts w:hint="default" w:ascii="宋体" w:hAnsi="宋体" w:eastAsia="宋体" w:cs="宋体"/>
          <w:b/>
          <w:bCs/>
          <w:sz w:val="24"/>
          <w:szCs w:val="24"/>
          <w:lang w:val="en-US" w:eastAsia="zh-CN"/>
        </w:rPr>
      </w:pPr>
      <w:r>
        <w:rPr>
          <w:rStyle w:val="7"/>
          <w:rFonts w:hint="eastAsia" w:ascii="宋体" w:hAnsi="宋体" w:eastAsia="宋体" w:cs="宋体"/>
          <w:b/>
          <w:bCs/>
          <w:sz w:val="24"/>
          <w:szCs w:val="24"/>
          <w:lang w:val="en-US" w:eastAsia="zh-CN"/>
        </w:rPr>
        <w:t>4、向死而在：海德格尔“此在”概念的启示</w:t>
      </w:r>
    </w:p>
    <w:p w14:paraId="7ABD991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leftChars="0" w:right="0" w:rightChars="0" w:firstLine="480" w:firstLineChars="200"/>
        <w:textAlignment w:val="auto"/>
        <w:rPr>
          <w:rStyle w:val="7"/>
          <w:rFonts w:hint="eastAsia" w:ascii="宋体" w:hAnsi="宋体" w:eastAsia="宋体" w:cs="宋体"/>
          <w:b w:val="0"/>
          <w:bCs w:val="0"/>
          <w:sz w:val="24"/>
          <w:szCs w:val="24"/>
          <w:lang w:val="en-US" w:eastAsia="zh-CN"/>
        </w:rPr>
      </w:pPr>
      <w:r>
        <w:rPr>
          <w:rStyle w:val="7"/>
          <w:rFonts w:hint="eastAsia" w:ascii="宋体" w:hAnsi="宋体" w:eastAsia="宋体" w:cs="宋体"/>
          <w:b w:val="0"/>
          <w:bCs w:val="0"/>
          <w:sz w:val="24"/>
          <w:szCs w:val="24"/>
          <w:lang w:val="en-US" w:eastAsia="zh-CN"/>
        </w:rPr>
        <w:t xml:space="preserve">  尽管作为生活在如影随形的社会与文化的常人独裁社会中的“此在”的沉沦是一种普遍现象，然而，”沉沦“也并非无法避免。通过意识到死亡的有限性和对生命自由选择的责任，“此在”能够从这种外部支配的沉沦中解放出来，走向本真存在。这一过程不仅是对自由的回归，也是对个体存在的深刻反思和选择。传统的死亡观将死亡看作生命的“终结”或“消失”，然而，海德格尔认为死亡并非象征着结束，而是生命结构的一个内在组成部分。死亡是“此在”无法超越的极限存在，它迫使个体意识到自己作为有限存在的事实。有限性不是个体的障碍，而是自由选择和责任的条件。通过死亡的意识，“此在”正是通过面对自己的有限性和终结性，获得了对自我存在的深刻反思，从而走向本真存在。</w:t>
      </w:r>
    </w:p>
    <w:p w14:paraId="7CAF32F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leftChars="0" w:right="0" w:rightChars="0" w:firstLine="480" w:firstLineChars="200"/>
        <w:textAlignment w:val="auto"/>
        <w:rPr>
          <w:rStyle w:val="7"/>
          <w:rFonts w:hint="default" w:ascii="宋体" w:hAnsi="宋体" w:eastAsia="宋体" w:cs="宋体"/>
          <w:b w:val="0"/>
          <w:bCs w:val="0"/>
          <w:sz w:val="24"/>
          <w:szCs w:val="24"/>
          <w:lang w:val="en-US" w:eastAsia="zh-CN"/>
        </w:rPr>
      </w:pPr>
      <w:r>
        <w:rPr>
          <w:rStyle w:val="7"/>
          <w:rFonts w:hint="default" w:ascii="宋体" w:hAnsi="宋体" w:eastAsia="宋体" w:cs="宋体"/>
          <w:b w:val="0"/>
          <w:bCs w:val="0"/>
          <w:sz w:val="24"/>
          <w:szCs w:val="24"/>
          <w:lang w:val="en-US" w:eastAsia="zh-CN"/>
        </w:rPr>
        <w:t>海德格尔</w:t>
      </w:r>
      <w:r>
        <w:rPr>
          <w:rStyle w:val="7"/>
          <w:rFonts w:hint="eastAsia" w:ascii="宋体" w:hAnsi="宋体" w:eastAsia="宋体" w:cs="宋体"/>
          <w:b w:val="0"/>
          <w:bCs w:val="0"/>
          <w:sz w:val="24"/>
          <w:szCs w:val="24"/>
          <w:lang w:val="en-US" w:eastAsia="zh-CN"/>
        </w:rPr>
        <w:t>使用</w:t>
      </w:r>
      <w:r>
        <w:rPr>
          <w:rStyle w:val="7"/>
          <w:rFonts w:hint="default" w:ascii="宋体" w:hAnsi="宋体" w:eastAsia="宋体" w:cs="宋体"/>
          <w:b w:val="0"/>
          <w:bCs w:val="0"/>
          <w:sz w:val="24"/>
          <w:szCs w:val="24"/>
          <w:lang w:val="en-US" w:eastAsia="zh-CN"/>
        </w:rPr>
        <w:t>果实成熟的例子来形容人的尚未，表明果实未成熟的状态就是人的尚未。他认为，尚未已经被包括到果实的本己存在之中，只要此在存在，它也向来是它的的尚未，当果实向着它本身方面趋向成熟，此在向着最本己的能</w:t>
      </w:r>
    </w:p>
    <w:p w14:paraId="37765F7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right="0" w:rightChars="0"/>
        <w:textAlignment w:val="auto"/>
        <w:rPr>
          <w:rStyle w:val="7"/>
          <w:rFonts w:hint="eastAsia" w:ascii="宋体" w:hAnsi="宋体" w:eastAsia="宋体" w:cs="宋体"/>
          <w:b w:val="0"/>
          <w:bCs w:val="0"/>
          <w:sz w:val="24"/>
          <w:szCs w:val="24"/>
          <w:lang w:val="en-US" w:eastAsia="zh-CN"/>
        </w:rPr>
      </w:pPr>
      <w:r>
        <w:rPr>
          <w:rStyle w:val="7"/>
          <w:rFonts w:hint="default" w:ascii="宋体" w:hAnsi="宋体" w:eastAsia="宋体" w:cs="宋体"/>
          <w:b w:val="0"/>
          <w:bCs w:val="0"/>
          <w:sz w:val="24"/>
          <w:szCs w:val="24"/>
          <w:lang w:val="en-US" w:eastAsia="zh-CN"/>
        </w:rPr>
        <w:t>在筹划自身时，此在余下的生命与现存生命存在本质性的关联。余下的生命已经被无形的收拢到当下的生活之中，当下的生活也因此与未来联结在一起，在死之前，人无法抛掉自己的尚未。</w:t>
      </w:r>
      <w:r>
        <w:rPr>
          <w:rStyle w:val="7"/>
          <w:rFonts w:hint="eastAsia" w:ascii="宋体" w:hAnsi="宋体" w:eastAsia="宋体" w:cs="宋体"/>
          <w:b w:val="0"/>
          <w:bCs w:val="0"/>
          <w:sz w:val="24"/>
          <w:szCs w:val="24"/>
          <w:lang w:val="en-US" w:eastAsia="zh-CN"/>
        </w:rPr>
        <w:t>这一比喻揭示了两方面的意涵</w:t>
      </w:r>
      <w:r>
        <w:rPr>
          <w:rStyle w:val="7"/>
          <w:rFonts w:hint="default" w:ascii="宋体" w:hAnsi="宋体" w:eastAsia="宋体" w:cs="宋体"/>
          <w:b w:val="0"/>
          <w:bCs w:val="0"/>
          <w:sz w:val="24"/>
          <w:szCs w:val="24"/>
          <w:lang w:val="en-US" w:eastAsia="zh-CN"/>
        </w:rPr>
        <w:t>，一方面，果实在成熟的那一刻就完成了生命的完满，人也在死的那一刻完成自己的完满，不过人的完满可以提前获得，而果实的完满则不能；另一方面，人的本质是在此在操心的过程中获得的，而果实（包括所有的非此在）均是早已注定。</w:t>
      </w:r>
      <w:r>
        <w:rPr>
          <w:rStyle w:val="7"/>
          <w:rFonts w:hint="eastAsia" w:ascii="宋体" w:hAnsi="宋体" w:eastAsia="宋体" w:cs="宋体"/>
          <w:b w:val="0"/>
          <w:bCs w:val="0"/>
          <w:sz w:val="24"/>
          <w:szCs w:val="24"/>
          <w:lang w:val="en-US" w:eastAsia="zh-CN"/>
        </w:rPr>
        <w:t>海德格尔用果实未成熟的状态来比喻“此在”的“尚未”，意味着“此在”处于一个尚未完全实现自己潜能的状态，这种“尚未”并未某种负面或不完整的体现，而是“此在”朝向自己最本真存在的一个过程。</w:t>
      </w:r>
    </w:p>
    <w:p w14:paraId="371989E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right="0" w:rightChars="0" w:firstLine="480"/>
        <w:textAlignment w:val="auto"/>
        <w:rPr>
          <w:rStyle w:val="7"/>
          <w:rFonts w:hint="eastAsia" w:ascii="宋体" w:hAnsi="宋体" w:eastAsia="宋体" w:cs="宋体"/>
          <w:b w:val="0"/>
          <w:bCs w:val="0"/>
          <w:sz w:val="24"/>
          <w:szCs w:val="24"/>
          <w:lang w:val="en-US" w:eastAsia="zh-CN"/>
        </w:rPr>
      </w:pPr>
      <w:r>
        <w:rPr>
          <w:rStyle w:val="7"/>
          <w:rFonts w:hint="eastAsia" w:ascii="宋体" w:hAnsi="宋体" w:eastAsia="宋体" w:cs="宋体"/>
          <w:b w:val="0"/>
          <w:bCs w:val="0"/>
          <w:sz w:val="24"/>
          <w:szCs w:val="24"/>
          <w:lang w:val="en-US" w:eastAsia="zh-CN"/>
        </w:rPr>
        <w:t>由此我们可以看到，海德格尔对于“尚未”与死亡本身的态度并非是充满悲观的，而是一种面向未来的充满希望的敞开式解读。尽管此在在生命过程中处于“尚未”的状态，但此在的尚未并没有被抛弃，而是与未来的生命息息相关。死亡在某种程度上完成了生命的完满，当个体死亡时，此在完成了其生命的终极状态。尽管此在在生命的过程中总是朝着最本己的存在，也就是向死而生的状态迈进，但死亡并不是这一过程的唯一完满，人的完满可以在死亡之前提前获得，此在也可以在活着的时候通过反思和选择自主实现本真的存在，通过对有限性的认识，此在可以拥有死亡的觉悟，提前获得完满。</w:t>
      </w:r>
    </w:p>
    <w:p w14:paraId="4D24770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right="0" w:rightChars="0" w:firstLine="480"/>
        <w:textAlignment w:val="auto"/>
        <w:rPr>
          <w:rStyle w:val="7"/>
          <w:rFonts w:hint="default" w:ascii="宋体" w:hAnsi="宋体" w:eastAsia="宋体" w:cs="宋体"/>
          <w:b w:val="0"/>
          <w:bCs w:val="0"/>
          <w:sz w:val="24"/>
          <w:szCs w:val="24"/>
          <w:lang w:val="en-US" w:eastAsia="zh-CN"/>
        </w:rPr>
      </w:pPr>
      <w:r>
        <w:rPr>
          <w:rStyle w:val="7"/>
          <w:rFonts w:hint="eastAsia" w:ascii="宋体" w:hAnsi="宋体" w:eastAsia="宋体" w:cs="宋体"/>
          <w:b w:val="0"/>
          <w:bCs w:val="0"/>
          <w:sz w:val="24"/>
          <w:szCs w:val="24"/>
          <w:lang w:val="en-US" w:eastAsia="zh-CN"/>
        </w:rPr>
        <w:t>尽管前文提到，此在被无选择性地抛入这个世界之中，但在我们被抛入之际的此在的本质并非一个已经被世界固定的存在，我们可以在“操心”（Sorge）的过程中向着最本己的存在迈进，通过操心回归自己的最本真存在，在有限的时间内自由选择进行自我实现。有限也并非生命的障碍，而是生命选择和自我实现的基础。除此之外，海德格尔也没有忽视周遭世界的重要作用，我们可以通过操心来将个体的未来与当前的行动相连接，进而通过对死亡意识的唤醒超越生活的庸常与他人的期待，从而获得对生命真正的掌控和自由选择。</w:t>
      </w:r>
    </w:p>
    <w:p w14:paraId="080B515B">
      <w:pPr>
        <w:keepNext w:val="0"/>
        <w:keepLines w:val="0"/>
        <w:pageBreakBefore w:val="0"/>
        <w:widowControl/>
        <w:suppressLineNumbers w:val="0"/>
        <w:kinsoku w:val="0"/>
        <w:wordWrap/>
        <w:overflowPunct/>
        <w:topLinePunct w:val="0"/>
        <w:autoSpaceDE w:val="0"/>
        <w:autoSpaceDN w:val="0"/>
        <w:bidi w:val="0"/>
        <w:adjustRightInd w:val="0"/>
        <w:snapToGrid w:val="0"/>
        <w:spacing w:line="400" w:lineRule="exact"/>
        <w:ind w:left="0" w:leftChars="0" w:right="0" w:rightChars="0"/>
        <w:jc w:val="left"/>
        <w:textAlignment w:val="baseline"/>
        <w:rPr>
          <w:rFonts w:hint="default" w:ascii="宋体" w:hAnsi="宋体" w:eastAsia="宋体" w:cs="宋体"/>
          <w:b w:val="0"/>
          <w:bCs w:val="0"/>
          <w:snapToGrid w:val="0"/>
          <w:color w:val="000000"/>
          <w:kern w:val="0"/>
          <w:sz w:val="24"/>
          <w:szCs w:val="24"/>
          <w:lang w:val="en-US" w:eastAsia="zh-CN" w:bidi="ar"/>
        </w:rPr>
      </w:pPr>
    </w:p>
    <w:p w14:paraId="78DAD0A3">
      <w:pPr>
        <w:keepNext w:val="0"/>
        <w:keepLines w:val="0"/>
        <w:pageBreakBefore w:val="0"/>
        <w:widowControl w:val="0"/>
        <w:kinsoku/>
        <w:wordWrap/>
        <w:overflowPunct/>
        <w:topLinePunct w:val="0"/>
        <w:autoSpaceDE/>
        <w:autoSpaceDN/>
        <w:bidi w:val="0"/>
        <w:adjustRightInd/>
        <w:snapToGrid/>
        <w:jc w:val="both"/>
        <w:textAlignment w:val="auto"/>
        <w:rPr>
          <w:rFonts w:hint="eastAsia" w:ascii="楷体" w:hAnsi="楷体" w:eastAsia="楷体" w:cs="楷体"/>
          <w:sz w:val="24"/>
          <w:szCs w:val="24"/>
          <w:lang w:val="en-US" w:eastAsia="zh-CN"/>
        </w:rPr>
      </w:pPr>
    </w:p>
    <w:p w14:paraId="7BABF013">
      <w:pPr>
        <w:keepNext w:val="0"/>
        <w:keepLines w:val="0"/>
        <w:pageBreakBefore w:val="0"/>
        <w:widowControl w:val="0"/>
        <w:kinsoku/>
        <w:wordWrap/>
        <w:overflowPunct/>
        <w:topLinePunct w:val="0"/>
        <w:autoSpaceDE/>
        <w:autoSpaceDN/>
        <w:bidi w:val="0"/>
        <w:adjustRightInd/>
        <w:snapToGrid/>
        <w:jc w:val="both"/>
        <w:textAlignment w:val="auto"/>
        <w:rPr>
          <w:rFonts w:hint="eastAsia" w:ascii="楷体" w:hAnsi="楷体" w:eastAsia="楷体" w:cs="楷体"/>
          <w:sz w:val="24"/>
          <w:szCs w:val="24"/>
          <w:lang w:val="en-US" w:eastAsia="zh-CN"/>
        </w:rPr>
      </w:pPr>
    </w:p>
    <w:p w14:paraId="20D196D0">
      <w:pPr>
        <w:keepNext w:val="0"/>
        <w:keepLines w:val="0"/>
        <w:pageBreakBefore w:val="0"/>
        <w:widowControl w:val="0"/>
        <w:kinsoku/>
        <w:wordWrap/>
        <w:overflowPunct/>
        <w:topLinePunct w:val="0"/>
        <w:autoSpaceDE/>
        <w:autoSpaceDN/>
        <w:bidi w:val="0"/>
        <w:adjustRightInd/>
        <w:snapToGrid/>
        <w:jc w:val="both"/>
        <w:textAlignment w:val="auto"/>
        <w:rPr>
          <w:rFonts w:hint="eastAsia" w:ascii="楷体" w:hAnsi="楷体" w:eastAsia="楷体" w:cs="楷体"/>
          <w:sz w:val="24"/>
          <w:szCs w:val="24"/>
          <w:lang w:val="en-US" w:eastAsia="zh-CN"/>
        </w:rPr>
      </w:pPr>
    </w:p>
    <w:p w14:paraId="5E28CFD6">
      <w:pPr>
        <w:keepNext w:val="0"/>
        <w:keepLines w:val="0"/>
        <w:pageBreakBefore w:val="0"/>
        <w:widowControl w:val="0"/>
        <w:kinsoku/>
        <w:wordWrap/>
        <w:overflowPunct/>
        <w:topLinePunct w:val="0"/>
        <w:autoSpaceDE/>
        <w:autoSpaceDN/>
        <w:bidi w:val="0"/>
        <w:adjustRightInd/>
        <w:snapToGrid/>
        <w:jc w:val="both"/>
        <w:textAlignment w:val="auto"/>
        <w:rPr>
          <w:rFonts w:hint="eastAsia" w:ascii="楷体" w:hAnsi="楷体" w:eastAsia="楷体" w:cs="楷体"/>
          <w:sz w:val="24"/>
          <w:szCs w:val="24"/>
          <w:lang w:val="en-US" w:eastAsia="zh-CN"/>
        </w:rPr>
      </w:pPr>
    </w:p>
    <w:p w14:paraId="0BFA0D19">
      <w:pPr>
        <w:keepNext w:val="0"/>
        <w:keepLines w:val="0"/>
        <w:pageBreakBefore w:val="0"/>
        <w:widowControl w:val="0"/>
        <w:kinsoku/>
        <w:wordWrap/>
        <w:overflowPunct/>
        <w:topLinePunct w:val="0"/>
        <w:autoSpaceDE/>
        <w:autoSpaceDN/>
        <w:bidi w:val="0"/>
        <w:adjustRightInd/>
        <w:snapToGrid/>
        <w:jc w:val="both"/>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参考文献：</w:t>
      </w:r>
    </w:p>
    <w:p w14:paraId="29CDC471">
      <w:pPr>
        <w:pStyle w:val="2"/>
        <w:keepNext w:val="0"/>
        <w:keepLines w:val="0"/>
        <w:pageBreakBefore w:val="0"/>
        <w:widowControl w:val="0"/>
        <w:numPr>
          <w:ilvl w:val="0"/>
          <w:numId w:val="2"/>
        </w:numPr>
        <w:kinsoku/>
        <w:wordWrap/>
        <w:overflowPunct/>
        <w:topLinePunct w:val="0"/>
        <w:autoSpaceDE/>
        <w:autoSpaceDN/>
        <w:bidi w:val="0"/>
        <w:adjustRightInd/>
        <w:snapToGrid w:val="0"/>
        <w:spacing w:line="300" w:lineRule="exact"/>
        <w:textAlignment w:val="auto"/>
        <w:rPr>
          <w:rFonts w:hint="eastAsia" w:ascii="宋体" w:hAnsi="宋体" w:eastAsia="宋体" w:cs="宋体"/>
          <w:sz w:val="24"/>
          <w:szCs w:val="24"/>
        </w:rPr>
      </w:pPr>
      <w:r>
        <w:rPr>
          <w:rFonts w:hint="eastAsia" w:ascii="宋体" w:hAnsi="宋体" w:eastAsia="宋体" w:cs="宋体"/>
          <w:sz w:val="24"/>
          <w:szCs w:val="24"/>
        </w:rPr>
        <w:t>[德]海德格尔著，何卫平译.存在论：实际性的解释学.[M]上海:人民出版社，2009.</w:t>
      </w:r>
    </w:p>
    <w:p w14:paraId="1171EF0F">
      <w:pPr>
        <w:pStyle w:val="2"/>
        <w:keepNext w:val="0"/>
        <w:keepLines w:val="0"/>
        <w:pageBreakBefore w:val="0"/>
        <w:widowControl w:val="0"/>
        <w:kinsoku/>
        <w:wordWrap/>
        <w:overflowPunct/>
        <w:topLinePunct w:val="0"/>
        <w:autoSpaceDE/>
        <w:autoSpaceDN/>
        <w:bidi w:val="0"/>
        <w:adjustRightInd/>
        <w:snapToGrid w:val="0"/>
        <w:spacing w:line="300" w:lineRule="exact"/>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[2]</w:t>
      </w:r>
      <w:r>
        <w:rPr>
          <w:rFonts w:hint="default" w:ascii="Times New Roman Regular" w:hAnsi="Times New Roman Regular" w:cs="Times New Roman Regular"/>
          <w:sz w:val="24"/>
          <w:szCs w:val="24"/>
        </w:rPr>
        <w:t>Martin Heidegger. Being and Time. Translated by John Macquarrie and Edward Robinson. New York: Harper Perennial, 2008.</w:t>
      </w:r>
    </w:p>
    <w:p w14:paraId="283D8F53">
      <w:pPr>
        <w:pStyle w:val="2"/>
        <w:keepNext w:val="0"/>
        <w:keepLines w:val="0"/>
        <w:pageBreakBefore w:val="0"/>
        <w:widowControl w:val="0"/>
        <w:kinsoku/>
        <w:wordWrap/>
        <w:overflowPunct/>
        <w:topLinePunct w:val="0"/>
        <w:autoSpaceDE/>
        <w:autoSpaceDN/>
        <w:bidi w:val="0"/>
        <w:adjustRightInd/>
        <w:snapToGrid w:val="0"/>
        <w:spacing w:line="300" w:lineRule="exact"/>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[3]</w:t>
      </w:r>
      <w:r>
        <w:rPr>
          <w:rFonts w:hint="default" w:ascii="Times New Roman Regular" w:hAnsi="Times New Roman Regular" w:cs="Times New Roman Regular"/>
          <w:sz w:val="24"/>
          <w:szCs w:val="24"/>
        </w:rPr>
        <w:t>Alfred Denker. Historical Dictionary of Heidegger’s Philosophy. London: The Searecrow Press, 2000.</w:t>
      </w:r>
    </w:p>
    <w:p w14:paraId="2742AD61">
      <w:pPr>
        <w:pStyle w:val="2"/>
        <w:keepNext w:val="0"/>
        <w:keepLines w:val="0"/>
        <w:pageBreakBefore w:val="0"/>
        <w:widowControl w:val="0"/>
        <w:kinsoku/>
        <w:wordWrap/>
        <w:overflowPunct/>
        <w:topLinePunct w:val="0"/>
        <w:autoSpaceDE/>
        <w:autoSpaceDN/>
        <w:bidi w:val="0"/>
        <w:adjustRightInd/>
        <w:snapToGrid w:val="0"/>
        <w:spacing w:line="300" w:lineRule="exact"/>
        <w:textAlignment w:val="auto"/>
        <w:rPr>
          <w:rFonts w:hint="eastAsia" w:ascii="宋体" w:hAnsi="宋体" w:eastAsia="宋体" w:cs="宋体"/>
          <w:sz w:val="24"/>
          <w:szCs w:val="24"/>
        </w:rPr>
      </w:pPr>
      <w:r>
        <w:rPr>
          <w:rFonts w:hint="eastAsia" w:ascii="宋体" w:hAnsi="宋体" w:eastAsia="宋体" w:cs="宋体"/>
          <w:sz w:val="24"/>
          <w:szCs w:val="24"/>
          <w:lang w:val="en-US"/>
        </w:rPr>
        <w:t>[4]</w:t>
      </w:r>
      <w:r>
        <w:rPr>
          <w:rFonts w:hint="eastAsia" w:ascii="宋体" w:hAnsi="宋体" w:eastAsia="宋体" w:cs="宋体"/>
          <w:sz w:val="24"/>
          <w:szCs w:val="24"/>
        </w:rPr>
        <w:t>[德]海德格尔著，陈嘉映，王庆节译.存在与时间[M]北京:生活·读书·新知三联书店，2014</w:t>
      </w:r>
    </w:p>
    <w:p w14:paraId="5486B420">
      <w:pPr>
        <w:pStyle w:val="2"/>
        <w:keepNext w:val="0"/>
        <w:keepLines w:val="0"/>
        <w:pageBreakBefore w:val="0"/>
        <w:widowControl w:val="0"/>
        <w:kinsoku/>
        <w:wordWrap/>
        <w:overflowPunct/>
        <w:topLinePunct w:val="0"/>
        <w:autoSpaceDE/>
        <w:autoSpaceDN/>
        <w:bidi w:val="0"/>
        <w:adjustRightInd/>
        <w:snapToGrid w:val="0"/>
        <w:spacing w:line="300" w:lineRule="exact"/>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[5]范高高,张燕玲.海德格尔“此在与死亡的同一性”辨析——《存在与时间》死亡问题疏解[J].齐鲁师范学院学报,2020,35(06):104-112.</w:t>
      </w:r>
    </w:p>
    <w:p w14:paraId="40DEA602">
      <w:pPr>
        <w:pStyle w:val="2"/>
        <w:keepNext w:val="0"/>
        <w:keepLines w:val="0"/>
        <w:pageBreakBefore w:val="0"/>
        <w:widowControl w:val="0"/>
        <w:kinsoku/>
        <w:wordWrap/>
        <w:overflowPunct/>
        <w:topLinePunct w:val="0"/>
        <w:autoSpaceDE/>
        <w:autoSpaceDN/>
        <w:bidi w:val="0"/>
        <w:adjustRightInd/>
        <w:snapToGrid w:val="0"/>
        <w:spacing w:line="300" w:lineRule="exact"/>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[6]段煜婕.海德格尔对此在问题的解释学阐释[D].西南大学,2023.DOI:10.27684/d.cnki.gxndx.2023.003423.</w:t>
      </w:r>
    </w:p>
    <w:p w14:paraId="57F9621B">
      <w:pPr>
        <w:pStyle w:val="2"/>
        <w:keepNext w:val="0"/>
        <w:keepLines w:val="0"/>
        <w:pageBreakBefore w:val="0"/>
        <w:widowControl w:val="0"/>
        <w:kinsoku/>
        <w:wordWrap/>
        <w:overflowPunct/>
        <w:topLinePunct w:val="0"/>
        <w:autoSpaceDE/>
        <w:autoSpaceDN/>
        <w:bidi w:val="0"/>
        <w:adjustRightInd/>
        <w:snapToGrid w:val="0"/>
        <w:spacing w:line="30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[7]张清喆.从“此在”到“已经在此”——斯蒂格勒对海德格尔存在论哲学的批判性改造[J].德国哲学,2023,(02):161-174+305.</w:t>
      </w:r>
    </w:p>
    <w:p w14:paraId="071AE991">
      <w:pPr>
        <w:pStyle w:val="2"/>
        <w:numPr>
          <w:ilvl w:val="0"/>
          <w:numId w:val="0"/>
        </w:numPr>
        <w:snapToGrid w:val="0"/>
        <w:rPr>
          <w:rFonts w:hint="eastAsia" w:ascii="宋体" w:hAnsi="宋体" w:eastAsia="宋体" w:cs="宋体"/>
          <w:sz w:val="24"/>
          <w:szCs w:val="24"/>
          <w:lang w:val="en-US"/>
        </w:rPr>
      </w:pPr>
    </w:p>
    <w:p w14:paraId="7EFF17F3">
      <w:pPr>
        <w:keepNext w:val="0"/>
        <w:keepLines w:val="0"/>
        <w:pageBreakBefore w:val="0"/>
        <w:widowControl w:val="0"/>
        <w:kinsoku/>
        <w:wordWrap/>
        <w:overflowPunct/>
        <w:topLinePunct w:val="0"/>
        <w:autoSpaceDE/>
        <w:autoSpaceDN/>
        <w:bidi w:val="0"/>
        <w:adjustRightInd/>
        <w:snapToGrid/>
        <w:jc w:val="both"/>
        <w:textAlignment w:val="auto"/>
        <w:rPr>
          <w:rFonts w:hint="default" w:ascii="楷体" w:hAnsi="楷体" w:eastAsia="楷体" w:cs="楷体"/>
          <w:sz w:val="24"/>
          <w:szCs w:val="24"/>
          <w:lang w:val="en-US" w:eastAsia="zh-CN"/>
        </w:rPr>
      </w:pPr>
    </w:p>
    <w:p w14:paraId="770DF0E7">
      <w:pPr>
        <w:keepNext w:val="0"/>
        <w:keepLines w:val="0"/>
        <w:pageBreakBefore w:val="0"/>
        <w:widowControl w:val="0"/>
        <w:kinsoku/>
        <w:wordWrap/>
        <w:overflowPunct/>
        <w:topLinePunct w:val="0"/>
        <w:autoSpaceDE/>
        <w:autoSpaceDN/>
        <w:bidi w:val="0"/>
        <w:adjustRightInd/>
        <w:snapToGrid/>
        <w:jc w:val="both"/>
        <w:textAlignment w:val="auto"/>
        <w:rPr>
          <w:rFonts w:hint="default" w:ascii="楷体" w:hAnsi="楷体" w:eastAsia="楷体" w:cs="楷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semibold">
    <w:altName w:val="宋体"/>
    <w:panose1 w:val="020B0400000000000000"/>
    <w:charset w:val="86"/>
    <w:family w:val="auto"/>
    <w:pitch w:val="default"/>
    <w:sig w:usb0="00000000" w:usb1="00000000" w:usb2="00000017" w:usb3="00000000" w:csb0="00040001" w:csb1="00000000"/>
  </w:font>
  <w:font w:name="PingFang SC">
    <w:altName w:val="宋体"/>
    <w:panose1 w:val="020B0400000000000000"/>
    <w:charset w:val="86"/>
    <w:family w:val="auto"/>
    <w:pitch w:val="default"/>
    <w:sig w:usb0="00000000" w:usb1="00000000" w:usb2="00000017" w:usb3="00000000" w:csb0="00040001" w:csb1="00000000"/>
  </w:font>
  <w:font w:name="楷体">
    <w:panose1 w:val="02010609060101010101"/>
    <w:charset w:val="86"/>
    <w:family w:val="auto"/>
    <w:pitch w:val="default"/>
    <w:sig w:usb0="800002BF" w:usb1="38CF7CFA" w:usb2="00000016" w:usb3="00000000" w:csb0="00040001" w:csb1="00000000"/>
  </w:font>
  <w:font w:name="Times New Roman Regular">
    <w:altName w:val="Times New Roman"/>
    <w:panose1 w:val="02020603050405020304"/>
    <w:charset w:val="00"/>
    <w:family w:val="auto"/>
    <w:pitch w:val="default"/>
    <w:sig w:usb0="00000000" w:usb1="00000000"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
    <w:p>
      <w:r>
        <w:separator/>
      </w:r>
    </w:p>
  </w:footnote>
  <w:footnote w:type="continuationSeparator" w:id="9">
    <w:p>
      <w:r>
        <w:continuationSeparator/>
      </w:r>
    </w:p>
  </w:footnote>
  <w:footnote w:id="0">
    <w:p w14:paraId="2F6AC17E">
      <w:pPr>
        <w:pStyle w:val="2"/>
        <w:snapToGrid w:val="0"/>
      </w:pPr>
      <w:r>
        <w:rPr>
          <w:rStyle w:val="5"/>
        </w:rPr>
        <w:footnoteRef/>
      </w:r>
      <w:r>
        <w:t xml:space="preserve"> </w:t>
      </w:r>
      <w:r>
        <w:rPr>
          <w:rFonts w:hint="eastAsia"/>
        </w:rPr>
        <w:t>[德]海德格尔著，何卫平译.存在论：实际性的解释学.[M]上海:人民出版社，2009:7.</w:t>
      </w:r>
    </w:p>
  </w:footnote>
  <w:footnote w:id="1">
    <w:p w14:paraId="0E8CFEAB">
      <w:pPr>
        <w:pStyle w:val="2"/>
        <w:snapToGrid w:val="0"/>
        <w:rPr>
          <w:rFonts w:hint="default" w:ascii="Times New Roman Regular" w:hAnsi="Times New Roman Regular" w:cs="Times New Roman Regular"/>
        </w:rPr>
      </w:pPr>
      <w:r>
        <w:rPr>
          <w:rStyle w:val="5"/>
        </w:rPr>
        <w:footnoteRef/>
      </w:r>
      <w:r>
        <w:t xml:space="preserve"> </w:t>
      </w:r>
      <w:r>
        <w:rPr>
          <w:rFonts w:hint="default" w:ascii="Times New Roman Regular" w:hAnsi="Times New Roman Regular" w:cs="Times New Roman Regular"/>
        </w:rPr>
        <w:t>Martin Heidegger. Being and Time. Translated by John Macquarrie and Edward Robinson. New York: Harper Perennial, 2008:33.</w:t>
      </w:r>
    </w:p>
  </w:footnote>
  <w:footnote w:id="2">
    <w:p w14:paraId="09D50093">
      <w:pPr>
        <w:pStyle w:val="2"/>
        <w:snapToGrid w:val="0"/>
        <w:rPr>
          <w:rFonts w:hint="default" w:ascii="Times New Roman Regular" w:hAnsi="Times New Roman Regular" w:cs="Times New Roman Regular"/>
        </w:rPr>
      </w:pPr>
      <w:r>
        <w:rPr>
          <w:rStyle w:val="5"/>
        </w:rPr>
        <w:footnoteRef/>
      </w:r>
      <w:r>
        <w:t xml:space="preserve"> </w:t>
      </w:r>
      <w:r>
        <w:rPr>
          <w:rFonts w:hint="default" w:ascii="Times New Roman Regular" w:hAnsi="Times New Roman Regular" w:cs="Times New Roman Regular"/>
        </w:rPr>
        <w:t>Alfred Denker. Historical Dictionary of Heidegger’s Philosophy. London: The Searecrow Press, 2000:64.</w:t>
      </w:r>
    </w:p>
  </w:footnote>
  <w:footnote w:id="3">
    <w:p w14:paraId="2634DEA9">
      <w:pPr>
        <w:pStyle w:val="2"/>
        <w:snapToGrid w:val="0"/>
      </w:pPr>
      <w:r>
        <w:rPr>
          <w:rStyle w:val="5"/>
        </w:rPr>
        <w:footnoteRef/>
      </w:r>
      <w:r>
        <w:t xml:space="preserve"> </w:t>
      </w:r>
      <w:r>
        <w:rPr>
          <w:rFonts w:hint="eastAsia"/>
        </w:rPr>
        <w:t>[德]海德格尔著，陈嘉映，王庆节译.存在与时间[M]北京:生活·读书·新知三联书店，2014:137.</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767ED1"/>
    <w:multiLevelType w:val="singleLevel"/>
    <w:tmpl w:val="DF767ED1"/>
    <w:lvl w:ilvl="0" w:tentative="0">
      <w:start w:val="1"/>
      <w:numFmt w:val="decimal"/>
      <w:suff w:val="nothing"/>
      <w:lvlText w:val="%1、"/>
      <w:lvlJc w:val="left"/>
      <w:pPr>
        <w:ind w:left="240" w:leftChars="0" w:firstLine="0" w:firstLineChars="0"/>
      </w:pPr>
    </w:lvl>
  </w:abstractNum>
  <w:abstractNum w:abstractNumId="1">
    <w:nsid w:val="3EFB8469"/>
    <w:multiLevelType w:val="singleLevel"/>
    <w:tmpl w:val="3EFB8469"/>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8"/>
    <w:footnote w:id="9"/>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5BF9F8B"/>
    <w:rsid w:val="18993169"/>
    <w:rsid w:val="1D9EB294"/>
    <w:rsid w:val="1FED09D3"/>
    <w:rsid w:val="5B7DE1C9"/>
    <w:rsid w:val="6FFF3144"/>
    <w:rsid w:val="AD7F3135"/>
    <w:rsid w:val="B3BB4E64"/>
    <w:rsid w:val="C5BF9F8B"/>
    <w:rsid w:val="D9F9744D"/>
    <w:rsid w:val="DAFDE13E"/>
    <w:rsid w:val="FF4BC0F2"/>
    <w:rsid w:val="FF7B2C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footnote text"/>
    <w:basedOn w:val="1"/>
    <w:uiPriority w:val="0"/>
    <w:pPr>
      <w:snapToGrid w:val="0"/>
      <w:jc w:val="left"/>
    </w:pPr>
    <w:rPr>
      <w:sz w:val="18"/>
    </w:rPr>
  </w:style>
  <w:style w:type="character" w:styleId="5">
    <w:name w:val="footnote reference"/>
    <w:basedOn w:val="4"/>
    <w:uiPriority w:val="0"/>
    <w:rPr>
      <w:vertAlign w:val="superscript"/>
    </w:rPr>
  </w:style>
  <w:style w:type="paragraph" w:customStyle="1" w:styleId="6">
    <w:name w:val="p1"/>
    <w:basedOn w:val="1"/>
    <w:qFormat/>
    <w:uiPriority w:val="0"/>
    <w:pPr>
      <w:spacing w:before="0" w:beforeAutospacing="0" w:after="0" w:afterAutospacing="0"/>
      <w:ind w:left="0" w:right="0"/>
      <w:jc w:val="left"/>
    </w:pPr>
    <w:rPr>
      <w:rFonts w:ascii="pingfang sc semibold" w:hAnsi="pingfang sc semibold" w:eastAsia="pingfang sc semibold" w:cs="pingfang sc semibold"/>
      <w:kern w:val="0"/>
      <w:sz w:val="26"/>
      <w:szCs w:val="26"/>
      <w:lang w:val="en-US" w:eastAsia="zh-CN" w:bidi="ar"/>
    </w:rPr>
  </w:style>
  <w:style w:type="character" w:customStyle="1" w:styleId="7">
    <w:name w:val="s1"/>
    <w:basedOn w:val="4"/>
    <w:qFormat/>
    <w:uiPriority w:val="0"/>
    <w:rPr>
      <w:rFonts w:ascii="PingFang SC" w:hAnsi="PingFang SC" w:eastAsia="PingFang SC" w:cs="PingFang SC"/>
      <w:sz w:val="26"/>
      <w:szCs w:val="2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3377</Words>
  <Characters>3705</Characters>
  <Lines>0</Lines>
  <Paragraphs>0</Paragraphs>
  <TotalTime>12</TotalTime>
  <ScaleCrop>false</ScaleCrop>
  <LinksUpToDate>false</LinksUpToDate>
  <CharactersWithSpaces>3736</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2024-12-13T23:00:00Z</dcterms:created>
  <dc:creator/>
  <dcterms:modified xsi:type="dcterms:W3CDTF">2025-02-10T03:21:27Z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FAAF6429DCE9EDE8014C5C67A8018273_41</vt:lpwstr>
  </property>
  <property fmtid="{D5CDD505-2E9C-101B-9397-08002B2CF9AE}" pid="4" name="KSOTemplateDocerSaveRecord">
    <vt:lpwstr>eyJoZGlkIjoiMDY5ODE2NTgzNTc3MWM0ZGFkYWQ0YTA0ODI1ZDllN2QiLCJ1c2VySWQiOiIyMjQ4MzEwNzcifQ==</vt:lpwstr>
  </property>
</Properties>
</file>