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BE5216">
      <w:pPr>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当代语境下常人统治的新审视：消费、娱乐与网络传媒</w:t>
      </w:r>
    </w:p>
    <w:p w14:paraId="58DA4AB3">
      <w:pPr>
        <w:jc w:val="center"/>
        <w:rPr>
          <w:rFonts w:hint="eastAsia" w:ascii="黑体" w:hAnsi="黑体" w:eastAsia="黑体" w:cs="黑体"/>
          <w:sz w:val="32"/>
          <w:szCs w:val="32"/>
          <w:lang w:val="en-US" w:eastAsia="zh-CN"/>
        </w:rPr>
      </w:pPr>
    </w:p>
    <w:p w14:paraId="1C1B8955">
      <w:pPr>
        <w:spacing w:line="360" w:lineRule="auto"/>
        <w:ind w:firstLine="480" w:firstLineChars="200"/>
        <w:jc w:val="both"/>
        <w:rPr>
          <w:rFonts w:hint="eastAsia"/>
          <w:sz w:val="24"/>
          <w:szCs w:val="24"/>
          <w:lang w:val="en-US" w:eastAsia="zh-CN"/>
        </w:rPr>
      </w:pPr>
      <w:r>
        <w:rPr>
          <w:rFonts w:hint="eastAsia" w:ascii="黑体" w:hAnsi="黑体" w:eastAsia="黑体" w:cs="黑体"/>
          <w:sz w:val="24"/>
          <w:szCs w:val="24"/>
          <w:lang w:val="en-US" w:eastAsia="zh-CN"/>
        </w:rPr>
        <w:t>摘要：</w:t>
      </w:r>
      <w:r>
        <w:rPr>
          <w:rFonts w:hint="eastAsia" w:ascii="楷体" w:hAnsi="楷体" w:eastAsia="楷体" w:cs="楷体"/>
          <w:sz w:val="24"/>
          <w:szCs w:val="24"/>
          <w:lang w:val="en-US" w:eastAsia="zh-CN"/>
        </w:rPr>
        <w:t>本文探讨海德格尔哲学思想中的“常人”概念与当今时代娱乐至死、消费社会及网络传媒乱象的内在联系。在海德格尔哲学体系里，“常人”作为此在日常中性、非本真存在状态，通过“共在”催生“常人统治”。当下，消费社会中人们消费重符号价值、盲目跟风，陷入被常人</w:t>
      </w:r>
      <w:bookmarkStart w:id="4" w:name="_GoBack"/>
      <w:bookmarkEnd w:id="4"/>
      <w:r>
        <w:rPr>
          <w:rFonts w:hint="eastAsia" w:ascii="楷体" w:hAnsi="楷体" w:eastAsia="楷体" w:cs="楷体"/>
          <w:sz w:val="24"/>
          <w:szCs w:val="24"/>
          <w:lang w:val="en-US" w:eastAsia="zh-CN"/>
        </w:rPr>
        <w:t>主导的消费模式；娱乐至死使大众沉浸娱乐、丧失深度思考能力，消散于常人；网络传媒乱象里，群体极化、信息茧房等问题频出，个体受常人舆论左右。这些均体现常人统治下的沉沦状态。然而，海德格尔提出“先行到死”可助此在摆脱困境，向死存在能让此在直面死亡，从沉沦中超拔，筹划生存，实现本真性</w:t>
      </w:r>
      <w:r>
        <w:rPr>
          <w:rFonts w:hint="eastAsia"/>
          <w:sz w:val="24"/>
          <w:szCs w:val="24"/>
          <w:lang w:val="en-US" w:eastAsia="zh-CN"/>
        </w:rPr>
        <w:t>。</w:t>
      </w:r>
    </w:p>
    <w:p w14:paraId="55ED05EB">
      <w:pPr>
        <w:spacing w:line="360" w:lineRule="auto"/>
        <w:ind w:firstLine="480" w:firstLineChars="200"/>
        <w:jc w:val="both"/>
        <w:rPr>
          <w:rFonts w:hint="eastAsia" w:ascii="楷体" w:hAnsi="楷体" w:eastAsia="楷体" w:cs="楷体"/>
          <w:sz w:val="24"/>
          <w:szCs w:val="24"/>
          <w:lang w:val="en-US" w:eastAsia="zh-CN"/>
        </w:rPr>
      </w:pPr>
      <w:r>
        <w:rPr>
          <w:rFonts w:hint="eastAsia" w:ascii="黑体" w:hAnsi="黑体" w:eastAsia="黑体" w:cs="黑体"/>
          <w:sz w:val="24"/>
          <w:szCs w:val="24"/>
          <w:lang w:val="en-US" w:eastAsia="zh-CN"/>
        </w:rPr>
        <w:t>关键词</w:t>
      </w:r>
      <w:r>
        <w:rPr>
          <w:rFonts w:hint="eastAsia"/>
          <w:sz w:val="24"/>
          <w:szCs w:val="24"/>
          <w:lang w:val="en-US" w:eastAsia="zh-CN"/>
        </w:rPr>
        <w:t>：</w:t>
      </w:r>
      <w:r>
        <w:rPr>
          <w:rFonts w:hint="eastAsia" w:ascii="楷体" w:hAnsi="楷体" w:eastAsia="楷体" w:cs="楷体"/>
          <w:sz w:val="24"/>
          <w:szCs w:val="24"/>
          <w:lang w:val="en-US" w:eastAsia="zh-CN"/>
        </w:rPr>
        <w:t>常人；消费社会；娱乐至死；网络传媒乱象；沉沦；向死而生</w:t>
      </w:r>
    </w:p>
    <w:p w14:paraId="64957AF8">
      <w:pPr>
        <w:spacing w:line="360" w:lineRule="auto"/>
        <w:ind w:firstLine="480" w:firstLineChars="200"/>
        <w:jc w:val="both"/>
        <w:rPr>
          <w:rFonts w:hint="eastAsia" w:ascii="楷体" w:hAnsi="楷体" w:eastAsia="楷体" w:cs="楷体"/>
          <w:sz w:val="24"/>
          <w:szCs w:val="24"/>
          <w:lang w:val="en-US" w:eastAsia="zh-CN"/>
        </w:rPr>
      </w:pPr>
    </w:p>
    <w:p w14:paraId="47596F76">
      <w:pPr>
        <w:numPr>
          <w:ilvl w:val="0"/>
          <w:numId w:val="1"/>
        </w:numPr>
        <w:spacing w:line="360" w:lineRule="auto"/>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引言</w:t>
      </w:r>
    </w:p>
    <w:p w14:paraId="5883E147">
      <w:pPr>
        <w:numPr>
          <w:numId w:val="0"/>
        </w:numPr>
        <w:spacing w:line="360" w:lineRule="auto"/>
        <w:jc w:val="both"/>
        <w:rPr>
          <w:rFonts w:hint="eastAsia" w:ascii="黑体" w:hAnsi="黑体" w:eastAsia="黑体" w:cs="黑体"/>
          <w:sz w:val="32"/>
          <w:szCs w:val="32"/>
          <w:lang w:val="en-US" w:eastAsia="zh-CN"/>
        </w:rPr>
      </w:pPr>
    </w:p>
    <w:p w14:paraId="5426AD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海德格尔的哲学思想中，“常人”概念与当今时代的娱乐至死、消费社会以及网络传媒乱象等现象之间有着深刻的联系。随着物质生活的改善、科技的日新月异，人类社会所具有的诱惑性不断增强，这在一定程度上使个体更加容易遗忘自身，而趋于“常人”状态，即此在的日常存在状态，表现为一种被拉开扯平的、平均化的、中性的生存方式。在这样的背景下，探讨它们与“常人统治”之间的关系便具有一定的理论与现实意义。有助于我们思考如何在这样的时代环境中更好地保持个体的本真性，避免陷入被无形力量主宰的非本真状态，进而去探寻更为健康、有意义的生活方式。</w:t>
      </w:r>
    </w:p>
    <w:p w14:paraId="13DD5115">
      <w:pPr>
        <w:spacing w:line="360" w:lineRule="auto"/>
        <w:ind w:firstLine="480" w:firstLineChars="200"/>
        <w:rPr>
          <w:rFonts w:hint="eastAsia"/>
          <w:sz w:val="24"/>
          <w:szCs w:val="24"/>
          <w:lang w:val="en-US" w:eastAsia="zh-CN"/>
        </w:rPr>
      </w:pPr>
    </w:p>
    <w:p w14:paraId="408F769C">
      <w:pPr>
        <w:numPr>
          <w:ilvl w:val="0"/>
          <w:numId w:val="1"/>
        </w:numPr>
        <w:ind w:left="0" w:leftChars="0" w:firstLine="0" w:firstLineChars="0"/>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“常人”概念与“常人统治”</w:t>
      </w:r>
    </w:p>
    <w:p w14:paraId="1D47CA65">
      <w:pPr>
        <w:numPr>
          <w:numId w:val="0"/>
        </w:numPr>
        <w:ind w:leftChars="0"/>
        <w:jc w:val="both"/>
        <w:rPr>
          <w:rFonts w:hint="eastAsia" w:ascii="黑体" w:hAnsi="黑体" w:eastAsia="黑体" w:cs="黑体"/>
          <w:sz w:val="32"/>
          <w:szCs w:val="32"/>
          <w:lang w:val="en-US" w:eastAsia="zh-CN"/>
        </w:rPr>
      </w:pPr>
    </w:p>
    <w:p w14:paraId="42D794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海德格尔的哲学体系中，“常人”既不是自我，也不是与自我相对的客体，而是此在在日常生活中中性的存在状态，一种平均的、非本真的状态。常人为平均状态而存在，消解此在本体的生存方式，呈现出庸庸碌碌、缺乏个性和本真性的特征。常人培植着作为各种事物标准的平衡状态，是公众意见的载体和执行者，卸除了对自身存在的责任。海德格尔认为，常人及其公众意见构成了个体本真存在的遮蔽。常人日常在世的基本样式就是“沉沦”，沉沦不是道德伦理的价值判断，而是此在在日常世界中失去自身、陷入非本真状态的过程。</w:t>
      </w:r>
    </w:p>
    <w:p w14:paraId="5FBBAF9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常人的力量无形却巨大，此在在无意识中就陷入混沌、中性的常人主宰局面之中。个体与他人“共在”，始终与他人的存在相互交织，这种交织不仅是物理层面上的共处，更是在生存论上意味着个体理解自己和世界的方式会受到与他人互动的影响。人类存在具有社会性，所以共在不可避免，恰恰是这种共在催生出了常人。当个体置身于群体之中，在与他人的日常相处和互动过程中，逐渐受到他人意见、行为方式等影响，慢慢失去了自身独特的思考和行为模式，就容易陷入到常人的状态之中。一方面，常人代表着社会的一般性，它所形成的公众意见规范着、塑造着此在的行为。另一方面，“常人能够最容易地负一切责任，因为他绝不是需要对事情担保的人”</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_Ref16028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[1]</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，常人营造出一种看似可以为个体承担责任的假象，让个体在面对决策时，更倾向于听从常人的引导，以避免自己去承担可能出现的风险和责任。通过这种机制，逐步实现“常人统治”。</w:t>
      </w:r>
    </w:p>
    <w:p w14:paraId="67AFEF9F">
      <w:pPr>
        <w:numPr>
          <w:ilvl w:val="0"/>
          <w:numId w:val="0"/>
        </w:numPr>
        <w:spacing w:line="360" w:lineRule="auto"/>
        <w:ind w:firstLine="480" w:firstLineChars="200"/>
        <w:rPr>
          <w:rFonts w:hint="eastAsia" w:ascii="宋体" w:hAnsi="宋体" w:eastAsia="宋体" w:cs="宋体"/>
          <w:sz w:val="24"/>
          <w:szCs w:val="24"/>
          <w:lang w:val="en-US" w:eastAsia="zh-CN"/>
        </w:rPr>
      </w:pPr>
    </w:p>
    <w:p w14:paraId="512D5C20">
      <w:pPr>
        <w:numPr>
          <w:ilvl w:val="0"/>
          <w:numId w:val="2"/>
        </w:numPr>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常人统治与消费社会、娱乐至死、网络传媒乱象</w:t>
      </w:r>
    </w:p>
    <w:p w14:paraId="05A47AB3">
      <w:pPr>
        <w:numPr>
          <w:numId w:val="0"/>
        </w:numPr>
        <w:jc w:val="both"/>
        <w:rPr>
          <w:rFonts w:hint="eastAsia" w:ascii="黑体" w:hAnsi="黑体" w:eastAsia="黑体" w:cs="黑体"/>
          <w:sz w:val="32"/>
          <w:szCs w:val="32"/>
          <w:lang w:val="en-US" w:eastAsia="zh-CN"/>
        </w:rPr>
      </w:pPr>
    </w:p>
    <w:p w14:paraId="038219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闲言、好奇和两可共同构成了常人统治下的“沉沦”状态。闲言是一种平均的可理解性和领会，日常表现为没有根基的人云亦云；好奇表现为对新奇事物的不断追逐和对周围世界的浅尝辄止的观望，非出于对事物本质的真正关心，仅仅是为了寻求新鲜和刺激；两可是闲谈和好奇所导致的模糊态度，是没有把握本质理解的体现。在这种环境下，个体呈现同质化、标准化特征，对价值判断丧失独立性。这也有助于解释当今时代的热点问题－－消费社会、娱乐至死、网络传媒乱象。</w:t>
      </w:r>
    </w:p>
    <w:p w14:paraId="235F50DC">
      <w:pPr>
        <w:numPr>
          <w:ilvl w:val="0"/>
          <w:numId w:val="3"/>
        </w:numPr>
        <w:spacing w:line="360" w:lineRule="auto"/>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消费社会</w:t>
      </w:r>
    </w:p>
    <w:p w14:paraId="1C3B70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消费社会中，消费不再仅仅是满足基本生存需求的手段，而成为了社会生活的核心和目的本身。人们的消费行为不仅是为了获取商品的使用价值，更注重其符号价值和象征意义，消费者通过购买特定品牌的商品来彰显自己的身份、地位、品味。这在创造大量虚假需求的同时，带来人的异化。在包装、广告的刺激下，人们的消费趋于同质化，追逐潮流而不思考是否契合自己的个性和审美需求，反而将个人认同和幸福感建立在盲目跟风的消费上，带来无尽的精神空虚和不满足。这即是陷入被常人主导的消费模式中，失去自我、被社会平均化力量所支配。人们在消费时不再基于自身独特的需求和思考，而是跟随大众的脚步，成为消费潮流中的一员，被常人统治的力量所裹挟。</w:t>
      </w:r>
    </w:p>
    <w:p w14:paraId="2F09984C">
      <w:pPr>
        <w:numPr>
          <w:ilvl w:val="0"/>
          <w:numId w:val="3"/>
        </w:numPr>
        <w:spacing w:line="360" w:lineRule="auto"/>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娱乐至死</w:t>
      </w:r>
    </w:p>
    <w:p w14:paraId="01B09B0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随着各类媒体平台尤其是网络传媒的飞速发展，娱乐内容如同汹涌的潮水，无孔不入地渗透进人们生活的方方面面。</w:t>
      </w:r>
      <w:r>
        <w:rPr>
          <w:rFonts w:hint="eastAsia" w:ascii="宋体" w:hAnsi="宋体" w:eastAsia="宋体" w:cs="宋体"/>
          <w:kern w:val="0"/>
          <w:sz w:val="24"/>
          <w:szCs w:val="24"/>
          <w:lang w:val="en-US" w:eastAsia="zh-CN" w:bidi="ar"/>
        </w:rPr>
        <w:t>从传统的电视综艺节目，到如今占据人们大量碎片化时间的短视频，娱乐愈发成为生活的核心。在大众精神生活层面，娱乐文化的泛滥产生了深远的影响，长时间沉浸在这种浅层次、短平快的娱乐之中，人们逐渐习惯了追求即时的感官刺激和短暂的快乐，而丧失了进行深度思考、理性判断以及专注阅读学习的能力。不关心事实和本质，被好奇驱使着划过一个又一个短视频，依赖于常人所提供的观点和态度，丧失批判性思维，忠实于娱乐，放弃领会个体独特的存在意义，消散于常人，甘于被抹平。</w:t>
      </w:r>
    </w:p>
    <w:p w14:paraId="32180B79">
      <w:pPr>
        <w:numPr>
          <w:ilvl w:val="0"/>
          <w:numId w:val="3"/>
        </w:numPr>
        <w:spacing w:line="360" w:lineRule="auto"/>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网络传媒乱象</w:t>
      </w:r>
    </w:p>
    <w:p w14:paraId="485A4C4E">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网络传媒的给予了每个人发声的可能性，也使海量的信息触手可及。这在带来便捷的同时，虚假信息泛滥、网络暴力等乱象以及信息茧房问题也层出不穷。</w:t>
      </w:r>
    </w:p>
    <w:p w14:paraId="1812B4F5">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人云亦云和“凑热闹”般的好奇盛行，个体缺乏独立判断思考，不关切真相，仅耽溺于某种情绪，极易被常人主导的舆论左右，虚假信息未经验证就广被接纳。</w:t>
      </w:r>
    </w:p>
    <w:p w14:paraId="5344CFB3">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网络的匿名性以及信息传播的便捷性，为群体极化现象创造了滋生的土壤。持有相似立场的人们很容易通过网络平台汇聚在一起，形成一个个看似志同道合的群体。在群体内部，成员之间相互强化彼此的观点，对于不同的意见则缺乏包容和理性审视。这种群体极化现象正是常人统治在网络舆论领域的一种表现形式。个体的本真性被淹没在群体的喧嚣之中，失去了基于自身独特思考去评判事件的机会，如同在常人统治下失去自我，被社会平均化力量所主宰一样，陷入了一种非本真的、被群体极化舆论裹挟的状态。</w:t>
      </w:r>
    </w:p>
    <w:p w14:paraId="2E20626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在“信息茧房”里，个体所接触到的信息大多符合常人所秉持的一般性观念，也就是被算法筛选后所呈现出的大众普遍感兴趣或者普遍认同的内容。人的认知被固化在这样一个相对狭窄的范围内，很难突破出去，去探索那些可能更具挑战性、更能启发思考但却不符合常人既定模式的信息。信息茧房划定着个体的认知范围，使个体逐渐失去了独立探索和思考的能力，陷入了一种被常人观念所束缚、被信息窄域所困住的困境。这加剧了常人统治对个体的影响，让个体在网络传媒营造的信息环境中愈发难以摆脱非本真的存在状态。</w:t>
      </w:r>
    </w:p>
    <w:p w14:paraId="56B4BA3B">
      <w:pPr>
        <w:keepNext w:val="0"/>
        <w:keepLines w:val="0"/>
        <w:widowControl/>
        <w:suppressLineNumbers w:val="0"/>
        <w:spacing w:line="360" w:lineRule="auto"/>
        <w:ind w:firstLine="480" w:firstLineChars="200"/>
        <w:jc w:val="left"/>
        <w:rPr>
          <w:rFonts w:hint="eastAsia" w:ascii="宋体" w:hAnsi="宋体" w:eastAsia="宋体" w:cs="宋体"/>
          <w:kern w:val="0"/>
          <w:sz w:val="24"/>
          <w:szCs w:val="24"/>
          <w:lang w:val="en-US" w:eastAsia="zh-CN" w:bidi="ar"/>
        </w:rPr>
      </w:pPr>
    </w:p>
    <w:p w14:paraId="01AFB490">
      <w:pPr>
        <w:keepNext w:val="0"/>
        <w:keepLines w:val="0"/>
        <w:widowControl/>
        <w:numPr>
          <w:ilvl w:val="0"/>
          <w:numId w:val="2"/>
        </w:numPr>
        <w:suppressLineNumbers w:val="0"/>
        <w:ind w:left="0" w:leftChars="0" w:firstLine="0" w:firstLineChars="0"/>
        <w:jc w:val="center"/>
        <w:rPr>
          <w:rFonts w:hint="eastAsia" w:ascii="黑体" w:hAnsi="黑体" w:eastAsia="黑体" w:cs="黑体"/>
          <w:kern w:val="0"/>
          <w:sz w:val="32"/>
          <w:szCs w:val="32"/>
          <w:lang w:val="en-US" w:eastAsia="zh-CN" w:bidi="ar"/>
        </w:rPr>
      </w:pPr>
      <w:r>
        <w:rPr>
          <w:rFonts w:hint="eastAsia" w:ascii="黑体" w:hAnsi="黑体" w:eastAsia="黑体" w:cs="黑体"/>
          <w:kern w:val="0"/>
          <w:sz w:val="32"/>
          <w:szCs w:val="32"/>
          <w:lang w:val="en-US" w:eastAsia="zh-CN" w:bidi="ar"/>
        </w:rPr>
        <w:t>摆脱困境：向死存在</w:t>
      </w:r>
    </w:p>
    <w:p w14:paraId="4009718E">
      <w:pPr>
        <w:keepNext w:val="0"/>
        <w:keepLines w:val="0"/>
        <w:widowControl/>
        <w:numPr>
          <w:numId w:val="0"/>
        </w:numPr>
        <w:suppressLineNumbers w:val="0"/>
        <w:ind w:leftChars="0"/>
        <w:jc w:val="both"/>
        <w:rPr>
          <w:rFonts w:hint="eastAsia" w:ascii="黑体" w:hAnsi="黑体" w:eastAsia="黑体" w:cs="黑体"/>
          <w:kern w:val="0"/>
          <w:sz w:val="32"/>
          <w:szCs w:val="32"/>
          <w:lang w:val="en-US" w:eastAsia="zh-CN" w:bidi="ar"/>
        </w:rPr>
      </w:pPr>
    </w:p>
    <w:p w14:paraId="23AEB6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当代的这些热点问题展现出的是常人的非本真状态，但此在是可以本己地存在的。海德格尔认为，“先行到死”可以让此在本真地生存，这一概念强调了死亡对于此在的存在方式的重要性。死亡不仅是此在的终点，而且是贯穿于此在存在中的一个基本可能性，是此在最本己、最固有的存在方式</w:t>
      </w:r>
      <w:r>
        <w:rPr>
          <w:rFonts w:hint="eastAsia" w:ascii="宋体" w:hAnsi="宋体" w:eastAsia="宋体" w:cs="宋体"/>
          <w:kern w:val="0"/>
          <w:sz w:val="24"/>
          <w:szCs w:val="24"/>
          <w:vertAlign w:val="superscript"/>
          <w:lang w:val="en-US" w:eastAsia="zh-CN" w:bidi="ar"/>
        </w:rPr>
        <w:fldChar w:fldCharType="begin"/>
      </w:r>
      <w:r>
        <w:rPr>
          <w:rFonts w:hint="eastAsia" w:ascii="宋体" w:hAnsi="宋体" w:eastAsia="宋体" w:cs="宋体"/>
          <w:kern w:val="0"/>
          <w:sz w:val="24"/>
          <w:szCs w:val="24"/>
          <w:vertAlign w:val="superscript"/>
          <w:lang w:val="en-US" w:eastAsia="zh-CN" w:bidi="ar"/>
        </w:rPr>
        <w:instrText xml:space="preserve"> REF _Ref16312 \r \h </w:instrText>
      </w:r>
      <w:r>
        <w:rPr>
          <w:rFonts w:hint="eastAsia" w:ascii="宋体" w:hAnsi="宋体" w:eastAsia="宋体" w:cs="宋体"/>
          <w:kern w:val="0"/>
          <w:sz w:val="24"/>
          <w:szCs w:val="24"/>
          <w:vertAlign w:val="superscript"/>
          <w:lang w:val="en-US" w:eastAsia="zh-CN" w:bidi="ar"/>
        </w:rPr>
        <w:fldChar w:fldCharType="separate"/>
      </w:r>
      <w:r>
        <w:rPr>
          <w:rFonts w:hint="eastAsia" w:ascii="宋体" w:hAnsi="宋体" w:eastAsia="宋体" w:cs="宋体"/>
          <w:kern w:val="0"/>
          <w:sz w:val="24"/>
          <w:szCs w:val="24"/>
          <w:vertAlign w:val="superscript"/>
          <w:lang w:val="en-US" w:eastAsia="zh-CN" w:bidi="ar"/>
        </w:rPr>
        <w:t>[2]</w:t>
      </w:r>
      <w:r>
        <w:rPr>
          <w:rFonts w:hint="eastAsia" w:ascii="宋体" w:hAnsi="宋体" w:eastAsia="宋体" w:cs="宋体"/>
          <w:kern w:val="0"/>
          <w:sz w:val="24"/>
          <w:szCs w:val="24"/>
          <w:vertAlign w:val="superscript"/>
          <w:lang w:val="en-US" w:eastAsia="zh-CN" w:bidi="ar"/>
        </w:rPr>
        <w:fldChar w:fldCharType="end"/>
      </w:r>
      <w:r>
        <w:rPr>
          <w:rFonts w:hint="eastAsia" w:ascii="宋体" w:hAnsi="宋体" w:eastAsia="宋体" w:cs="宋体"/>
          <w:kern w:val="0"/>
          <w:sz w:val="24"/>
          <w:szCs w:val="24"/>
          <w:lang w:val="en-US" w:eastAsia="zh-CN" w:bidi="ar"/>
        </w:rPr>
        <w:t>。</w:t>
      </w:r>
    </w:p>
    <w:p w14:paraId="022F59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有限的“此在”无时无刻不在面对“死”的可能性，而“死”使得其它的可能性都不再可能</w:t>
      </w:r>
      <w:r>
        <w:rPr>
          <w:rFonts w:hint="eastAsia" w:ascii="宋体" w:hAnsi="宋体" w:eastAsia="宋体" w:cs="宋体"/>
          <w:kern w:val="0"/>
          <w:sz w:val="24"/>
          <w:szCs w:val="24"/>
          <w:vertAlign w:val="superscript"/>
          <w:lang w:val="en-US" w:eastAsia="zh-CN" w:bidi="ar"/>
        </w:rPr>
        <w:fldChar w:fldCharType="begin"/>
      </w:r>
      <w:r>
        <w:rPr>
          <w:rFonts w:hint="eastAsia" w:ascii="宋体" w:hAnsi="宋体" w:eastAsia="宋体" w:cs="宋体"/>
          <w:kern w:val="0"/>
          <w:sz w:val="24"/>
          <w:szCs w:val="24"/>
          <w:vertAlign w:val="superscript"/>
          <w:lang w:val="en-US" w:eastAsia="zh-CN" w:bidi="ar"/>
        </w:rPr>
        <w:instrText xml:space="preserve"> REF _Ref16394 \r \h </w:instrText>
      </w:r>
      <w:r>
        <w:rPr>
          <w:rFonts w:hint="eastAsia" w:ascii="宋体" w:hAnsi="宋体" w:eastAsia="宋体" w:cs="宋体"/>
          <w:kern w:val="0"/>
          <w:sz w:val="24"/>
          <w:szCs w:val="24"/>
          <w:vertAlign w:val="superscript"/>
          <w:lang w:val="en-US" w:eastAsia="zh-CN" w:bidi="ar"/>
        </w:rPr>
        <w:fldChar w:fldCharType="separate"/>
      </w:r>
      <w:r>
        <w:rPr>
          <w:rFonts w:hint="eastAsia" w:ascii="宋体" w:hAnsi="宋体" w:eastAsia="宋体" w:cs="宋体"/>
          <w:kern w:val="0"/>
          <w:sz w:val="24"/>
          <w:szCs w:val="24"/>
          <w:vertAlign w:val="superscript"/>
          <w:lang w:val="en-US" w:eastAsia="zh-CN" w:bidi="ar"/>
        </w:rPr>
        <w:t>[3]</w:t>
      </w:r>
      <w:r>
        <w:rPr>
          <w:rFonts w:hint="eastAsia" w:ascii="宋体" w:hAnsi="宋体" w:eastAsia="宋体" w:cs="宋体"/>
          <w:kern w:val="0"/>
          <w:sz w:val="24"/>
          <w:szCs w:val="24"/>
          <w:vertAlign w:val="superscript"/>
          <w:lang w:val="en-US" w:eastAsia="zh-CN" w:bidi="ar"/>
        </w:rPr>
        <w:fldChar w:fldCharType="end"/>
      </w:r>
      <w:r>
        <w:rPr>
          <w:rFonts w:hint="eastAsia" w:ascii="宋体" w:hAnsi="宋体" w:eastAsia="宋体" w:cs="宋体"/>
          <w:kern w:val="0"/>
          <w:sz w:val="24"/>
          <w:szCs w:val="24"/>
          <w:lang w:val="en-US" w:eastAsia="zh-CN" w:bidi="ar"/>
        </w:rPr>
        <w:t>，因此常人选择背对死亡，通过沉沦于世逃避死亡。但这种逃避是自我欺骗式的无效之法，只有向死存在能促进此在的转向，从非本真的生存到本真的生存。此在直面死亡时才能从日常的沉沦状态中超拔出来，获得真正的自由和生存的意义。这种对死亡的领会不仅是一种对未来的预感或恐惧的克服，更是对存在的深刻洞察和理解</w:t>
      </w:r>
      <w:r>
        <w:rPr>
          <w:rFonts w:hint="eastAsia" w:ascii="宋体" w:hAnsi="宋体" w:eastAsia="宋体" w:cs="宋体"/>
          <w:kern w:val="0"/>
          <w:sz w:val="24"/>
          <w:szCs w:val="24"/>
          <w:vertAlign w:val="superscript"/>
          <w:lang w:val="en-US" w:eastAsia="zh-CN" w:bidi="ar"/>
        </w:rPr>
        <w:fldChar w:fldCharType="begin"/>
      </w:r>
      <w:r>
        <w:rPr>
          <w:rFonts w:hint="eastAsia" w:ascii="宋体" w:hAnsi="宋体" w:eastAsia="宋体" w:cs="宋体"/>
          <w:kern w:val="0"/>
          <w:sz w:val="24"/>
          <w:szCs w:val="24"/>
          <w:vertAlign w:val="superscript"/>
          <w:lang w:val="en-US" w:eastAsia="zh-CN" w:bidi="ar"/>
        </w:rPr>
        <w:instrText xml:space="preserve"> REF _Ref16544 \r \h </w:instrText>
      </w:r>
      <w:r>
        <w:rPr>
          <w:rFonts w:hint="eastAsia" w:ascii="宋体" w:hAnsi="宋体" w:eastAsia="宋体" w:cs="宋体"/>
          <w:kern w:val="0"/>
          <w:sz w:val="24"/>
          <w:szCs w:val="24"/>
          <w:vertAlign w:val="superscript"/>
          <w:lang w:val="en-US" w:eastAsia="zh-CN" w:bidi="ar"/>
        </w:rPr>
        <w:fldChar w:fldCharType="separate"/>
      </w:r>
      <w:r>
        <w:rPr>
          <w:rFonts w:hint="eastAsia" w:ascii="宋体" w:hAnsi="宋体" w:eastAsia="宋体" w:cs="宋体"/>
          <w:kern w:val="0"/>
          <w:sz w:val="24"/>
          <w:szCs w:val="24"/>
          <w:vertAlign w:val="superscript"/>
          <w:lang w:val="en-US" w:eastAsia="zh-CN" w:bidi="ar"/>
        </w:rPr>
        <w:t>[4]</w:t>
      </w:r>
      <w:r>
        <w:rPr>
          <w:rFonts w:hint="eastAsia" w:ascii="宋体" w:hAnsi="宋体" w:eastAsia="宋体" w:cs="宋体"/>
          <w:kern w:val="0"/>
          <w:sz w:val="24"/>
          <w:szCs w:val="24"/>
          <w:vertAlign w:val="superscript"/>
          <w:lang w:val="en-US" w:eastAsia="zh-CN" w:bidi="ar"/>
        </w:rPr>
        <w:fldChar w:fldCharType="end"/>
      </w:r>
      <w:r>
        <w:rPr>
          <w:rFonts w:hint="eastAsia" w:ascii="宋体" w:hAnsi="宋体" w:eastAsia="宋体" w:cs="宋体"/>
          <w:kern w:val="0"/>
          <w:sz w:val="24"/>
          <w:szCs w:val="24"/>
          <w:lang w:val="en-US" w:eastAsia="zh-CN" w:bidi="ar"/>
        </w:rPr>
        <w:t>。</w:t>
      </w:r>
    </w:p>
    <w:p w14:paraId="29B08D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由此，此在开始筹划自己的生存，而非漫无目的地消耗时光，沉沦于世。如此才有能充分地展开于生存的可能性之中，积极探究、追问存在的意义，实现存在的本真性。</w:t>
      </w:r>
    </w:p>
    <w:p w14:paraId="7E70C7C3">
      <w:pPr>
        <w:numPr>
          <w:ilvl w:val="0"/>
          <w:numId w:val="0"/>
        </w:numPr>
        <w:spacing w:line="360" w:lineRule="auto"/>
        <w:ind w:firstLine="480" w:firstLineChars="200"/>
        <w:rPr>
          <w:rFonts w:hint="eastAsia" w:ascii="宋体" w:hAnsi="宋体" w:eastAsia="宋体" w:cs="宋体"/>
          <w:kern w:val="0"/>
          <w:sz w:val="24"/>
          <w:szCs w:val="24"/>
          <w:lang w:val="en-US" w:eastAsia="zh-CN" w:bidi="ar"/>
        </w:rPr>
      </w:pPr>
    </w:p>
    <w:p w14:paraId="513EB995">
      <w:pPr>
        <w:numPr>
          <w:ilvl w:val="0"/>
          <w:numId w:val="0"/>
        </w:numPr>
        <w:ind w:firstLine="643" w:firstLineChars="200"/>
        <w:jc w:val="center"/>
        <w:rPr>
          <w:rFonts w:hint="eastAsia" w:ascii="黑体" w:hAnsi="黑体" w:eastAsia="黑体" w:cs="黑体"/>
          <w:b/>
          <w:bCs/>
          <w:kern w:val="0"/>
          <w:sz w:val="32"/>
          <w:szCs w:val="32"/>
          <w:lang w:val="en-US" w:eastAsia="zh-CN" w:bidi="ar"/>
        </w:rPr>
      </w:pPr>
      <w:r>
        <w:rPr>
          <w:rFonts w:hint="eastAsia" w:ascii="黑体" w:hAnsi="黑体" w:eastAsia="黑体" w:cs="黑体"/>
          <w:b/>
          <w:bCs/>
          <w:kern w:val="0"/>
          <w:sz w:val="32"/>
          <w:szCs w:val="32"/>
          <w:lang w:val="en-US" w:eastAsia="zh-CN" w:bidi="ar"/>
        </w:rPr>
        <w:t>参考文献</w:t>
      </w:r>
    </w:p>
    <w:p w14:paraId="289085BF">
      <w:pPr>
        <w:numPr>
          <w:ilvl w:val="0"/>
          <w:numId w:val="0"/>
        </w:numPr>
        <w:ind w:firstLine="643" w:firstLineChars="200"/>
        <w:jc w:val="center"/>
        <w:rPr>
          <w:rFonts w:hint="eastAsia" w:ascii="黑体" w:hAnsi="黑体" w:eastAsia="黑体" w:cs="黑体"/>
          <w:b/>
          <w:bCs/>
          <w:kern w:val="0"/>
          <w:sz w:val="32"/>
          <w:szCs w:val="32"/>
          <w:lang w:val="en-US" w:eastAsia="zh-CN" w:bidi="ar"/>
        </w:rPr>
      </w:pPr>
    </w:p>
    <w:p w14:paraId="40CD60D8">
      <w:pPr>
        <w:keepNext w:val="0"/>
        <w:keepLines w:val="0"/>
        <w:pageBreakBefore w:val="0"/>
        <w:widowControl w:val="0"/>
        <w:numPr>
          <w:ilvl w:val="0"/>
          <w:numId w:val="4"/>
        </w:numPr>
        <w:kinsoku/>
        <w:wordWrap w:val="0"/>
        <w:overflowPunct/>
        <w:topLinePunct w:val="0"/>
        <w:autoSpaceDE w:val="0"/>
        <w:autoSpaceDN/>
        <w:bidi w:val="0"/>
        <w:adjustRightInd/>
        <w:snapToGrid/>
        <w:spacing w:line="360" w:lineRule="auto"/>
        <w:ind w:left="480" w:hanging="480" w:hangingChars="200"/>
        <w:textAlignment w:val="auto"/>
        <w:rPr>
          <w:rFonts w:hint="default" w:ascii="宋体" w:hAnsi="宋体" w:eastAsia="宋体" w:cs="宋体"/>
          <w:sz w:val="24"/>
          <w:szCs w:val="24"/>
          <w:lang w:val="en-US" w:eastAsia="zh-CN"/>
        </w:rPr>
      </w:pPr>
      <w:bookmarkStart w:id="0" w:name="_Ref16028"/>
      <w:r>
        <w:rPr>
          <w:rFonts w:hint="default" w:ascii="宋体" w:hAnsi="宋体" w:eastAsia="宋体" w:cs="宋体"/>
          <w:sz w:val="24"/>
          <w:szCs w:val="24"/>
          <w:lang w:val="en-US" w:eastAsia="zh-CN"/>
        </w:rPr>
        <w:t>海德格尔． 存在与时间［M］． 陈嘉映，王庆节，译． 北京: 三联书店，2014．</w:t>
      </w:r>
      <w:bookmarkEnd w:id="0"/>
    </w:p>
    <w:p w14:paraId="6DDAE91E">
      <w:pPr>
        <w:keepNext w:val="0"/>
        <w:keepLines w:val="0"/>
        <w:pageBreakBefore w:val="0"/>
        <w:widowControl w:val="0"/>
        <w:numPr>
          <w:ilvl w:val="0"/>
          <w:numId w:val="4"/>
        </w:numPr>
        <w:kinsoku/>
        <w:wordWrap w:val="0"/>
        <w:overflowPunct/>
        <w:topLinePunct w:val="0"/>
        <w:autoSpaceDE w:val="0"/>
        <w:autoSpaceDN/>
        <w:bidi w:val="0"/>
        <w:adjustRightInd/>
        <w:snapToGrid/>
        <w:spacing w:line="360" w:lineRule="auto"/>
        <w:ind w:left="480" w:hanging="480" w:hangingChars="200"/>
        <w:textAlignment w:val="auto"/>
        <w:rPr>
          <w:rFonts w:hint="default" w:ascii="宋体" w:hAnsi="宋体" w:eastAsia="宋体" w:cs="宋体"/>
          <w:sz w:val="24"/>
          <w:szCs w:val="24"/>
          <w:lang w:val="en-US" w:eastAsia="zh-CN"/>
        </w:rPr>
      </w:pPr>
      <w:bookmarkStart w:id="1" w:name="_Ref16312"/>
      <w:r>
        <w:rPr>
          <w:rFonts w:hint="default" w:ascii="宋体" w:hAnsi="宋体" w:eastAsia="宋体" w:cs="宋体"/>
          <w:sz w:val="24"/>
          <w:szCs w:val="24"/>
          <w:lang w:val="en-US" w:eastAsia="zh-CN"/>
        </w:rPr>
        <w:t>王博医.从“此在”到“常人”的沉沦之路——《存在与时间》中人的异化问题研究[J].宜宾学院学报,2019,19(01):73-79.DOI:10.19504/j.cnki.issn1671-5365.2019.01.007.</w:t>
      </w:r>
      <w:bookmarkEnd w:id="1"/>
    </w:p>
    <w:p w14:paraId="57654ED3">
      <w:pPr>
        <w:keepNext w:val="0"/>
        <w:keepLines w:val="0"/>
        <w:pageBreakBefore w:val="0"/>
        <w:widowControl w:val="0"/>
        <w:numPr>
          <w:ilvl w:val="0"/>
          <w:numId w:val="4"/>
        </w:numPr>
        <w:kinsoku/>
        <w:wordWrap w:val="0"/>
        <w:overflowPunct/>
        <w:topLinePunct w:val="0"/>
        <w:autoSpaceDE w:val="0"/>
        <w:autoSpaceDN/>
        <w:bidi w:val="0"/>
        <w:adjustRightInd/>
        <w:snapToGrid/>
        <w:spacing w:line="360" w:lineRule="auto"/>
        <w:ind w:left="480" w:hanging="480" w:hangingChars="200"/>
        <w:textAlignment w:val="auto"/>
        <w:rPr>
          <w:rFonts w:hint="default" w:ascii="宋体" w:hAnsi="宋体" w:eastAsia="宋体" w:cs="宋体"/>
          <w:sz w:val="24"/>
          <w:szCs w:val="24"/>
          <w:lang w:val="en-US" w:eastAsia="zh-CN"/>
        </w:rPr>
      </w:pPr>
      <w:bookmarkStart w:id="2" w:name="_Ref16394"/>
      <w:r>
        <w:rPr>
          <w:rFonts w:hint="default" w:ascii="宋体" w:hAnsi="宋体" w:eastAsia="宋体" w:cs="宋体"/>
          <w:sz w:val="24"/>
          <w:szCs w:val="24"/>
          <w:lang w:val="en-US" w:eastAsia="zh-CN"/>
        </w:rPr>
        <w:t>郭庆堂,张继元. 海德格尔死亡观探析[J]. 聊城大学学报（社会科学版）,2005(1):101-106. DOI:10.3969/j.issn.1672-1217.2005.01.024.</w:t>
      </w:r>
      <w:bookmarkEnd w:id="2"/>
    </w:p>
    <w:p w14:paraId="293A0630">
      <w:pPr>
        <w:keepNext w:val="0"/>
        <w:keepLines w:val="0"/>
        <w:pageBreakBefore w:val="0"/>
        <w:widowControl w:val="0"/>
        <w:numPr>
          <w:ilvl w:val="0"/>
          <w:numId w:val="4"/>
        </w:numPr>
        <w:kinsoku/>
        <w:wordWrap w:val="0"/>
        <w:overflowPunct/>
        <w:topLinePunct w:val="0"/>
        <w:autoSpaceDE w:val="0"/>
        <w:autoSpaceDN/>
        <w:bidi w:val="0"/>
        <w:adjustRightInd/>
        <w:snapToGrid/>
        <w:spacing w:line="360" w:lineRule="auto"/>
        <w:ind w:left="480" w:hanging="480" w:hangingChars="200"/>
        <w:textAlignment w:val="auto"/>
        <w:rPr>
          <w:rFonts w:hint="default" w:ascii="宋体" w:hAnsi="宋体" w:eastAsia="宋体" w:cs="宋体"/>
          <w:sz w:val="24"/>
          <w:szCs w:val="24"/>
          <w:lang w:val="en-US" w:eastAsia="zh-CN"/>
        </w:rPr>
      </w:pPr>
      <w:bookmarkStart w:id="3" w:name="_Ref16544"/>
      <w:r>
        <w:rPr>
          <w:rFonts w:hint="default" w:ascii="宋体" w:hAnsi="宋体" w:eastAsia="宋体" w:cs="宋体"/>
          <w:sz w:val="24"/>
          <w:szCs w:val="24"/>
          <w:lang w:val="en-US" w:eastAsia="zh-CN"/>
        </w:rPr>
        <w:t>牛慧玲. 死亡与自由--对海德格尔死亡观的解读[J]. 山西高等学校社会科学学报,2005,17(4):32-33,54. DOI:10.3969/j.issn.1008-6285.2005.04.011.</w:t>
      </w:r>
      <w:bookmarkEnd w:id="3"/>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D1F092"/>
    <w:multiLevelType w:val="singleLevel"/>
    <w:tmpl w:val="95D1F092"/>
    <w:lvl w:ilvl="0" w:tentative="0">
      <w:start w:val="1"/>
      <w:numFmt w:val="decimal"/>
      <w:suff w:val="space"/>
      <w:lvlText w:val="[%1]"/>
      <w:lvlJc w:val="left"/>
    </w:lvl>
  </w:abstractNum>
  <w:abstractNum w:abstractNumId="1">
    <w:nsid w:val="968D8835"/>
    <w:multiLevelType w:val="singleLevel"/>
    <w:tmpl w:val="968D8835"/>
    <w:lvl w:ilvl="0" w:tentative="0">
      <w:start w:val="1"/>
      <w:numFmt w:val="chineseCounting"/>
      <w:suff w:val="nothing"/>
      <w:lvlText w:val="（%1）"/>
      <w:lvlJc w:val="left"/>
      <w:rPr>
        <w:rFonts w:hint="eastAsia"/>
      </w:rPr>
    </w:lvl>
  </w:abstractNum>
  <w:abstractNum w:abstractNumId="2">
    <w:nsid w:val="EBA9352B"/>
    <w:multiLevelType w:val="singleLevel"/>
    <w:tmpl w:val="EBA9352B"/>
    <w:lvl w:ilvl="0" w:tentative="0">
      <w:start w:val="2"/>
      <w:numFmt w:val="chineseCounting"/>
      <w:suff w:val="nothing"/>
      <w:lvlText w:val="%1、"/>
      <w:lvlJc w:val="left"/>
      <w:rPr>
        <w:rFonts w:hint="eastAsia"/>
      </w:rPr>
    </w:lvl>
  </w:abstractNum>
  <w:abstractNum w:abstractNumId="3">
    <w:nsid w:val="54AA2402"/>
    <w:multiLevelType w:val="singleLevel"/>
    <w:tmpl w:val="54AA2402"/>
    <w:lvl w:ilvl="0" w:tentative="0">
      <w:start w:val="1"/>
      <w:numFmt w:val="chineseCounting"/>
      <w:suff w:val="nothing"/>
      <w:lvlText w:val="%1、"/>
      <w:lvlJc w:val="left"/>
      <w:rPr>
        <w:rFonts w:hint="eastAsia"/>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3M2Y5NzIzMDFlZjAyY2Q4Njk5ODkyYjFjNzBiNTQifQ=="/>
  </w:docVars>
  <w:rsids>
    <w:rsidRoot w:val="00000000"/>
    <w:rsid w:val="052120A3"/>
    <w:rsid w:val="06AF6AB6"/>
    <w:rsid w:val="0DAA1BDC"/>
    <w:rsid w:val="12C06DE3"/>
    <w:rsid w:val="141B0562"/>
    <w:rsid w:val="281E1463"/>
    <w:rsid w:val="30424B04"/>
    <w:rsid w:val="399A6A0B"/>
    <w:rsid w:val="554B4B2C"/>
    <w:rsid w:val="743B5C3A"/>
    <w:rsid w:val="7AAE7A5D"/>
    <w:rsid w:val="7FFD08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2884</Words>
  <Characters>2887</Characters>
  <Lines>0</Lines>
  <Paragraphs>0</Paragraphs>
  <TotalTime>4</TotalTime>
  <ScaleCrop>false</ScaleCrop>
  <LinksUpToDate>false</LinksUpToDate>
  <CharactersWithSpaces>2898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2024-11-06T01:47:00Z</dcterms:created>
  <dc:creator/>
  <dcterms:modified xsi:type="dcterms:W3CDTF">2024-12-22T11:17:49Z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E73BB69A665F43F59229F936B55B1D1D_12</vt:lpwstr>
  </property>
</Properties>
</file>