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F70BC">
      <w:pPr>
        <w:spacing w:line="360" w:lineRule="auto"/>
        <w:jc w:val="center"/>
        <w:rPr>
          <w:rFonts w:hint="eastAsia" w:ascii="宋体" w:hAnsi="宋体" w:eastAsia="宋体" w:cs="宋体"/>
          <w:b/>
          <w:bCs/>
          <w:sz w:val="28"/>
          <w:szCs w:val="28"/>
          <w:lang w:val="en-US" w:eastAsia="zh-Hans"/>
        </w:rPr>
      </w:pPr>
      <w:bookmarkStart w:id="2" w:name="_GoBack"/>
      <w:r>
        <w:rPr>
          <w:rFonts w:hint="eastAsia" w:ascii="宋体" w:hAnsi="宋体" w:eastAsia="宋体" w:cs="宋体"/>
          <w:b/>
          <w:bCs/>
          <w:sz w:val="28"/>
          <w:szCs w:val="28"/>
          <w:lang w:val="en-US" w:eastAsia="zh-Hans"/>
        </w:rPr>
        <w:t>简析卡拉瓦乔的艺术特色</w:t>
      </w:r>
    </w:p>
    <w:bookmarkEnd w:id="2"/>
    <w:p w14:paraId="2AB1DACE">
      <w:pPr>
        <w:spacing w:line="360" w:lineRule="auto"/>
        <w:rPr>
          <w:rFonts w:hint="eastAsia" w:ascii="宋体" w:hAnsi="宋体" w:eastAsia="宋体" w:cs="宋体"/>
          <w:sz w:val="24"/>
          <w:szCs w:val="24"/>
        </w:rPr>
      </w:pPr>
    </w:p>
    <w:p w14:paraId="152A38E4">
      <w:pPr>
        <w:spacing w:line="360" w:lineRule="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摘要</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本文从卡拉瓦乔的几幅代表作入手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通过对画作的分析意在表达卡拉瓦乔的绘画风格以及独特的绘画技巧</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从而体现他对于后世艺术发展的重要影响与地位</w:t>
      </w:r>
      <w:r>
        <w:rPr>
          <w:rFonts w:hint="eastAsia" w:ascii="宋体" w:hAnsi="宋体" w:eastAsia="宋体" w:cs="宋体"/>
          <w:sz w:val="24"/>
          <w:szCs w:val="24"/>
          <w:lang w:eastAsia="zh-Hans"/>
        </w:rPr>
        <w:t>。</w:t>
      </w:r>
    </w:p>
    <w:p w14:paraId="35892520">
      <w:pPr>
        <w:spacing w:line="360" w:lineRule="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关键词</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卡拉瓦乔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现实主义</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明暗对比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社会批判</w:t>
      </w:r>
    </w:p>
    <w:p w14:paraId="4CC4ED31">
      <w:pPr>
        <w:numPr>
          <w:ilvl w:val="0"/>
          <w:numId w:val="1"/>
        </w:numPr>
        <w:spacing w:line="360" w:lineRule="auto"/>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引言</w:t>
      </w:r>
    </w:p>
    <w:p w14:paraId="2317573A">
      <w:pPr>
        <w:numPr>
          <w:ilvl w:val="0"/>
          <w:numId w:val="0"/>
        </w:numPr>
        <w:spacing w:line="360" w:lineRule="auto"/>
        <w:ind w:firstLine="480" w:firstLineChars="20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米开朗琪罗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梅里西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达</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卡拉瓦乔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文艺复兴时期意大利杰出的画家</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以其独特的绘画风格和创新的绘画技巧在艺术史上留下了浓墨重彩的一笔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他最初在米兰当学徒打下绘画基本功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后来进入了朱塞佩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切萨里的工作室当助手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最后开始了独立创作</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他明确的风格受到了广泛的认可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他作品中独特的绘画技巧如强烈的明暗对比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强光影对后世留下了深远的影响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也让他成为了巴洛克风格的开创者之一</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他的作品以半身像题材和宗教题材为主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与他个人的经历有紧密的联系</w:t>
      </w:r>
      <w:r>
        <w:rPr>
          <w:rFonts w:hint="eastAsia" w:ascii="宋体" w:hAnsi="宋体" w:eastAsia="宋体" w:cs="宋体"/>
          <w:sz w:val="24"/>
          <w:szCs w:val="24"/>
          <w:lang w:eastAsia="zh-Hans"/>
        </w:rPr>
        <w:t>。</w:t>
      </w:r>
    </w:p>
    <w:p w14:paraId="2C52C76D">
      <w:pPr>
        <w:numPr>
          <w:ilvl w:val="0"/>
          <w:numId w:val="0"/>
        </w:numPr>
        <w:spacing w:line="360" w:lineRule="auto"/>
        <w:ind w:firstLine="480" w:firstLineChars="20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本文主要通过对于卡拉瓦乔的代表画作的分析</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分析他绘画中的现实主义精神和他独特的技巧表达</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同时也探讨卡拉瓦乔对于后世艺术发展以及巴洛克风格的形成的影响</w:t>
      </w:r>
      <w:r>
        <w:rPr>
          <w:rFonts w:hint="eastAsia" w:ascii="宋体" w:hAnsi="宋体" w:eastAsia="宋体" w:cs="宋体"/>
          <w:sz w:val="24"/>
          <w:szCs w:val="24"/>
          <w:lang w:eastAsia="zh-Hans"/>
        </w:rPr>
        <w:t>。</w:t>
      </w:r>
    </w:p>
    <w:p w14:paraId="074DCF18">
      <w:pPr>
        <w:numPr>
          <w:ilvl w:val="0"/>
          <w:numId w:val="1"/>
        </w:numPr>
        <w:spacing w:line="360" w:lineRule="auto"/>
        <w:ind w:left="0" w:leftChars="0" w:firstLine="0" w:firstLineChars="0"/>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卡拉瓦乔绘画中的现实主义理念</w:t>
      </w:r>
    </w:p>
    <w:p w14:paraId="14832110">
      <w:pPr>
        <w:numPr>
          <w:ilvl w:val="0"/>
          <w:numId w:val="0"/>
        </w:numPr>
        <w:spacing w:line="360" w:lineRule="auto"/>
        <w:ind w:leftChars="0" w:firstLine="480" w:firstLineChars="20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十六世纪末期的罗马鱼龙混杂</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男女比例失调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男性远远多于女性</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不管是城里还是乡下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土匪四处流窜</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各种打斗随处可见</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此时的意大利是暴力的代名词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卡拉瓦乔在这样的时代背景下开启了他的绘画事业。卡拉瓦乔认为艺术应该要真实的反映现实生活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而并不仅是理想化的美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并且要对人类内心的思想与情感进行深层次的探索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他会从人们的行为举止和衣着外貌等细节上进行判断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并且描绘不同社会阶级具有不同特点的形象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这与当时文艺复兴时期严肃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含蓄等特点完全不同</w:t>
      </w:r>
      <w:r>
        <w:rPr>
          <w:rFonts w:hint="eastAsia" w:ascii="宋体" w:hAnsi="宋体" w:eastAsia="宋体" w:cs="宋体"/>
          <w:sz w:val="24"/>
          <w:szCs w:val="24"/>
          <w:lang w:eastAsia="zh-Hans"/>
        </w:rPr>
        <w:t>。</w:t>
      </w:r>
    </w:p>
    <w:p w14:paraId="6E158F47">
      <w:pPr>
        <w:numPr>
          <w:ilvl w:val="0"/>
          <w:numId w:val="0"/>
        </w:numPr>
        <w:spacing w:line="360" w:lineRule="auto"/>
        <w:ind w:leftChars="0" w:firstLine="480" w:firstLineChars="20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以这幅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生病的巴斯库</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为例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这幅画是卡拉瓦乔生病住院期间完成的半身自画像</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作品运用了写实的表现手法</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他把自己描绘成希腊酒神的模样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身穿白色长袍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手握一串葡萄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头戴常春藤的头冠</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坐在桌前转头望向绘画者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将裸露的肩膀展示出的肌肉与苍白的脸色</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空洞的眼神作对比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展现了他生病时憔悴的模样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这样真实的描绘尤其是对于细节的刻画体现了卡拉瓦乔对于现实主义的追求</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该作品中将光聚焦于巴斯库让他作为画面重心的设计也是卡拉瓦乔对于光影研究的开端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他在作品中对人物的表情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肢体动作和细腻的光影处理使得人物更加形象生动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整个画面更具有立体感</w:t>
      </w:r>
      <w:r>
        <w:rPr>
          <w:rFonts w:hint="eastAsia" w:ascii="宋体" w:hAnsi="宋体" w:eastAsia="宋体" w:cs="宋体"/>
          <w:sz w:val="24"/>
          <w:szCs w:val="24"/>
          <w:lang w:eastAsia="zh-Hans"/>
        </w:rPr>
        <w:t>。</w:t>
      </w:r>
    </w:p>
    <w:p w14:paraId="3D5134C7">
      <w:pPr>
        <w:numPr>
          <w:ilvl w:val="0"/>
          <w:numId w:val="0"/>
        </w:numPr>
        <w:spacing w:line="360" w:lineRule="auto"/>
        <w:ind w:leftChars="0"/>
        <w:rPr>
          <w:rFonts w:hint="eastAsia" w:ascii="宋体" w:hAnsi="宋体" w:eastAsia="宋体" w:cs="宋体"/>
          <w:sz w:val="24"/>
          <w:szCs w:val="24"/>
          <w:lang w:eastAsia="zh-Hans"/>
        </w:rPr>
      </w:pPr>
      <w:r>
        <w:rPr>
          <w:rFonts w:hint="eastAsia" w:ascii="宋体" w:hAnsi="宋体" w:eastAsia="宋体" w:cs="宋体"/>
          <w:sz w:val="24"/>
          <w:szCs w:val="24"/>
          <w:lang w:eastAsia="zh-Hans"/>
        </w:rPr>
        <w:drawing>
          <wp:inline distT="0" distB="0" distL="114300" distR="114300">
            <wp:extent cx="1959610" cy="2445385"/>
            <wp:effectExtent l="0" t="0" r="21590" b="18415"/>
            <wp:docPr id="1" name="图片 1" descr="7c93ab77597854f207fe388f4c64e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c93ab77597854f207fe388f4c64ea46"/>
                    <pic:cNvPicPr>
                      <a:picLocks noChangeAspect="1"/>
                    </pic:cNvPicPr>
                  </pic:nvPicPr>
                  <pic:blipFill>
                    <a:blip r:embed="rId4"/>
                    <a:stretch>
                      <a:fillRect/>
                    </a:stretch>
                  </pic:blipFill>
                  <pic:spPr>
                    <a:xfrm>
                      <a:off x="0" y="0"/>
                      <a:ext cx="1959610" cy="2445385"/>
                    </a:xfrm>
                    <a:prstGeom prst="rect">
                      <a:avLst/>
                    </a:prstGeom>
                  </pic:spPr>
                </pic:pic>
              </a:graphicData>
            </a:graphic>
          </wp:inline>
        </w:drawing>
      </w:r>
    </w:p>
    <w:p w14:paraId="5B31873F">
      <w:pPr>
        <w:numPr>
          <w:ilvl w:val="0"/>
          <w:numId w:val="0"/>
        </w:numPr>
        <w:spacing w:line="360" w:lineRule="auto"/>
        <w:ind w:leftChars="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卡拉瓦乔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生病的巴斯库</w:t>
      </w:r>
      <w:r>
        <w:rPr>
          <w:rFonts w:hint="eastAsia" w:ascii="宋体" w:hAnsi="宋体" w:eastAsia="宋体" w:cs="宋体"/>
          <w:sz w:val="24"/>
          <w:szCs w:val="24"/>
          <w:lang w:eastAsia="zh-Hans"/>
        </w:rPr>
        <w:t>》</w:t>
      </w:r>
    </w:p>
    <w:p w14:paraId="019BDB6D">
      <w:pPr>
        <w:numPr>
          <w:ilvl w:val="0"/>
          <w:numId w:val="0"/>
        </w:numPr>
        <w:spacing w:line="360" w:lineRule="auto"/>
        <w:ind w:leftChars="0"/>
        <w:rPr>
          <w:rFonts w:hint="eastAsia" w:ascii="宋体" w:hAnsi="宋体" w:eastAsia="宋体" w:cs="宋体"/>
          <w:sz w:val="24"/>
          <w:szCs w:val="24"/>
          <w:lang w:val="en-US" w:eastAsia="zh-Hans"/>
        </w:rPr>
      </w:pPr>
      <w:r>
        <w:rPr>
          <w:rFonts w:hint="eastAsia" w:ascii="宋体" w:hAnsi="宋体" w:eastAsia="宋体" w:cs="宋体"/>
          <w:sz w:val="24"/>
          <w:szCs w:val="24"/>
          <w:lang w:eastAsia="zh-Hans"/>
        </w:rPr>
        <w:t>1593</w:t>
      </w:r>
      <w:r>
        <w:rPr>
          <w:rFonts w:hint="eastAsia" w:ascii="宋体" w:hAnsi="宋体" w:eastAsia="宋体" w:cs="宋体"/>
          <w:sz w:val="24"/>
          <w:szCs w:val="24"/>
          <w:lang w:val="en-US" w:eastAsia="zh-Hans"/>
        </w:rPr>
        <w:t>年</w:t>
      </w:r>
      <w:r>
        <w:rPr>
          <w:rFonts w:hint="eastAsia" w:ascii="宋体" w:hAnsi="宋体" w:eastAsia="宋体" w:cs="宋体"/>
          <w:sz w:val="24"/>
          <w:szCs w:val="24"/>
          <w:lang w:eastAsia="zh-Hans"/>
        </w:rPr>
        <w:t xml:space="preserve"> 67</w:t>
      </w:r>
      <w:r>
        <w:rPr>
          <w:rFonts w:hint="default" w:ascii="Times New Roman Regular" w:hAnsi="Times New Roman Regular" w:eastAsia="宋体" w:cs="Times New Roman Regular"/>
          <w:sz w:val="24"/>
          <w:szCs w:val="24"/>
          <w:lang w:val="en-US" w:eastAsia="zh-Hans"/>
        </w:rPr>
        <w:t>cm</w:t>
      </w:r>
      <w:r>
        <w:rPr>
          <w:rFonts w:hint="eastAsia" w:ascii="宋体" w:hAnsi="宋体" w:eastAsia="宋体" w:cs="宋体"/>
          <w:sz w:val="24"/>
          <w:szCs w:val="24"/>
          <w:lang w:eastAsia="zh-Hans"/>
        </w:rPr>
        <w:t>*53</w:t>
      </w:r>
      <w:r>
        <w:rPr>
          <w:rFonts w:hint="default" w:ascii="Times New Roman Regular" w:hAnsi="Times New Roman Regular" w:eastAsia="宋体" w:cs="Times New Roman Regular"/>
          <w:sz w:val="24"/>
          <w:szCs w:val="24"/>
          <w:lang w:val="en-US" w:eastAsia="zh-Hans"/>
        </w:rPr>
        <w:t>cm</w:t>
      </w:r>
    </w:p>
    <w:p w14:paraId="3D48FDDD">
      <w:pPr>
        <w:numPr>
          <w:ilvl w:val="0"/>
          <w:numId w:val="0"/>
        </w:numPr>
        <w:spacing w:line="360" w:lineRule="auto"/>
        <w:ind w:leftChars="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图片来源</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卡拉瓦乔传</w:t>
      </w:r>
      <w:r>
        <w:rPr>
          <w:rFonts w:hint="eastAsia" w:ascii="宋体" w:hAnsi="宋体" w:eastAsia="宋体" w:cs="宋体"/>
          <w:sz w:val="24"/>
          <w:szCs w:val="24"/>
          <w:lang w:eastAsia="zh-Hans"/>
        </w:rPr>
        <w:t>》</w:t>
      </w:r>
    </w:p>
    <w:p w14:paraId="63AE78C6">
      <w:pPr>
        <w:numPr>
          <w:ilvl w:val="0"/>
          <w:numId w:val="1"/>
        </w:numPr>
        <w:spacing w:line="360" w:lineRule="auto"/>
        <w:ind w:left="0" w:leftChars="0" w:firstLine="0" w:firstLineChars="0"/>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卡拉瓦乔的作品中对光影的运用</w:t>
      </w:r>
    </w:p>
    <w:p w14:paraId="4965608E">
      <w:pPr>
        <w:numPr>
          <w:ilvl w:val="0"/>
          <w:numId w:val="0"/>
        </w:numPr>
        <w:spacing w:line="360" w:lineRule="auto"/>
        <w:ind w:leftChars="0" w:firstLine="480" w:firstLineChars="20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光影在油画创作过程中是十分重要的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在文艺复兴时期，画家们主要通过弱化光影的对比来对主体进行强调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不同于此</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卡拉瓦乔运用鲜明的明暗对比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这被称为“酒窖光线绘画法”</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他大胆的运用黑色等暗色</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把人物放在明亮的光线中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用暗色作为背景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他通过这种明暗的强烈对比来突出画面的主体</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使画面更加有戏剧性和立体感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同时</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这样的光影效果具有引导性</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能引领观者去关注绘画者的创作主体</w:t>
      </w:r>
      <w:r>
        <w:rPr>
          <w:rFonts w:hint="eastAsia" w:ascii="宋体" w:hAnsi="宋体" w:eastAsia="宋体" w:cs="宋体"/>
          <w:sz w:val="24"/>
          <w:szCs w:val="24"/>
          <w:lang w:eastAsia="zh-Hans"/>
        </w:rPr>
        <w:t>。</w:t>
      </w:r>
    </w:p>
    <w:p w14:paraId="7017C21C">
      <w:pPr>
        <w:numPr>
          <w:ilvl w:val="0"/>
          <w:numId w:val="0"/>
        </w:numPr>
        <w:spacing w:line="360" w:lineRule="auto"/>
        <w:ind w:leftChars="0" w:firstLine="480" w:firstLineChars="20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以卡拉瓦乔“圣马太系列”画作中的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圣马太殉难</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为例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这幅画中的光影表达与黄金分割点极好地表现了卡拉瓦齐对光影高超的运用能力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这幅画采用圆形构图</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光线斜射进来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将画面分割成了明与暗的两个不同区域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光线聚焦于圣马太和刺客两人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再加上圣马太与刺客相握着的手位于整幅作品的黄金分割点处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这样的结合引导观者把重心放在了他们两人身上</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也是整幅画的重点</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卡拉瓦乔又以暗处四处逃窜的人们慌张的表情和肢体动作来表现了圣马太被刺杀的绝望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增强了画作整体的表现力和戏剧性</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这幅作品是卡拉瓦乔将黄金分割运用在人物和光影上的代表作</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他由此被誉为“舞台灯光师”</w:t>
      </w:r>
      <w:r>
        <w:rPr>
          <w:rFonts w:hint="eastAsia" w:ascii="宋体" w:hAnsi="宋体" w:eastAsia="宋体" w:cs="宋体"/>
          <w:sz w:val="24"/>
          <w:szCs w:val="24"/>
          <w:vertAlign w:val="superscript"/>
          <w:lang w:val="en-US" w:eastAsia="zh-Hans"/>
        </w:rPr>
        <w:fldChar w:fldCharType="begin"/>
      </w:r>
      <w:r>
        <w:rPr>
          <w:rFonts w:hint="eastAsia" w:ascii="宋体" w:hAnsi="宋体" w:eastAsia="宋体" w:cs="宋体"/>
          <w:sz w:val="24"/>
          <w:szCs w:val="24"/>
          <w:vertAlign w:val="superscript"/>
          <w:lang w:val="en-US" w:eastAsia="zh-Hans"/>
        </w:rPr>
        <w:instrText xml:space="preserve"> REF _Ref755976489 \r \h </w:instrText>
      </w:r>
      <w:r>
        <w:rPr>
          <w:rFonts w:hint="eastAsia" w:ascii="宋体" w:hAnsi="宋体" w:eastAsia="宋体" w:cs="宋体"/>
          <w:sz w:val="24"/>
          <w:szCs w:val="24"/>
          <w:vertAlign w:val="superscript"/>
          <w:lang w:val="en-US" w:eastAsia="zh-Hans"/>
        </w:rPr>
        <w:fldChar w:fldCharType="separate"/>
      </w:r>
      <w:r>
        <w:rPr>
          <w:rFonts w:hint="eastAsia" w:ascii="宋体" w:hAnsi="宋体" w:eastAsia="宋体" w:cs="宋体"/>
          <w:sz w:val="24"/>
          <w:szCs w:val="24"/>
          <w:vertAlign w:val="superscript"/>
          <w:lang w:val="en-US" w:eastAsia="zh-Hans"/>
        </w:rPr>
        <w:t>[1]</w:t>
      </w:r>
      <w:r>
        <w:rPr>
          <w:rFonts w:hint="eastAsia" w:ascii="宋体" w:hAnsi="宋体" w:eastAsia="宋体" w:cs="宋体"/>
          <w:sz w:val="24"/>
          <w:szCs w:val="24"/>
          <w:vertAlign w:val="superscript"/>
          <w:lang w:val="en-US" w:eastAsia="zh-Hans"/>
        </w:rPr>
        <w:fldChar w:fldCharType="end"/>
      </w:r>
      <w:r>
        <w:rPr>
          <w:rFonts w:hint="eastAsia" w:ascii="宋体" w:hAnsi="宋体" w:eastAsia="宋体" w:cs="宋体"/>
          <w:sz w:val="24"/>
          <w:szCs w:val="24"/>
          <w:lang w:eastAsia="zh-Hans"/>
        </w:rPr>
        <w:t xml:space="preserve">。 </w:t>
      </w:r>
    </w:p>
    <w:p w14:paraId="450E6D79">
      <w:pPr>
        <w:numPr>
          <w:ilvl w:val="0"/>
          <w:numId w:val="0"/>
        </w:numPr>
        <w:spacing w:line="360" w:lineRule="auto"/>
        <w:ind w:leftChars="0"/>
        <w:rPr>
          <w:rFonts w:hint="eastAsia" w:ascii="宋体" w:hAnsi="宋体" w:eastAsia="宋体" w:cs="宋体"/>
          <w:sz w:val="24"/>
          <w:szCs w:val="24"/>
          <w:lang w:eastAsia="zh-Hans"/>
        </w:rPr>
      </w:pPr>
      <w:r>
        <w:rPr>
          <w:rFonts w:hint="eastAsia" w:ascii="宋体" w:hAnsi="宋体" w:eastAsia="宋体" w:cs="宋体"/>
          <w:sz w:val="24"/>
          <w:szCs w:val="24"/>
          <w:lang w:eastAsia="zh-Hans"/>
        </w:rPr>
        <w:drawing>
          <wp:inline distT="0" distB="0" distL="114300" distR="114300">
            <wp:extent cx="2602230" cy="2506345"/>
            <wp:effectExtent l="0" t="0" r="13970" b="8255"/>
            <wp:docPr id="2" name="图片 2" descr="b3119313b07eca804fbd3d929d2397dda1448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3119313b07eca804fbd3d929d2397dda144830e"/>
                    <pic:cNvPicPr>
                      <a:picLocks noChangeAspect="1"/>
                    </pic:cNvPicPr>
                  </pic:nvPicPr>
                  <pic:blipFill>
                    <a:blip r:embed="rId5"/>
                    <a:stretch>
                      <a:fillRect/>
                    </a:stretch>
                  </pic:blipFill>
                  <pic:spPr>
                    <a:xfrm>
                      <a:off x="0" y="0"/>
                      <a:ext cx="2602230" cy="2506345"/>
                    </a:xfrm>
                    <a:prstGeom prst="rect">
                      <a:avLst/>
                    </a:prstGeom>
                  </pic:spPr>
                </pic:pic>
              </a:graphicData>
            </a:graphic>
          </wp:inline>
        </w:drawing>
      </w:r>
    </w:p>
    <w:p w14:paraId="6EBDF990">
      <w:pPr>
        <w:numPr>
          <w:ilvl w:val="0"/>
          <w:numId w:val="0"/>
        </w:numPr>
        <w:spacing w:line="360" w:lineRule="auto"/>
        <w:ind w:leftChars="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卡拉瓦乔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圣马太殉难</w:t>
      </w:r>
      <w:r>
        <w:rPr>
          <w:rFonts w:hint="eastAsia" w:ascii="宋体" w:hAnsi="宋体" w:eastAsia="宋体" w:cs="宋体"/>
          <w:sz w:val="24"/>
          <w:szCs w:val="24"/>
          <w:lang w:eastAsia="zh-Hans"/>
        </w:rPr>
        <w:t>》</w:t>
      </w:r>
    </w:p>
    <w:p w14:paraId="34898666">
      <w:pPr>
        <w:numPr>
          <w:ilvl w:val="0"/>
          <w:numId w:val="0"/>
        </w:numPr>
        <w:spacing w:line="360" w:lineRule="auto"/>
        <w:ind w:leftChars="0"/>
        <w:rPr>
          <w:rFonts w:hint="eastAsia" w:ascii="宋体" w:hAnsi="宋体" w:eastAsia="宋体" w:cs="宋体"/>
          <w:sz w:val="24"/>
          <w:szCs w:val="24"/>
          <w:lang w:val="en-US" w:eastAsia="zh-Hans"/>
        </w:rPr>
      </w:pPr>
      <w:r>
        <w:rPr>
          <w:rFonts w:hint="eastAsia" w:ascii="宋体" w:hAnsi="宋体" w:eastAsia="宋体" w:cs="宋体"/>
          <w:sz w:val="24"/>
          <w:szCs w:val="24"/>
          <w:lang w:eastAsia="zh-Hans"/>
        </w:rPr>
        <w:t>1599</w:t>
      </w:r>
      <w:r>
        <w:rPr>
          <w:rFonts w:hint="eastAsia" w:ascii="宋体" w:hAnsi="宋体" w:eastAsia="宋体" w:cs="宋体"/>
          <w:sz w:val="24"/>
          <w:szCs w:val="24"/>
          <w:lang w:val="en-US" w:eastAsia="zh-Hans"/>
        </w:rPr>
        <w:t>年</w:t>
      </w:r>
      <w:r>
        <w:rPr>
          <w:rFonts w:hint="eastAsia" w:ascii="宋体" w:hAnsi="宋体" w:eastAsia="宋体" w:cs="宋体"/>
          <w:sz w:val="24"/>
          <w:szCs w:val="24"/>
          <w:lang w:eastAsia="zh-Hans"/>
        </w:rPr>
        <w:t xml:space="preserve"> 323</w:t>
      </w:r>
      <w:r>
        <w:rPr>
          <w:rFonts w:hint="default" w:ascii="Times New Roman Regular" w:hAnsi="Times New Roman Regular" w:eastAsia="宋体" w:cs="Times New Roman Regular"/>
          <w:sz w:val="24"/>
          <w:szCs w:val="24"/>
          <w:lang w:val="en-US" w:eastAsia="zh-Hans"/>
        </w:rPr>
        <w:t>cm</w:t>
      </w:r>
      <w:r>
        <w:rPr>
          <w:rFonts w:hint="eastAsia" w:ascii="宋体" w:hAnsi="宋体" w:eastAsia="宋体" w:cs="宋体"/>
          <w:sz w:val="24"/>
          <w:szCs w:val="24"/>
          <w:lang w:eastAsia="zh-Hans"/>
        </w:rPr>
        <w:t>*343</w:t>
      </w:r>
      <w:r>
        <w:rPr>
          <w:rFonts w:hint="default" w:ascii="Times New Roman Regular" w:hAnsi="Times New Roman Regular" w:eastAsia="宋体" w:cs="Times New Roman Regular"/>
          <w:sz w:val="24"/>
          <w:szCs w:val="24"/>
          <w:lang w:val="en-US" w:eastAsia="zh-Hans"/>
        </w:rPr>
        <w:t>cm</w:t>
      </w:r>
    </w:p>
    <w:p w14:paraId="7D6182B4">
      <w:pPr>
        <w:numPr>
          <w:ilvl w:val="0"/>
          <w:numId w:val="1"/>
        </w:numPr>
        <w:spacing w:line="360" w:lineRule="auto"/>
        <w:ind w:left="0" w:leftChars="0" w:firstLine="0" w:firstLineChars="0"/>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卡拉瓦乔作品中的社会批判和道德意识</w:t>
      </w:r>
    </w:p>
    <w:p w14:paraId="02EDF420">
      <w:pPr>
        <w:numPr>
          <w:ilvl w:val="0"/>
          <w:numId w:val="0"/>
        </w:numPr>
        <w:spacing w:line="360" w:lineRule="auto"/>
        <w:ind w:leftChars="0" w:firstLine="480" w:firstLineChars="20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卡拉瓦乔主张要真实的表现当下的时代特征</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在他后期的作品中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底层民众占据了他画面的主体地位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他的作品中常出现社会底层人民的真实困苦的生活情形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他没有回避这些社会中的黑暗与不堪</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选择将他们展现在大众面前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这和当时大部分的艺术作品所呈现出的社会理想化形象截然相反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也体现了卡拉瓦乔对于社会的批判意识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在他创作的中后期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他的作品多以宗教画为主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与文艺复兴时期大多数宗教画不同之处在于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卡拉瓦乔的宗教画作品中加入了贫民</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刽子手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流浪汉等形象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与宗教画本该具有神性</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难以接近的特点形成鲜明对比</w:t>
      </w:r>
      <w:r>
        <w:rPr>
          <w:rFonts w:hint="eastAsia" w:ascii="宋体" w:hAnsi="宋体" w:eastAsia="宋体" w:cs="宋体"/>
          <w:sz w:val="24"/>
          <w:szCs w:val="24"/>
          <w:lang w:eastAsia="zh-Hans"/>
        </w:rPr>
        <w:t>。</w:t>
      </w:r>
    </w:p>
    <w:p w14:paraId="6C5C3679">
      <w:pPr>
        <w:numPr>
          <w:ilvl w:val="0"/>
          <w:numId w:val="0"/>
        </w:numPr>
        <w:spacing w:line="360" w:lineRule="auto"/>
        <w:ind w:leftChars="0" w:firstLine="480" w:firstLineChars="200"/>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圣母之死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这幅被誉为卡拉瓦乔最大的杰作之一的画作为例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这幅画虽以“圣母”为名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但他将场景设在了市井生活的场景之中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周围的人物形象都是普通的市民形象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同时</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画中的“圣母”并非传统宗教画中圣母玛利亚神圣</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高贵的形象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而是衣着普通</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头发散乱</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四肢有些肿胀</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打破了人们的刻板印象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画作通过这样的描述表现出神与人之间并不有着鲜明的界限</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以普通市民对于圣母之死的哀伤表现了神性与人性之间的联系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且更加强调了人本身</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批判了社会对于神的过度推崇</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再者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相比于卡拉瓦乔其他运用鲜明明暗对比的画作，这幅画的明暗对比相较之下比较柔和</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使宗教色彩更加浓重</w:t>
      </w:r>
      <w:r>
        <w:rPr>
          <w:rFonts w:hint="eastAsia" w:ascii="宋体" w:hAnsi="宋体" w:eastAsia="宋体" w:cs="宋体"/>
          <w:sz w:val="24"/>
          <w:szCs w:val="24"/>
          <w:vertAlign w:val="superscript"/>
          <w:lang w:val="en-US" w:eastAsia="zh-Hans"/>
        </w:rPr>
        <w:fldChar w:fldCharType="begin"/>
      </w:r>
      <w:r>
        <w:rPr>
          <w:rFonts w:hint="eastAsia" w:ascii="宋体" w:hAnsi="宋体" w:eastAsia="宋体" w:cs="宋体"/>
          <w:sz w:val="24"/>
          <w:szCs w:val="24"/>
          <w:vertAlign w:val="superscript"/>
          <w:lang w:val="en-US" w:eastAsia="zh-Hans"/>
        </w:rPr>
        <w:instrText xml:space="preserve"> REF _Ref754598315 \r \h </w:instrText>
      </w:r>
      <w:r>
        <w:rPr>
          <w:rFonts w:hint="eastAsia" w:ascii="宋体" w:hAnsi="宋体" w:eastAsia="宋体" w:cs="宋体"/>
          <w:sz w:val="24"/>
          <w:szCs w:val="24"/>
          <w:vertAlign w:val="superscript"/>
          <w:lang w:val="en-US" w:eastAsia="zh-Hans"/>
        </w:rPr>
        <w:fldChar w:fldCharType="separate"/>
      </w:r>
      <w:r>
        <w:rPr>
          <w:rFonts w:hint="eastAsia" w:ascii="宋体" w:hAnsi="宋体" w:eastAsia="宋体" w:cs="宋体"/>
          <w:sz w:val="24"/>
          <w:szCs w:val="24"/>
          <w:vertAlign w:val="superscript"/>
          <w:lang w:val="en-US" w:eastAsia="zh-Hans"/>
        </w:rPr>
        <w:t>[2]</w:t>
      </w:r>
      <w:r>
        <w:rPr>
          <w:rFonts w:hint="eastAsia" w:ascii="宋体" w:hAnsi="宋体" w:eastAsia="宋体" w:cs="宋体"/>
          <w:sz w:val="24"/>
          <w:szCs w:val="24"/>
          <w:vertAlign w:val="superscript"/>
          <w:lang w:val="en-US" w:eastAsia="zh-Hans"/>
        </w:rPr>
        <w:fldChar w:fldCharType="end"/>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他以圣母死在较为破败的环境中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周围的人与神相处一室</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揭露了社会底层人民生活的苦难和挣扎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也进一步了引发了观者对于宗教信仰和过度推崇的思考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卡拉瓦乔这样的画作形式十分具有创新性</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不仅打破了宗教题材艺术作品固有的表现方式与内容</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更将艺术与现实生活紧密地联系在一起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让艺术不仅为贵族服务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也让底层民众加入进来</w:t>
      </w:r>
      <w:r>
        <w:rPr>
          <w:rFonts w:hint="eastAsia" w:ascii="宋体" w:hAnsi="宋体" w:eastAsia="宋体" w:cs="宋体"/>
          <w:sz w:val="24"/>
          <w:szCs w:val="24"/>
          <w:lang w:eastAsia="zh-Hans"/>
        </w:rPr>
        <w:t>。</w:t>
      </w:r>
    </w:p>
    <w:p w14:paraId="23335319">
      <w:pPr>
        <w:numPr>
          <w:ilvl w:val="0"/>
          <w:numId w:val="0"/>
        </w:numPr>
        <w:spacing w:line="360" w:lineRule="auto"/>
        <w:ind w:leftChars="0"/>
        <w:rPr>
          <w:rFonts w:hint="eastAsia" w:ascii="宋体" w:hAnsi="宋体" w:eastAsia="宋体" w:cs="宋体"/>
          <w:sz w:val="24"/>
          <w:szCs w:val="24"/>
          <w:lang w:eastAsia="zh-Hans"/>
        </w:rPr>
      </w:pPr>
      <w:r>
        <w:rPr>
          <w:rFonts w:hint="eastAsia" w:ascii="宋体" w:hAnsi="宋体" w:eastAsia="宋体" w:cs="宋体"/>
          <w:sz w:val="24"/>
          <w:szCs w:val="24"/>
          <w:lang w:eastAsia="zh-Hans"/>
        </w:rPr>
        <w:drawing>
          <wp:inline distT="0" distB="0" distL="114300" distR="114300">
            <wp:extent cx="3858260" cy="5633720"/>
            <wp:effectExtent l="0" t="0" r="2540" b="5080"/>
            <wp:docPr id="3" name="图片 3" descr="d53f8794a4c27d1e7cd916c917d5ad6eddc43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53f8794a4c27d1e7cd916c917d5ad6eddc4383b"/>
                    <pic:cNvPicPr>
                      <a:picLocks noChangeAspect="1"/>
                    </pic:cNvPicPr>
                  </pic:nvPicPr>
                  <pic:blipFill>
                    <a:blip r:embed="rId6"/>
                    <a:stretch>
                      <a:fillRect/>
                    </a:stretch>
                  </pic:blipFill>
                  <pic:spPr>
                    <a:xfrm>
                      <a:off x="0" y="0"/>
                      <a:ext cx="3858260" cy="5633720"/>
                    </a:xfrm>
                    <a:prstGeom prst="rect">
                      <a:avLst/>
                    </a:prstGeom>
                  </pic:spPr>
                </pic:pic>
              </a:graphicData>
            </a:graphic>
          </wp:inline>
        </w:drawing>
      </w:r>
    </w:p>
    <w:p w14:paraId="183985F4">
      <w:pPr>
        <w:numPr>
          <w:ilvl w:val="0"/>
          <w:numId w:val="0"/>
        </w:numPr>
        <w:spacing w:line="360" w:lineRule="auto"/>
        <w:ind w:leftChars="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卡拉瓦乔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圣母之死</w:t>
      </w:r>
      <w:r>
        <w:rPr>
          <w:rFonts w:hint="eastAsia" w:ascii="宋体" w:hAnsi="宋体" w:eastAsia="宋体" w:cs="宋体"/>
          <w:sz w:val="24"/>
          <w:szCs w:val="24"/>
          <w:lang w:eastAsia="zh-Hans"/>
        </w:rPr>
        <w:t>》</w:t>
      </w:r>
    </w:p>
    <w:p w14:paraId="32BC4E81">
      <w:pPr>
        <w:numPr>
          <w:ilvl w:val="0"/>
          <w:numId w:val="0"/>
        </w:numPr>
        <w:spacing w:line="360" w:lineRule="auto"/>
        <w:ind w:leftChars="0"/>
        <w:rPr>
          <w:rFonts w:hint="eastAsia" w:ascii="宋体" w:hAnsi="宋体" w:eastAsia="宋体" w:cs="宋体"/>
          <w:sz w:val="24"/>
          <w:szCs w:val="24"/>
          <w:lang w:val="en-US" w:eastAsia="zh-Hans"/>
        </w:rPr>
      </w:pPr>
      <w:r>
        <w:rPr>
          <w:rFonts w:hint="eastAsia" w:ascii="宋体" w:hAnsi="宋体" w:eastAsia="宋体" w:cs="宋体"/>
          <w:sz w:val="24"/>
          <w:szCs w:val="24"/>
          <w:lang w:eastAsia="zh-Hans"/>
        </w:rPr>
        <w:t>1605</w:t>
      </w:r>
      <w:r>
        <w:rPr>
          <w:rFonts w:hint="eastAsia" w:ascii="宋体" w:hAnsi="宋体" w:eastAsia="宋体" w:cs="宋体"/>
          <w:sz w:val="24"/>
          <w:szCs w:val="24"/>
          <w:lang w:val="en-US" w:eastAsia="zh-Hans"/>
        </w:rPr>
        <w:t>年</w:t>
      </w:r>
      <w:r>
        <w:rPr>
          <w:rFonts w:hint="eastAsia" w:ascii="宋体" w:hAnsi="宋体" w:eastAsia="宋体" w:cs="宋体"/>
          <w:sz w:val="24"/>
          <w:szCs w:val="24"/>
          <w:lang w:eastAsia="zh-Hans"/>
        </w:rPr>
        <w:t xml:space="preserve"> 369</w:t>
      </w:r>
      <w:r>
        <w:rPr>
          <w:rFonts w:hint="default" w:ascii="Times New Roman Regular" w:hAnsi="Times New Roman Regular" w:eastAsia="宋体" w:cs="Times New Roman Regular"/>
          <w:sz w:val="24"/>
          <w:szCs w:val="24"/>
          <w:lang w:val="en-US" w:eastAsia="zh-Hans"/>
        </w:rPr>
        <w:t>cm</w:t>
      </w:r>
      <w:r>
        <w:rPr>
          <w:rFonts w:hint="eastAsia" w:ascii="宋体" w:hAnsi="宋体" w:eastAsia="宋体" w:cs="宋体"/>
          <w:sz w:val="24"/>
          <w:szCs w:val="24"/>
          <w:lang w:eastAsia="zh-Hans"/>
        </w:rPr>
        <w:t>*245</w:t>
      </w:r>
      <w:r>
        <w:rPr>
          <w:rFonts w:hint="default" w:ascii="Times New Roman Regular" w:hAnsi="Times New Roman Regular" w:eastAsia="宋体" w:cs="Times New Roman Regular"/>
          <w:sz w:val="24"/>
          <w:szCs w:val="24"/>
          <w:lang w:val="en-US" w:eastAsia="zh-Hans"/>
        </w:rPr>
        <w:t>cm</w:t>
      </w:r>
    </w:p>
    <w:p w14:paraId="43F6E917">
      <w:pPr>
        <w:numPr>
          <w:ilvl w:val="0"/>
          <w:numId w:val="1"/>
        </w:numPr>
        <w:spacing w:line="360" w:lineRule="auto"/>
        <w:ind w:left="0" w:leftChars="0" w:firstLine="0" w:firstLineChars="0"/>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卡拉瓦乔对于后世艺术的影响</w:t>
      </w:r>
    </w:p>
    <w:p w14:paraId="0E8B1DCC">
      <w:pPr>
        <w:numPr>
          <w:ilvl w:val="0"/>
          <w:numId w:val="0"/>
        </w:numPr>
        <w:spacing w:line="360" w:lineRule="auto"/>
        <w:ind w:leftChars="0" w:firstLine="480" w:firstLineChars="20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卡拉瓦乔的作品对后期巴洛克风格的形成有着重要的影响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巴洛克风格打破了理性的宁静和谐</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具有浓郁的浪漫主义色彩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同时极力强调运动和作品中的空间感和立体感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卡拉瓦乔的作品正是以鲜明的明暗对比和戏剧性的构图方式著称</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使得画面更具有立体感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因此卡拉瓦乔一直被认为是巴洛克风格的开创者之一</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并形成了“卡拉瓦乔主义”</w:t>
      </w:r>
      <w:r>
        <w:rPr>
          <w:rFonts w:hint="eastAsia" w:ascii="宋体" w:hAnsi="宋体" w:eastAsia="宋体" w:cs="宋体"/>
          <w:sz w:val="24"/>
          <w:szCs w:val="24"/>
          <w:lang w:eastAsia="zh-Hans"/>
        </w:rPr>
        <w:t>。</w:t>
      </w:r>
    </w:p>
    <w:p w14:paraId="116E6F28">
      <w:pPr>
        <w:numPr>
          <w:ilvl w:val="0"/>
          <w:numId w:val="0"/>
        </w:numPr>
        <w:spacing w:line="360" w:lineRule="auto"/>
        <w:ind w:leftChars="0" w:firstLine="480" w:firstLineChars="20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同时</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卡拉瓦乔作品独特的风格与绘画技巧也一直被后世的画家借鉴</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如伦勃朗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鲁本斯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里贝拉等人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这些画家在借鉴卡拉瓦乔光影表达的基础上加入了自己的个人风格</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他们共同将</w:t>
      </w:r>
      <w:r>
        <w:rPr>
          <w:rFonts w:hint="eastAsia" w:ascii="宋体" w:hAnsi="宋体" w:eastAsia="宋体" w:cs="宋体"/>
          <w:sz w:val="24"/>
          <w:szCs w:val="24"/>
          <w:lang w:eastAsia="zh-Hans"/>
        </w:rPr>
        <w:t>17</w:t>
      </w:r>
      <w:r>
        <w:rPr>
          <w:rFonts w:hint="eastAsia" w:ascii="宋体" w:hAnsi="宋体" w:eastAsia="宋体" w:cs="宋体"/>
          <w:sz w:val="24"/>
          <w:szCs w:val="24"/>
          <w:lang w:val="en-US" w:eastAsia="zh-Hans"/>
        </w:rPr>
        <w:t>世纪现实主义绘画推向了更高峰</w:t>
      </w:r>
      <w:r>
        <w:rPr>
          <w:rFonts w:hint="eastAsia" w:ascii="宋体" w:hAnsi="宋体" w:eastAsia="宋体" w:cs="宋体"/>
          <w:sz w:val="24"/>
          <w:szCs w:val="24"/>
          <w:lang w:eastAsia="zh-Hans"/>
        </w:rPr>
        <w:t>。</w:t>
      </w:r>
    </w:p>
    <w:p w14:paraId="11522A73">
      <w:pPr>
        <w:numPr>
          <w:ilvl w:val="0"/>
          <w:numId w:val="1"/>
        </w:numPr>
        <w:spacing w:line="360" w:lineRule="auto"/>
        <w:ind w:left="0" w:leftChars="0" w:firstLine="0" w:firstLineChars="0"/>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结论</w:t>
      </w:r>
    </w:p>
    <w:p w14:paraId="363678CB">
      <w:pPr>
        <w:numPr>
          <w:ilvl w:val="0"/>
          <w:numId w:val="0"/>
        </w:numPr>
        <w:spacing w:line="360" w:lineRule="auto"/>
        <w:ind w:leftChars="0" w:firstLine="480" w:firstLineChars="20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通过对于卡拉瓦乔作品的分析</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我们可以看出他的作品十分关注人本身</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聚焦于真实生活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敢于揭示现实的不堪</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他的现实主义画风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对于光影的独特运用以及他在画作中表现的对于社会的批判共同形成了“卡拉瓦乔主义”</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这不仅在当时有着极大的反响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也对于后世巴洛克艺术风格的形成有着重大影响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卡拉瓦乔可以算得上是文艺复兴时期艺术领域的先锋与创新者</w:t>
      </w:r>
      <w:r>
        <w:rPr>
          <w:rFonts w:hint="eastAsia" w:ascii="宋体" w:hAnsi="宋体" w:eastAsia="宋体" w:cs="宋体"/>
          <w:sz w:val="24"/>
          <w:szCs w:val="24"/>
          <w:lang w:eastAsia="zh-Hans"/>
        </w:rPr>
        <w:t>。</w:t>
      </w:r>
    </w:p>
    <w:p w14:paraId="3A71CBC4">
      <w:pPr>
        <w:numPr>
          <w:ilvl w:val="0"/>
          <w:numId w:val="1"/>
        </w:numPr>
        <w:spacing w:line="360" w:lineRule="auto"/>
        <w:ind w:left="0" w:leftChars="0" w:firstLine="0" w:firstLineChars="0"/>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参考文献</w:t>
      </w:r>
    </w:p>
    <w:p w14:paraId="4D641D48">
      <w:pPr>
        <w:keepNext w:val="0"/>
        <w:keepLines w:val="0"/>
        <w:pageBreakBefore w:val="0"/>
        <w:widowControl w:val="0"/>
        <w:numPr>
          <w:ilvl w:val="0"/>
          <w:numId w:val="2"/>
        </w:numPr>
        <w:kinsoku/>
        <w:wordWrap w:val="0"/>
        <w:overflowPunct/>
        <w:topLinePunct w:val="0"/>
        <w:autoSpaceDE w:val="0"/>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Hans"/>
        </w:rPr>
      </w:pPr>
      <w:bookmarkStart w:id="0" w:name="_Ref755976489"/>
      <w:r>
        <w:rPr>
          <w:rFonts w:hint="eastAsia" w:ascii="宋体" w:hAnsi="宋体" w:eastAsia="宋体" w:cs="宋体"/>
          <w:sz w:val="24"/>
          <w:szCs w:val="24"/>
          <w:lang w:val="en-US" w:eastAsia="zh-Hans"/>
        </w:rPr>
        <w:t>牛佳佳.论卡拉瓦乔油画中光影的探究与实践[</w:t>
      </w:r>
      <w:r>
        <w:rPr>
          <w:rFonts w:hint="default" w:ascii="Times New Roman Regular" w:hAnsi="Times New Roman Regular" w:eastAsia="宋体" w:cs="Times New Roman Regular"/>
          <w:sz w:val="24"/>
          <w:szCs w:val="24"/>
          <w:lang w:val="en-US" w:eastAsia="zh-Hans"/>
        </w:rPr>
        <w:t>D</w:t>
      </w:r>
      <w:r>
        <w:rPr>
          <w:rFonts w:hint="eastAsia" w:ascii="宋体" w:hAnsi="宋体" w:eastAsia="宋体" w:cs="宋体"/>
          <w:sz w:val="24"/>
          <w:szCs w:val="24"/>
          <w:lang w:val="en-US" w:eastAsia="zh-Hans"/>
        </w:rPr>
        <w:t>].河北经贸大学,2024.</w:t>
      </w:r>
      <w:r>
        <w:rPr>
          <w:rFonts w:hint="default" w:ascii="Times New Roman Regular" w:hAnsi="Times New Roman Regular" w:eastAsia="宋体" w:cs="Times New Roman Regular"/>
          <w:sz w:val="24"/>
          <w:szCs w:val="24"/>
          <w:lang w:val="en-US" w:eastAsia="zh-Hans"/>
        </w:rPr>
        <w:t>DOI</w:t>
      </w:r>
      <w:r>
        <w:rPr>
          <w:rFonts w:hint="eastAsia" w:ascii="宋体" w:hAnsi="宋体" w:eastAsia="宋体" w:cs="宋体"/>
          <w:sz w:val="24"/>
          <w:szCs w:val="24"/>
          <w:lang w:val="en-US" w:eastAsia="zh-Hans"/>
        </w:rPr>
        <w:t>:10.27106/</w:t>
      </w:r>
      <w:r>
        <w:rPr>
          <w:rFonts w:hint="default" w:ascii="Times New Roman Regular" w:hAnsi="Times New Roman Regular" w:eastAsia="宋体" w:cs="Times New Roman Regular"/>
          <w:sz w:val="24"/>
          <w:szCs w:val="24"/>
          <w:lang w:val="en-US" w:eastAsia="zh-Hans"/>
        </w:rPr>
        <w:t>d.cnki.ghbju</w:t>
      </w:r>
      <w:r>
        <w:rPr>
          <w:rFonts w:hint="eastAsia" w:ascii="宋体" w:hAnsi="宋体" w:eastAsia="宋体" w:cs="宋体"/>
          <w:sz w:val="24"/>
          <w:szCs w:val="24"/>
          <w:lang w:val="en-US" w:eastAsia="zh-Hans"/>
        </w:rPr>
        <w:t>.2024.000268.</w:t>
      </w:r>
      <w:bookmarkEnd w:id="0"/>
    </w:p>
    <w:p w14:paraId="1459EAD2">
      <w:pPr>
        <w:keepNext w:val="0"/>
        <w:keepLines w:val="0"/>
        <w:pageBreakBefore w:val="0"/>
        <w:widowControl w:val="0"/>
        <w:numPr>
          <w:ilvl w:val="0"/>
          <w:numId w:val="2"/>
        </w:numPr>
        <w:kinsoku/>
        <w:wordWrap w:val="0"/>
        <w:overflowPunct/>
        <w:topLinePunct w:val="0"/>
        <w:autoSpaceDE w:val="0"/>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Hans"/>
        </w:rPr>
      </w:pPr>
      <w:bookmarkStart w:id="1" w:name="_Ref754598315"/>
      <w:r>
        <w:rPr>
          <w:rFonts w:hint="eastAsia" w:ascii="宋体" w:hAnsi="宋体" w:eastAsia="宋体" w:cs="宋体"/>
          <w:sz w:val="24"/>
          <w:szCs w:val="24"/>
          <w:lang w:val="en-US" w:eastAsia="zh-Hans"/>
        </w:rPr>
        <w:t>洪利标,王天琪.卡拉瓦乔绘画的艺术风格探析[</w:t>
      </w:r>
      <w:r>
        <w:rPr>
          <w:rFonts w:hint="default" w:ascii="Times New Roman Regular" w:hAnsi="Times New Roman Regular" w:eastAsia="宋体" w:cs="Times New Roman Regular"/>
          <w:sz w:val="24"/>
          <w:szCs w:val="24"/>
          <w:lang w:val="en-US" w:eastAsia="zh-Hans"/>
        </w:rPr>
        <w:t>J</w:t>
      </w:r>
      <w:r>
        <w:rPr>
          <w:rFonts w:hint="eastAsia" w:ascii="宋体" w:hAnsi="宋体" w:eastAsia="宋体" w:cs="宋体"/>
          <w:sz w:val="24"/>
          <w:szCs w:val="24"/>
          <w:lang w:val="en-US" w:eastAsia="zh-Hans"/>
        </w:rPr>
        <w:t>].美术文献,2018,(12):17-18.</w:t>
      </w:r>
      <w:r>
        <w:rPr>
          <w:rFonts w:hint="default" w:ascii="Times New Roman Regular" w:hAnsi="Times New Roman Regular" w:eastAsia="宋体" w:cs="Times New Roman Regular"/>
          <w:sz w:val="24"/>
          <w:szCs w:val="24"/>
          <w:lang w:val="en-US" w:eastAsia="zh-Hans"/>
        </w:rPr>
        <w:t>DOI:</w:t>
      </w:r>
      <w:r>
        <w:rPr>
          <w:rFonts w:hint="eastAsia" w:ascii="宋体" w:hAnsi="宋体" w:eastAsia="宋体" w:cs="宋体"/>
          <w:sz w:val="24"/>
          <w:szCs w:val="24"/>
          <w:lang w:val="en-US" w:eastAsia="zh-Hans"/>
        </w:rPr>
        <w:t>10.16585/</w:t>
      </w:r>
      <w:r>
        <w:rPr>
          <w:rFonts w:hint="default" w:ascii="Times New Roman Regular" w:hAnsi="Times New Roman Regular" w:eastAsia="宋体" w:cs="Times New Roman Regular"/>
          <w:sz w:val="24"/>
          <w:szCs w:val="24"/>
          <w:lang w:val="en-US" w:eastAsia="zh-Hans"/>
        </w:rPr>
        <w:t>j.cnki.mswx</w:t>
      </w:r>
      <w:r>
        <w:rPr>
          <w:rFonts w:hint="eastAsia" w:ascii="宋体" w:hAnsi="宋体" w:eastAsia="宋体" w:cs="宋体"/>
          <w:sz w:val="24"/>
          <w:szCs w:val="24"/>
          <w:lang w:val="en-US" w:eastAsia="zh-Hans"/>
        </w:rPr>
        <w:t>.2018.12.004.</w:t>
      </w:r>
      <w:bookmarkEnd w:id="1"/>
    </w:p>
    <w:p w14:paraId="25B61855">
      <w:pPr>
        <w:keepNext w:val="0"/>
        <w:keepLines w:val="0"/>
        <w:pageBreakBefore w:val="0"/>
        <w:widowControl w:val="0"/>
        <w:numPr>
          <w:ilvl w:val="0"/>
          <w:numId w:val="0"/>
        </w:numPr>
        <w:kinsoku/>
        <w:wordWrap w:val="0"/>
        <w:overflowPunct/>
        <w:topLinePunct w:val="0"/>
        <w:autoSpaceDE w:val="0"/>
        <w:autoSpaceDN/>
        <w:bidi w:val="0"/>
        <w:adjustRightInd/>
        <w:snapToGrid/>
        <w:spacing w:line="360" w:lineRule="auto"/>
        <w:ind w:leftChars="0" w:firstLineChars="0"/>
        <w:textAlignment w:val="auto"/>
        <w:rPr>
          <w:rFonts w:hint="eastAsia" w:ascii="宋体" w:hAnsi="宋体" w:eastAsia="宋体" w:cs="宋体"/>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2020603050405020304"/>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FE7A34"/>
    <w:multiLevelType w:val="singleLevel"/>
    <w:tmpl w:val="CFFE7A34"/>
    <w:lvl w:ilvl="0" w:tentative="0">
      <w:start w:val="1"/>
      <w:numFmt w:val="decimal"/>
      <w:lvlText w:val="[%1]"/>
      <w:lvlJc w:val="left"/>
      <w:pPr>
        <w:tabs>
          <w:tab w:val="left" w:pos="420"/>
        </w:tabs>
        <w:ind w:left="425" w:leftChars="0" w:hanging="425" w:firstLineChars="0"/>
      </w:pPr>
      <w:rPr>
        <w:rFonts w:hint="default"/>
      </w:rPr>
    </w:lvl>
  </w:abstractNum>
  <w:abstractNum w:abstractNumId="1">
    <w:nsid w:val="DFAE065B"/>
    <w:multiLevelType w:val="singleLevel"/>
    <w:tmpl w:val="DFAE065B"/>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BFBD54"/>
    <w:rsid w:val="1E28458F"/>
    <w:rsid w:val="37BBBF39"/>
    <w:rsid w:val="42F19A07"/>
    <w:rsid w:val="437CA31B"/>
    <w:rsid w:val="4727584E"/>
    <w:rsid w:val="5B3B870C"/>
    <w:rsid w:val="5DFB9579"/>
    <w:rsid w:val="5FED6E9A"/>
    <w:rsid w:val="6BDF9AE2"/>
    <w:rsid w:val="6DFE6B7A"/>
    <w:rsid w:val="753FB0A8"/>
    <w:rsid w:val="772FE7CF"/>
    <w:rsid w:val="7F3FFB8D"/>
    <w:rsid w:val="7F95F21F"/>
    <w:rsid w:val="7FFEC278"/>
    <w:rsid w:val="7FFFF6A7"/>
    <w:rsid w:val="8CFF8DA2"/>
    <w:rsid w:val="9BE89BD8"/>
    <w:rsid w:val="9FF6DB16"/>
    <w:rsid w:val="B3EB7B15"/>
    <w:rsid w:val="BFFFA98D"/>
    <w:rsid w:val="D6CFA8D7"/>
    <w:rsid w:val="D7FBEC3D"/>
    <w:rsid w:val="DEF7861C"/>
    <w:rsid w:val="EFD5B0DD"/>
    <w:rsid w:val="F7FF470C"/>
    <w:rsid w:val="FCBFBD54"/>
    <w:rsid w:val="FF7FEFFD"/>
    <w:rsid w:val="FFFFA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2579</Words>
  <Characters>2729</Characters>
  <Lines>0</Lines>
  <Paragraphs>0</Paragraphs>
  <TotalTime>7</TotalTime>
  <ScaleCrop>false</ScaleCrop>
  <LinksUpToDate>false</LinksUpToDate>
  <CharactersWithSpaces>2735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2024-12-23T12:12:00Z</dcterms:created>
  <dc:creator/>
  <dcterms:modified xsi:type="dcterms:W3CDTF">2025-02-10T03:22:02Z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911D0282E94E4959B075F7D436701F6E_13</vt:lpwstr>
  </property>
  <property fmtid="{D5CDD505-2E9C-101B-9397-08002B2CF9AE}" pid="4" name="KSOTemplateDocerSaveRecord">
    <vt:lpwstr>eyJoZGlkIjoiMDY5ODE2NTgzNTc3MWM0ZGFkYWQ0YTA0ODI1ZDllN2QiLCJ1c2VySWQiOiIyMjQ4MzEwNzcifQ==</vt:lpwstr>
  </property>
</Properties>
</file>