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565683">
      <w:pPr>
        <w:jc w:val="center"/>
        <w:rPr>
          <w:rFonts w:hint="eastAsia"/>
          <w:b/>
          <w:sz w:val="28"/>
          <w:szCs w:val="28"/>
        </w:rPr>
      </w:pPr>
      <w:r>
        <w:rPr>
          <w:rFonts w:hint="eastAsia"/>
          <w:b/>
          <w:sz w:val="28"/>
          <w:szCs w:val="28"/>
        </w:rPr>
        <w:t>“</w:t>
      </w:r>
      <w:r>
        <w:rPr>
          <w:rFonts w:hint="eastAsia"/>
          <w:b/>
          <w:sz w:val="28"/>
          <w:szCs w:val="28"/>
          <w:lang w:val="en-US" w:eastAsia="zh-CN"/>
        </w:rPr>
        <w:t>中国近现代史纲要</w:t>
      </w:r>
      <w:r>
        <w:rPr>
          <w:rFonts w:hint="eastAsia"/>
          <w:b/>
          <w:sz w:val="28"/>
          <w:szCs w:val="28"/>
        </w:rPr>
        <w:t>”课程论文</w:t>
      </w:r>
    </w:p>
    <w:tbl>
      <w:tblPr>
        <w:tblStyle w:val="2"/>
        <w:tblW w:w="90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1038"/>
        <w:gridCol w:w="238"/>
        <w:gridCol w:w="1165"/>
        <w:gridCol w:w="860"/>
        <w:gridCol w:w="379"/>
        <w:gridCol w:w="1423"/>
        <w:gridCol w:w="461"/>
        <w:gridCol w:w="2263"/>
      </w:tblGrid>
      <w:tr w14:paraId="5E07A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1224" w:type="dxa"/>
            <w:tcBorders>
              <w:top w:val="single" w:color="auto" w:sz="4" w:space="0"/>
              <w:left w:val="single" w:color="auto" w:sz="4" w:space="0"/>
              <w:bottom w:val="single" w:color="auto" w:sz="4" w:space="0"/>
              <w:right w:val="single" w:color="auto" w:sz="4" w:space="0"/>
            </w:tcBorders>
            <w:vAlign w:val="center"/>
          </w:tcPr>
          <w:p w14:paraId="1441AC78">
            <w:pPr>
              <w:jc w:val="center"/>
              <w:rPr>
                <w:rFonts w:hint="eastAsia" w:ascii="仿宋" w:hAnsi="仿宋" w:eastAsia="仿宋"/>
                <w:b/>
                <w:sz w:val="24"/>
                <w:szCs w:val="24"/>
              </w:rPr>
            </w:pPr>
            <w:r>
              <w:rPr>
                <w:rFonts w:hint="eastAsia" w:ascii="仿宋" w:hAnsi="仿宋" w:eastAsia="仿宋"/>
                <w:b/>
                <w:sz w:val="24"/>
                <w:szCs w:val="24"/>
              </w:rPr>
              <w:t>姓 名</w:t>
            </w:r>
          </w:p>
        </w:tc>
        <w:tc>
          <w:tcPr>
            <w:tcW w:w="1276" w:type="dxa"/>
            <w:gridSpan w:val="2"/>
            <w:tcBorders>
              <w:top w:val="single" w:color="auto" w:sz="4" w:space="0"/>
              <w:left w:val="single" w:color="auto" w:sz="4" w:space="0"/>
              <w:bottom w:val="single" w:color="auto" w:sz="4" w:space="0"/>
              <w:right w:val="single" w:color="auto" w:sz="4" w:space="0"/>
            </w:tcBorders>
            <w:vAlign w:val="center"/>
          </w:tcPr>
          <w:p w14:paraId="36823902">
            <w:pPr>
              <w:jc w:val="center"/>
              <w:rPr>
                <w:rFonts w:hint="eastAsia" w:ascii="仿宋" w:hAnsi="仿宋" w:eastAsia="仿宋"/>
                <w:b/>
                <w:sz w:val="24"/>
                <w:szCs w:val="24"/>
              </w:rPr>
            </w:pPr>
          </w:p>
        </w:tc>
        <w:tc>
          <w:tcPr>
            <w:tcW w:w="1165" w:type="dxa"/>
            <w:tcBorders>
              <w:top w:val="single" w:color="auto" w:sz="4" w:space="0"/>
              <w:left w:val="single" w:color="auto" w:sz="4" w:space="0"/>
              <w:bottom w:val="single" w:color="auto" w:sz="4" w:space="0"/>
              <w:right w:val="single" w:color="auto" w:sz="4" w:space="0"/>
            </w:tcBorders>
            <w:vAlign w:val="center"/>
          </w:tcPr>
          <w:p w14:paraId="3CD1CB28">
            <w:pPr>
              <w:jc w:val="center"/>
              <w:rPr>
                <w:rFonts w:hint="eastAsia" w:ascii="仿宋" w:hAnsi="仿宋" w:eastAsia="仿宋"/>
                <w:b/>
                <w:sz w:val="24"/>
                <w:szCs w:val="24"/>
              </w:rPr>
            </w:pPr>
            <w:r>
              <w:rPr>
                <w:rFonts w:hint="eastAsia" w:ascii="仿宋" w:hAnsi="仿宋" w:eastAsia="仿宋"/>
                <w:b/>
                <w:sz w:val="24"/>
                <w:szCs w:val="24"/>
              </w:rPr>
              <w:t>学 号</w:t>
            </w:r>
          </w:p>
        </w:tc>
        <w:tc>
          <w:tcPr>
            <w:tcW w:w="1239" w:type="dxa"/>
            <w:gridSpan w:val="2"/>
            <w:tcBorders>
              <w:top w:val="single" w:color="auto" w:sz="4" w:space="0"/>
              <w:left w:val="single" w:color="auto" w:sz="4" w:space="0"/>
              <w:bottom w:val="single" w:color="auto" w:sz="4" w:space="0"/>
              <w:right w:val="single" w:color="auto" w:sz="4" w:space="0"/>
            </w:tcBorders>
            <w:vAlign w:val="center"/>
          </w:tcPr>
          <w:p w14:paraId="576B97AB">
            <w:pPr>
              <w:jc w:val="center"/>
              <w:rPr>
                <w:rFonts w:hint="eastAsia" w:ascii="仿宋" w:hAnsi="仿宋" w:eastAsia="仿宋"/>
                <w:b/>
                <w:sz w:val="24"/>
                <w:szCs w:val="24"/>
              </w:rPr>
            </w:pPr>
          </w:p>
        </w:tc>
        <w:tc>
          <w:tcPr>
            <w:tcW w:w="1423" w:type="dxa"/>
            <w:tcBorders>
              <w:top w:val="single" w:color="auto" w:sz="4" w:space="0"/>
              <w:left w:val="single" w:color="auto" w:sz="4" w:space="0"/>
              <w:bottom w:val="single" w:color="auto" w:sz="4" w:space="0"/>
              <w:right w:val="single" w:color="auto" w:sz="4" w:space="0"/>
            </w:tcBorders>
            <w:vAlign w:val="center"/>
          </w:tcPr>
          <w:p w14:paraId="55A668AA">
            <w:pPr>
              <w:jc w:val="center"/>
              <w:rPr>
                <w:rFonts w:hint="eastAsia" w:ascii="仿宋" w:hAnsi="仿宋" w:eastAsia="仿宋"/>
                <w:b/>
                <w:sz w:val="24"/>
                <w:szCs w:val="24"/>
              </w:rPr>
            </w:pPr>
            <w:r>
              <w:rPr>
                <w:rFonts w:hint="eastAsia" w:ascii="仿宋" w:hAnsi="仿宋" w:eastAsia="仿宋"/>
                <w:b/>
                <w:sz w:val="24"/>
                <w:szCs w:val="24"/>
              </w:rPr>
              <w:t>学院/专业</w:t>
            </w:r>
          </w:p>
        </w:tc>
        <w:tc>
          <w:tcPr>
            <w:tcW w:w="2724" w:type="dxa"/>
            <w:gridSpan w:val="2"/>
            <w:tcBorders>
              <w:top w:val="single" w:color="auto" w:sz="4" w:space="0"/>
              <w:left w:val="single" w:color="auto" w:sz="4" w:space="0"/>
              <w:bottom w:val="single" w:color="auto" w:sz="4" w:space="0"/>
              <w:right w:val="single" w:color="auto" w:sz="4" w:space="0"/>
            </w:tcBorders>
            <w:vAlign w:val="center"/>
          </w:tcPr>
          <w:p w14:paraId="6C0A3106">
            <w:pPr>
              <w:jc w:val="center"/>
              <w:rPr>
                <w:rFonts w:hint="eastAsia" w:ascii="仿宋" w:hAnsi="仿宋" w:eastAsia="仿宋"/>
                <w:b/>
                <w:sz w:val="24"/>
                <w:szCs w:val="24"/>
              </w:rPr>
            </w:pPr>
          </w:p>
        </w:tc>
      </w:tr>
      <w:tr w14:paraId="32EA9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1224" w:type="dxa"/>
            <w:vAlign w:val="center"/>
          </w:tcPr>
          <w:p w14:paraId="66F579BB">
            <w:pPr>
              <w:jc w:val="center"/>
              <w:rPr>
                <w:rFonts w:hint="eastAsia" w:ascii="仿宋" w:hAnsi="仿宋" w:eastAsia="仿宋"/>
                <w:b/>
                <w:sz w:val="24"/>
                <w:szCs w:val="24"/>
              </w:rPr>
            </w:pPr>
            <w:r>
              <w:rPr>
                <w:rFonts w:hint="eastAsia" w:ascii="仿宋" w:hAnsi="仿宋" w:eastAsia="仿宋"/>
                <w:b/>
                <w:sz w:val="24"/>
                <w:szCs w:val="24"/>
              </w:rPr>
              <w:t>班号</w:t>
            </w:r>
          </w:p>
        </w:tc>
        <w:tc>
          <w:tcPr>
            <w:tcW w:w="3680" w:type="dxa"/>
            <w:gridSpan w:val="5"/>
            <w:vAlign w:val="center"/>
          </w:tcPr>
          <w:p w14:paraId="724BE794">
            <w:pPr>
              <w:jc w:val="center"/>
              <w:rPr>
                <w:rFonts w:hint="eastAsia" w:ascii="仿宋" w:hAnsi="仿宋" w:eastAsia="仿宋"/>
                <w:b/>
                <w:sz w:val="24"/>
                <w:szCs w:val="24"/>
                <w:lang w:eastAsia="zh-CN"/>
              </w:rPr>
            </w:pPr>
          </w:p>
        </w:tc>
        <w:tc>
          <w:tcPr>
            <w:tcW w:w="1423" w:type="dxa"/>
            <w:vMerge w:val="restart"/>
            <w:vAlign w:val="center"/>
          </w:tcPr>
          <w:p w14:paraId="65000124">
            <w:pPr>
              <w:jc w:val="center"/>
              <w:rPr>
                <w:rFonts w:hint="eastAsia" w:ascii="仿宋" w:hAnsi="仿宋" w:eastAsia="仿宋"/>
                <w:b/>
                <w:sz w:val="24"/>
                <w:szCs w:val="24"/>
              </w:rPr>
            </w:pPr>
            <w:r>
              <w:rPr>
                <w:rFonts w:hint="eastAsia" w:ascii="仿宋" w:hAnsi="仿宋" w:eastAsia="仿宋"/>
                <w:b/>
                <w:sz w:val="24"/>
                <w:szCs w:val="24"/>
              </w:rPr>
              <w:t>教师姓名</w:t>
            </w:r>
          </w:p>
        </w:tc>
        <w:tc>
          <w:tcPr>
            <w:tcW w:w="2724" w:type="dxa"/>
            <w:gridSpan w:val="2"/>
            <w:vMerge w:val="restart"/>
            <w:vAlign w:val="center"/>
          </w:tcPr>
          <w:p w14:paraId="4C389CF7">
            <w:pPr>
              <w:jc w:val="center"/>
              <w:rPr>
                <w:rFonts w:hint="eastAsia" w:ascii="仿宋" w:hAnsi="仿宋" w:eastAsia="仿宋"/>
                <w:b/>
                <w:sz w:val="24"/>
                <w:szCs w:val="24"/>
              </w:rPr>
            </w:pPr>
          </w:p>
        </w:tc>
      </w:tr>
      <w:tr w14:paraId="78CF8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1224" w:type="dxa"/>
            <w:vAlign w:val="center"/>
          </w:tcPr>
          <w:p w14:paraId="6C9241DA">
            <w:pPr>
              <w:jc w:val="center"/>
              <w:rPr>
                <w:rFonts w:hint="eastAsia" w:ascii="仿宋" w:hAnsi="仿宋" w:eastAsia="仿宋"/>
                <w:b/>
                <w:sz w:val="24"/>
                <w:szCs w:val="24"/>
              </w:rPr>
            </w:pPr>
            <w:r>
              <w:rPr>
                <w:rFonts w:hint="eastAsia" w:ascii="仿宋" w:hAnsi="仿宋" w:eastAsia="仿宋"/>
                <w:b/>
                <w:sz w:val="24"/>
                <w:szCs w:val="24"/>
              </w:rPr>
              <w:t>上课时间</w:t>
            </w:r>
          </w:p>
        </w:tc>
        <w:tc>
          <w:tcPr>
            <w:tcW w:w="3680" w:type="dxa"/>
            <w:gridSpan w:val="5"/>
            <w:vAlign w:val="center"/>
          </w:tcPr>
          <w:p w14:paraId="41F54207">
            <w:pPr>
              <w:jc w:val="center"/>
              <w:rPr>
                <w:rFonts w:hint="eastAsia" w:ascii="仿宋" w:hAnsi="仿宋" w:eastAsia="仿宋"/>
                <w:b/>
                <w:sz w:val="24"/>
                <w:szCs w:val="24"/>
              </w:rPr>
            </w:pPr>
          </w:p>
        </w:tc>
        <w:tc>
          <w:tcPr>
            <w:tcW w:w="1423" w:type="dxa"/>
            <w:vMerge w:val="continue"/>
            <w:vAlign w:val="center"/>
          </w:tcPr>
          <w:p w14:paraId="78F2EDDE">
            <w:pPr>
              <w:jc w:val="center"/>
              <w:rPr>
                <w:rFonts w:hint="eastAsia" w:ascii="仿宋" w:hAnsi="仿宋" w:eastAsia="仿宋"/>
                <w:b/>
                <w:sz w:val="24"/>
                <w:szCs w:val="24"/>
              </w:rPr>
            </w:pPr>
          </w:p>
        </w:tc>
        <w:tc>
          <w:tcPr>
            <w:tcW w:w="2724" w:type="dxa"/>
            <w:gridSpan w:val="2"/>
            <w:vMerge w:val="continue"/>
            <w:vAlign w:val="center"/>
          </w:tcPr>
          <w:p w14:paraId="1A9C49FF">
            <w:pPr>
              <w:jc w:val="center"/>
              <w:rPr>
                <w:rFonts w:hint="eastAsia" w:ascii="仿宋" w:hAnsi="仿宋" w:eastAsia="仿宋"/>
                <w:b/>
                <w:sz w:val="24"/>
                <w:szCs w:val="24"/>
              </w:rPr>
            </w:pPr>
          </w:p>
        </w:tc>
      </w:tr>
      <w:tr w14:paraId="0F1DB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224" w:type="dxa"/>
            <w:vAlign w:val="center"/>
          </w:tcPr>
          <w:p w14:paraId="4CAC51C1">
            <w:pPr>
              <w:spacing w:line="276" w:lineRule="auto"/>
              <w:jc w:val="center"/>
              <w:rPr>
                <w:rFonts w:hint="eastAsia" w:ascii="仿宋" w:hAnsi="仿宋" w:eastAsia="仿宋"/>
                <w:b/>
                <w:sz w:val="24"/>
                <w:szCs w:val="24"/>
              </w:rPr>
            </w:pPr>
            <w:r>
              <w:rPr>
                <w:rFonts w:hint="eastAsia" w:ascii="仿宋" w:hAnsi="仿宋" w:eastAsia="仿宋"/>
                <w:b/>
                <w:sz w:val="24"/>
                <w:szCs w:val="24"/>
              </w:rPr>
              <w:t>课程</w:t>
            </w:r>
          </w:p>
          <w:p w14:paraId="09C92F0F">
            <w:pPr>
              <w:spacing w:line="276" w:lineRule="auto"/>
              <w:jc w:val="center"/>
              <w:rPr>
                <w:rFonts w:hint="eastAsia" w:ascii="仿宋" w:hAnsi="仿宋" w:eastAsia="仿宋"/>
                <w:sz w:val="24"/>
                <w:szCs w:val="24"/>
              </w:rPr>
            </w:pPr>
            <w:r>
              <w:rPr>
                <w:rFonts w:hint="eastAsia" w:ascii="仿宋" w:hAnsi="仿宋" w:eastAsia="仿宋"/>
                <w:b/>
                <w:sz w:val="24"/>
                <w:szCs w:val="24"/>
              </w:rPr>
              <w:t>论文要求</w:t>
            </w:r>
          </w:p>
        </w:tc>
        <w:tc>
          <w:tcPr>
            <w:tcW w:w="7827" w:type="dxa"/>
            <w:gridSpan w:val="8"/>
          </w:tcPr>
          <w:p w14:paraId="061F130B">
            <w:pPr>
              <w:spacing w:line="276"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1、结合</w:t>
            </w:r>
            <w:r>
              <w:rPr>
                <w:rFonts w:hint="eastAsia" w:ascii="Times New Roman" w:hAnsi="Times New Roman" w:eastAsia="仿宋" w:cs="Times New Roman"/>
                <w:sz w:val="24"/>
                <w:szCs w:val="24"/>
                <w:lang w:val="en-US" w:eastAsia="zh-CN"/>
              </w:rPr>
              <w:t>中国近现代史</w:t>
            </w:r>
            <w:r>
              <w:rPr>
                <w:rFonts w:ascii="Times New Roman" w:hAnsi="Times New Roman" w:eastAsia="仿宋" w:cs="Times New Roman"/>
                <w:sz w:val="24"/>
                <w:szCs w:val="24"/>
              </w:rPr>
              <w:t>，自拟标题，展开论述，</w:t>
            </w:r>
            <w:r>
              <w:rPr>
                <w:rFonts w:ascii="Times New Roman" w:hAnsi="Times New Roman" w:eastAsia="仿宋" w:cs="Times New Roman"/>
                <w:b/>
                <w:bCs/>
                <w:color w:val="FF0000"/>
                <w:sz w:val="24"/>
                <w:szCs w:val="24"/>
              </w:rPr>
              <w:t>诗歌、决心书、散文、口号等非论文形式的</w:t>
            </w:r>
            <w:r>
              <w:rPr>
                <w:rFonts w:ascii="Times New Roman" w:hAnsi="Times New Roman" w:eastAsia="仿宋" w:cs="Times New Roman"/>
                <w:sz w:val="24"/>
                <w:szCs w:val="24"/>
              </w:rPr>
              <w:t>，</w:t>
            </w:r>
            <w:r>
              <w:rPr>
                <w:rFonts w:hint="eastAsia" w:ascii="Times New Roman" w:hAnsi="Times New Roman" w:eastAsia="仿宋" w:cs="Times New Roman"/>
                <w:sz w:val="24"/>
                <w:szCs w:val="24"/>
              </w:rPr>
              <w:t>未结合所学知识的，</w:t>
            </w:r>
            <w:r>
              <w:rPr>
                <w:rFonts w:ascii="Times New Roman" w:hAnsi="Times New Roman" w:eastAsia="仿宋" w:cs="Times New Roman"/>
                <w:sz w:val="24"/>
                <w:szCs w:val="24"/>
              </w:rPr>
              <w:t>均扣除</w:t>
            </w:r>
            <w:r>
              <w:rPr>
                <w:rFonts w:hint="eastAsia" w:ascii="Times New Roman" w:hAnsi="Times New Roman" w:eastAsia="仿宋" w:cs="Times New Roman"/>
                <w:sz w:val="24"/>
                <w:szCs w:val="24"/>
              </w:rPr>
              <w:t>2</w:t>
            </w:r>
            <w:r>
              <w:rPr>
                <w:rFonts w:ascii="Times New Roman" w:hAnsi="Times New Roman" w:eastAsia="仿宋" w:cs="Times New Roman"/>
                <w:sz w:val="24"/>
                <w:szCs w:val="24"/>
              </w:rPr>
              <w:t>0分；（</w:t>
            </w:r>
            <w:r>
              <w:rPr>
                <w:rFonts w:hint="eastAsia" w:ascii="Times New Roman" w:hAnsi="Times New Roman" w:eastAsia="仿宋" w:cs="Times New Roman"/>
                <w:sz w:val="24"/>
                <w:szCs w:val="24"/>
              </w:rPr>
              <w:t>2</w:t>
            </w:r>
            <w:r>
              <w:rPr>
                <w:rFonts w:ascii="Times New Roman" w:hAnsi="Times New Roman" w:eastAsia="仿宋" w:cs="Times New Roman"/>
                <w:sz w:val="24"/>
                <w:szCs w:val="24"/>
              </w:rPr>
              <w:t>0分）</w:t>
            </w:r>
          </w:p>
          <w:p w14:paraId="712A3023">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2、论文必须坚持观点正确，并做到符合基本的学术规范；（</w:t>
            </w:r>
            <w:r>
              <w:rPr>
                <w:rFonts w:hint="eastAsia" w:ascii="Times New Roman" w:hAnsi="Times New Roman" w:eastAsia="仿宋" w:cs="Times New Roman"/>
                <w:sz w:val="24"/>
                <w:szCs w:val="24"/>
              </w:rPr>
              <w:t>3</w:t>
            </w:r>
            <w:r>
              <w:rPr>
                <w:rFonts w:ascii="Times New Roman" w:hAnsi="Times New Roman" w:eastAsia="仿宋" w:cs="Times New Roman"/>
                <w:sz w:val="24"/>
                <w:szCs w:val="24"/>
              </w:rPr>
              <w:t>0分）</w:t>
            </w:r>
          </w:p>
          <w:p w14:paraId="7A858FD2">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3、论文题目、各级标题、正文的字体、字号必须为“宋体、小四号”，黑色字、行距1.5倍；字数</w:t>
            </w:r>
            <w:r>
              <w:rPr>
                <w:rFonts w:hint="eastAsia" w:ascii="Times New Roman" w:hAnsi="Times New Roman" w:eastAsia="仿宋" w:cs="Times New Roman"/>
                <w:sz w:val="24"/>
                <w:szCs w:val="24"/>
                <w:lang w:val="en-US" w:eastAsia="zh-CN"/>
              </w:rPr>
              <w:t>250</w:t>
            </w:r>
            <w:bookmarkStart w:id="0" w:name="_GoBack"/>
            <w:bookmarkEnd w:id="0"/>
            <w:r>
              <w:rPr>
                <w:rFonts w:hint="eastAsia" w:ascii="Times New Roman" w:hAnsi="Times New Roman" w:eastAsia="仿宋" w:cs="Times New Roman"/>
                <w:sz w:val="24"/>
                <w:szCs w:val="24"/>
                <w:lang w:val="en-US" w:eastAsia="zh-CN"/>
              </w:rPr>
              <w:t>0-3000</w:t>
            </w:r>
            <w:r>
              <w:rPr>
                <w:rFonts w:ascii="Times New Roman" w:hAnsi="Times New Roman" w:eastAsia="仿宋" w:cs="Times New Roman"/>
                <w:sz w:val="24"/>
                <w:szCs w:val="24"/>
              </w:rPr>
              <w:t>字；违反扣除</w:t>
            </w:r>
            <w:r>
              <w:rPr>
                <w:rFonts w:hint="eastAsia" w:ascii="Times New Roman" w:hAnsi="Times New Roman" w:eastAsia="仿宋" w:cs="Times New Roman"/>
                <w:sz w:val="24"/>
                <w:szCs w:val="24"/>
              </w:rPr>
              <w:t>2</w:t>
            </w:r>
            <w:r>
              <w:rPr>
                <w:rFonts w:ascii="Times New Roman" w:hAnsi="Times New Roman" w:eastAsia="仿宋" w:cs="Times New Roman"/>
                <w:sz w:val="24"/>
                <w:szCs w:val="24"/>
              </w:rPr>
              <w:t>0分；（</w:t>
            </w:r>
            <w:r>
              <w:rPr>
                <w:rFonts w:hint="eastAsia" w:ascii="Times New Roman" w:hAnsi="Times New Roman" w:eastAsia="仿宋" w:cs="Times New Roman"/>
                <w:sz w:val="24"/>
                <w:szCs w:val="24"/>
              </w:rPr>
              <w:t>2</w:t>
            </w:r>
            <w:r>
              <w:rPr>
                <w:rFonts w:ascii="Times New Roman" w:hAnsi="Times New Roman" w:eastAsia="仿宋" w:cs="Times New Roman"/>
                <w:sz w:val="24"/>
                <w:szCs w:val="24"/>
              </w:rPr>
              <w:t>0分）</w:t>
            </w:r>
          </w:p>
          <w:p w14:paraId="70EB54B6">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4、论文应做到</w:t>
            </w:r>
            <w:r>
              <w:rPr>
                <w:rFonts w:ascii="Times New Roman" w:hAnsi="Times New Roman" w:eastAsia="仿宋" w:cs="Times New Roman"/>
                <w:b/>
                <w:bCs/>
                <w:color w:val="FF0000"/>
                <w:sz w:val="24"/>
                <w:szCs w:val="24"/>
              </w:rPr>
              <w:t>结构完整</w:t>
            </w:r>
            <w:r>
              <w:rPr>
                <w:rFonts w:ascii="Times New Roman" w:hAnsi="Times New Roman" w:eastAsia="仿宋" w:cs="Times New Roman"/>
                <w:sz w:val="24"/>
                <w:szCs w:val="24"/>
              </w:rPr>
              <w:t>、内容</w:t>
            </w:r>
            <w:r>
              <w:rPr>
                <w:rFonts w:ascii="Times New Roman" w:hAnsi="Times New Roman" w:eastAsia="仿宋" w:cs="Times New Roman"/>
                <w:b/>
                <w:bCs/>
                <w:color w:val="FF0000"/>
                <w:sz w:val="24"/>
                <w:szCs w:val="24"/>
              </w:rPr>
              <w:t>论证有依据</w:t>
            </w:r>
            <w:r>
              <w:rPr>
                <w:rFonts w:ascii="Times New Roman" w:hAnsi="Times New Roman" w:eastAsia="仿宋" w:cs="Times New Roman"/>
                <w:sz w:val="24"/>
                <w:szCs w:val="24"/>
              </w:rPr>
              <w:t>、论述展开</w:t>
            </w:r>
            <w:r>
              <w:rPr>
                <w:rFonts w:ascii="Times New Roman" w:hAnsi="Times New Roman" w:eastAsia="仿宋" w:cs="Times New Roman"/>
                <w:b/>
                <w:bCs/>
                <w:color w:val="FF0000"/>
                <w:sz w:val="24"/>
                <w:szCs w:val="24"/>
              </w:rPr>
              <w:t>有逻辑</w:t>
            </w:r>
            <w:r>
              <w:rPr>
                <w:rFonts w:ascii="Times New Roman" w:hAnsi="Times New Roman" w:eastAsia="仿宋" w:cs="Times New Roman"/>
                <w:sz w:val="24"/>
                <w:szCs w:val="24"/>
              </w:rPr>
              <w:t>。（30分）</w:t>
            </w:r>
          </w:p>
        </w:tc>
      </w:tr>
      <w:tr w14:paraId="7B44D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jc w:val="center"/>
        </w:trPr>
        <w:tc>
          <w:tcPr>
            <w:tcW w:w="9051" w:type="dxa"/>
            <w:gridSpan w:val="9"/>
            <w:vAlign w:val="center"/>
          </w:tcPr>
          <w:p w14:paraId="026F19FE">
            <w:pPr>
              <w:jc w:val="center"/>
              <w:rPr>
                <w:rFonts w:hint="eastAsia" w:ascii="仿宋" w:hAnsi="仿宋" w:eastAsia="仿宋"/>
                <w:b/>
                <w:sz w:val="24"/>
                <w:szCs w:val="24"/>
              </w:rPr>
            </w:pPr>
            <w:r>
              <w:rPr>
                <w:rFonts w:hint="eastAsia" w:ascii="宋体" w:hAnsi="宋体" w:eastAsia="宋体"/>
                <w:b/>
                <w:bCs/>
                <w:sz w:val="24"/>
                <w:szCs w:val="24"/>
              </w:rPr>
              <w:t>论抗日英雄杨靖宇的事迹的传奇性以及其对现世的影响</w:t>
            </w:r>
          </w:p>
        </w:tc>
      </w:tr>
      <w:tr w14:paraId="6DF56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0" w:hRule="atLeast"/>
          <w:jc w:val="center"/>
        </w:trPr>
        <w:tc>
          <w:tcPr>
            <w:tcW w:w="9051" w:type="dxa"/>
            <w:gridSpan w:val="9"/>
          </w:tcPr>
          <w:p w14:paraId="17B45E7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hint="eastAsia" w:ascii="宋体" w:hAnsi="宋体" w:eastAsia="宋体"/>
                <w:b/>
                <w:bCs/>
                <w:sz w:val="24"/>
                <w:szCs w:val="24"/>
              </w:rPr>
              <w:t>摘要：</w:t>
            </w:r>
            <w:r>
              <w:rPr>
                <w:rFonts w:hint="eastAsia" w:ascii="宋体" w:hAnsi="宋体" w:eastAsia="宋体"/>
                <w:sz w:val="24"/>
                <w:szCs w:val="24"/>
              </w:rPr>
              <w:t>在所有的抗日英雄和抗日的英雄事迹中，杨靖宇及他的事迹影响最广。这大部分要归于他的事迹的传奇性。这种传奇性来源于他所处的国家空前危机的时代背景；他作为中国共产党党员的坚定立场；他留下的悲壮热血的诗歌以及他传奇的牺牲。杨靖宇将军牺牲后，他的影响并未减弱，如今他的事迹依旧感动着所有中国人，他伟岸英勇的形象依旧在每个中国人心中，呼唤着人们爱国报国的心。</w:t>
            </w:r>
          </w:p>
          <w:p w14:paraId="33826B1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hint="eastAsia" w:ascii="宋体" w:hAnsi="宋体" w:eastAsia="宋体"/>
                <w:b/>
                <w:bCs/>
                <w:sz w:val="24"/>
                <w:szCs w:val="24"/>
              </w:rPr>
              <w:t>关键词</w:t>
            </w:r>
            <w:r>
              <w:rPr>
                <w:rFonts w:ascii="宋体" w:hAnsi="宋体" w:eastAsia="宋体"/>
                <w:b/>
                <w:bCs/>
                <w:sz w:val="24"/>
                <w:szCs w:val="24"/>
              </w:rPr>
              <w:t>:</w:t>
            </w:r>
            <w:r>
              <w:rPr>
                <w:rFonts w:hint="eastAsia" w:ascii="宋体" w:hAnsi="宋体" w:eastAsia="宋体"/>
                <w:sz w:val="24"/>
                <w:szCs w:val="24"/>
              </w:rPr>
              <w:t>抗日英雄杨靖宇；杨靖宇牺牲</w:t>
            </w:r>
          </w:p>
          <w:p w14:paraId="2A6F8E27">
            <w:pPr>
              <w:keepNext w:val="0"/>
              <w:keepLines w:val="0"/>
              <w:pageBreakBefore w:val="0"/>
              <w:widowControl w:val="0"/>
              <w:numPr>
                <w:ilvl w:val="0"/>
                <w:numId w:val="0"/>
              </w:numPr>
              <w:kinsoku/>
              <w:wordWrap/>
              <w:overflowPunct/>
              <w:topLinePunct w:val="0"/>
              <w:autoSpaceDE/>
              <w:autoSpaceDN/>
              <w:bidi w:val="0"/>
              <w:adjustRightInd/>
              <w:snapToGrid/>
              <w:spacing w:before="312" w:beforeLines="100" w:after="312" w:afterLines="100" w:line="360" w:lineRule="auto"/>
              <w:ind w:leftChars="0"/>
              <w:jc w:val="center"/>
              <w:textAlignment w:val="auto"/>
              <w:rPr>
                <w:rFonts w:ascii="宋体" w:hAnsi="宋体" w:eastAsia="宋体"/>
                <w:b/>
                <w:bCs/>
                <w:sz w:val="24"/>
                <w:szCs w:val="24"/>
              </w:rPr>
            </w:pPr>
            <w:r>
              <w:rPr>
                <w:rFonts w:hint="eastAsia" w:ascii="宋体" w:hAnsi="宋体" w:eastAsia="宋体"/>
                <w:b/>
                <w:bCs/>
                <w:sz w:val="24"/>
                <w:szCs w:val="24"/>
                <w:lang w:val="en-US" w:eastAsia="zh-CN"/>
              </w:rPr>
              <w:t>一、</w:t>
            </w:r>
            <w:r>
              <w:rPr>
                <w:rFonts w:hint="eastAsia" w:ascii="宋体" w:hAnsi="宋体" w:eastAsia="宋体"/>
                <w:b/>
                <w:bCs/>
                <w:sz w:val="24"/>
                <w:szCs w:val="24"/>
              </w:rPr>
              <w:t>抗日英雄杨靖宇的事迹的传奇性</w:t>
            </w:r>
          </w:p>
          <w:p w14:paraId="64B5D475">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firstLine="482" w:firstLineChars="200"/>
              <w:textAlignment w:val="auto"/>
              <w:rPr>
                <w:rFonts w:ascii="宋体" w:hAnsi="宋体" w:eastAsia="宋体"/>
                <w:b/>
                <w:bCs/>
                <w:sz w:val="24"/>
                <w:szCs w:val="24"/>
              </w:rPr>
            </w:pPr>
            <w:r>
              <w:rPr>
                <w:rFonts w:hint="eastAsia" w:ascii="宋体" w:hAnsi="宋体" w:eastAsia="宋体"/>
                <w:b/>
                <w:bCs/>
                <w:sz w:val="24"/>
                <w:szCs w:val="24"/>
              </w:rPr>
              <w:t>1.抗日英雄杨靖宇所处的时代背景是独特的</w:t>
            </w:r>
          </w:p>
          <w:p w14:paraId="1C3009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sz w:val="24"/>
                <w:szCs w:val="24"/>
              </w:rPr>
            </w:pPr>
            <w:r>
              <w:rPr>
                <w:rFonts w:hint="eastAsia" w:ascii="宋体" w:hAnsi="宋体" w:eastAsia="宋体"/>
                <w:sz w:val="24"/>
                <w:szCs w:val="24"/>
              </w:rPr>
              <w:t>从现世回顾中国的近代史，中国的近代史是充满屈辱倍受压迫的一段历史，中国人民在近现代的觉醒和探索是一段曲折又热血的故事。中国自有人类文明开始，就依赖欧亚大陆良好的地理条件快速发展，很长一段时间在世界上处于领先地位，而在清政府统治时期中国渐渐被西方国家落在后面。十八世纪三十年代，在饱受外国侵略与压迫的情况下，日本这个小岛国的猖狂入侵更是让人愤慨。提到清政府和列强签订的一系列丧权辱国的条约，提到英法联军火烧圆明园，再提到日本对中国的无耻侵略，所有的中国人，即使是对历史了解不多的人，也会有痛恨，屈辱，愤怒的感情。在回顾这段历史给人们心里留下的情感前提下，这些保卫民族的英雄的出现就更能振奋人心，激起人们对这些英雄的敬意，对中国近代史上人们守卫国家，争取民族独立深深的情感共鸣。</w:t>
            </w:r>
          </w:p>
          <w:p w14:paraId="218F9C77">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firstLine="482" w:firstLineChars="200"/>
              <w:textAlignment w:val="auto"/>
              <w:rPr>
                <w:rFonts w:ascii="宋体" w:hAnsi="宋体" w:eastAsia="宋体"/>
                <w:b/>
                <w:bCs/>
                <w:sz w:val="24"/>
                <w:szCs w:val="24"/>
              </w:rPr>
            </w:pPr>
            <w:r>
              <w:rPr>
                <w:rFonts w:hint="eastAsia" w:ascii="宋体" w:hAnsi="宋体" w:eastAsia="宋体"/>
                <w:b/>
                <w:bCs/>
                <w:sz w:val="24"/>
                <w:szCs w:val="24"/>
              </w:rPr>
              <w:t>2</w:t>
            </w:r>
            <w:r>
              <w:rPr>
                <w:rFonts w:ascii="宋体" w:hAnsi="宋体" w:eastAsia="宋体"/>
                <w:b/>
                <w:bCs/>
                <w:sz w:val="24"/>
                <w:szCs w:val="24"/>
              </w:rPr>
              <w:t>.</w:t>
            </w:r>
            <w:r>
              <w:rPr>
                <w:rFonts w:hint="eastAsia" w:ascii="宋体" w:hAnsi="宋体" w:eastAsia="宋体"/>
                <w:b/>
                <w:bCs/>
                <w:sz w:val="24"/>
                <w:szCs w:val="24"/>
              </w:rPr>
              <w:t>抗日英雄杨靖宇一生贡献于中国共产党</w:t>
            </w:r>
          </w:p>
          <w:p w14:paraId="4142B6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sz w:val="24"/>
                <w:szCs w:val="24"/>
              </w:rPr>
            </w:pPr>
            <w:r>
              <w:rPr>
                <w:rFonts w:hint="eastAsia" w:ascii="宋体" w:hAnsi="宋体" w:eastAsia="宋体"/>
                <w:sz w:val="24"/>
                <w:szCs w:val="24"/>
              </w:rPr>
              <w:t>抗日英雄有很多，那么为什么人们提到抗日英雄总能最先想到杨靖宇？首先先回顾一下在日本侵略中国东北地区时，东北地区出现的所有反抗武装力量。自日本1</w:t>
            </w:r>
            <w:r>
              <w:rPr>
                <w:rFonts w:ascii="宋体" w:hAnsi="宋体" w:eastAsia="宋体"/>
                <w:sz w:val="24"/>
                <w:szCs w:val="24"/>
              </w:rPr>
              <w:t>931</w:t>
            </w:r>
            <w:r>
              <w:rPr>
                <w:rFonts w:hint="eastAsia" w:ascii="宋体" w:hAnsi="宋体" w:eastAsia="宋体"/>
                <w:sz w:val="24"/>
                <w:szCs w:val="24"/>
              </w:rPr>
              <w:t>年在柳条湖制造了九一八事变，东北人民的抗战就开始了。在蒋介石“不抵抗政策”的指导下，东北军中仍有一些爱国的官兵做出了抵抗。与此同时，地主武装，绿林好汉，以及爱国民众自主组织的武装力量也发展起来。他们共同组成了最早的抗日武装，也就是东北义勇军。1</w:t>
            </w:r>
            <w:r>
              <w:rPr>
                <w:rFonts w:ascii="宋体" w:hAnsi="宋体" w:eastAsia="宋体"/>
                <w:sz w:val="24"/>
                <w:szCs w:val="24"/>
              </w:rPr>
              <w:t>932</w:t>
            </w:r>
            <w:r>
              <w:rPr>
                <w:rFonts w:hint="eastAsia" w:ascii="宋体" w:hAnsi="宋体" w:eastAsia="宋体"/>
                <w:sz w:val="24"/>
                <w:szCs w:val="24"/>
              </w:rPr>
              <w:t>年时，东北三省义勇军总人数已经超过三十万。东北全境沦陷后，东北义勇军还从日本人手中夺回了哈尔滨，通化，安东，凤城，长春，吉林，敦化等地区。东北义勇军为抗日做出了很大的贡献，但为什么他们的传奇性相比杨靖宇就要显得弱呢？东北义勇军虽然迟滞了日本的侵略步伐，但东北义勇军没有集中领导，没有明确的政治纲领和严格组织。这说明东北义勇军仍是不成熟的，不能在现世作为英雄来赞扬。而且东北义勇军成分复杂，没有一个人能代表他们，也就没有具体的事迹能传播。而杨靖宇领导的东北抗日联军是中国共产党组织的，更有组织性，更成熟。</w:t>
            </w:r>
          </w:p>
          <w:p w14:paraId="7DE7301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sz w:val="24"/>
                <w:szCs w:val="24"/>
              </w:rPr>
            </w:pPr>
            <w:r>
              <w:rPr>
                <w:rFonts w:hint="eastAsia" w:ascii="宋体" w:hAnsi="宋体" w:eastAsia="宋体"/>
                <w:sz w:val="24"/>
                <w:szCs w:val="24"/>
              </w:rPr>
              <w:t>杨靖宇的一生都是有记录的，现在可以查到他的生平，这有助于塑造一个鲜活的英雄形象。例如他是农民出身，在河南开封纺染工业学校读书，之后积极参加革命活动，加入共产党等。由于他一生都在为党奉献，为人民战斗，他的形象就更纯粹，更具有传奇性。</w:t>
            </w:r>
          </w:p>
          <w:p w14:paraId="44A37900">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firstLine="482" w:firstLineChars="200"/>
              <w:textAlignment w:val="auto"/>
              <w:rPr>
                <w:rFonts w:ascii="宋体" w:hAnsi="宋体" w:eastAsia="宋体"/>
                <w:b/>
                <w:bCs/>
                <w:sz w:val="24"/>
                <w:szCs w:val="24"/>
              </w:rPr>
            </w:pPr>
            <w:r>
              <w:rPr>
                <w:rFonts w:hint="eastAsia" w:ascii="宋体" w:hAnsi="宋体" w:eastAsia="宋体"/>
                <w:b/>
                <w:bCs/>
                <w:sz w:val="24"/>
                <w:szCs w:val="24"/>
              </w:rPr>
              <w:t>3</w:t>
            </w:r>
            <w:r>
              <w:rPr>
                <w:rFonts w:ascii="宋体" w:hAnsi="宋体" w:eastAsia="宋体"/>
                <w:b/>
                <w:bCs/>
                <w:sz w:val="24"/>
                <w:szCs w:val="24"/>
              </w:rPr>
              <w:t>.</w:t>
            </w:r>
            <w:r>
              <w:rPr>
                <w:rFonts w:hint="eastAsia" w:ascii="宋体" w:hAnsi="宋体" w:eastAsia="宋体"/>
                <w:b/>
                <w:bCs/>
                <w:sz w:val="24"/>
                <w:szCs w:val="24"/>
              </w:rPr>
              <w:t>抗日英雄杨靖宇留下的诗歌</w:t>
            </w:r>
          </w:p>
          <w:p w14:paraId="5428E0E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sz w:val="24"/>
                <w:szCs w:val="24"/>
              </w:rPr>
            </w:pPr>
            <w:r>
              <w:rPr>
                <w:rFonts w:hint="eastAsia" w:ascii="宋体" w:hAnsi="宋体" w:eastAsia="宋体"/>
                <w:sz w:val="24"/>
                <w:szCs w:val="24"/>
              </w:rPr>
              <w:t>他留下了《田中奏折》、《送战友编歌壮行保国家》、《西征胜利歌》等诗歌。其中《田中奏折》是他在东北开展革命活动时被日本警察抓捕入狱，在狱中读到日本资料，敏锐地意识到日本即将侵略中华时写下的。《中朝民族联合抗日歌》更是壮烈热血：“崛起啊，中朝民族，万不要再酣梦！既有血，又有铁，只等着去冲锋！”从他留下的诗歌可见他热忱的爱国之心，也可以看见他鼓舞士气的强大感召力。这些宝贵的诗歌也是杨靖宇形象的又一补充，让杨靖宇的英雄形象更深入人心。从毛泽东和他的诗词给人们的影响也可以佐证杨靖宇留下的诗歌对杨靖宇事迹的传奇性有所帮助。</w:t>
            </w:r>
          </w:p>
          <w:p w14:paraId="4F97C578">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firstLine="482" w:firstLineChars="200"/>
              <w:textAlignment w:val="auto"/>
              <w:rPr>
                <w:rFonts w:ascii="宋体" w:hAnsi="宋体" w:eastAsia="宋体"/>
                <w:b/>
                <w:bCs/>
                <w:sz w:val="24"/>
                <w:szCs w:val="24"/>
              </w:rPr>
            </w:pPr>
            <w:r>
              <w:rPr>
                <w:rFonts w:ascii="宋体" w:hAnsi="宋体" w:eastAsia="宋体"/>
                <w:b/>
                <w:bCs/>
                <w:sz w:val="24"/>
                <w:szCs w:val="24"/>
              </w:rPr>
              <w:t>4.</w:t>
            </w:r>
            <w:r>
              <w:rPr>
                <w:rFonts w:hint="eastAsia" w:ascii="宋体" w:hAnsi="宋体" w:eastAsia="宋体"/>
                <w:b/>
                <w:bCs/>
                <w:sz w:val="24"/>
                <w:szCs w:val="24"/>
              </w:rPr>
              <w:t>抗日英雄杨靖宇牺牲的传奇性</w:t>
            </w:r>
          </w:p>
          <w:p w14:paraId="343655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sz w:val="24"/>
                <w:szCs w:val="24"/>
              </w:rPr>
            </w:pPr>
            <w:r>
              <w:rPr>
                <w:rFonts w:hint="eastAsia" w:ascii="宋体" w:hAnsi="宋体" w:eastAsia="宋体"/>
                <w:sz w:val="24"/>
                <w:szCs w:val="24"/>
              </w:rPr>
              <w:t>由于他善于作战，指挥得当，多次给日军以重创，日军下令缉拿杨靖宇。他只能藏匿在山林里，饥寒交迫。最终因为叛徒出卖，敌人包围了山林，杨靖宇在难以挽回的局势下牺牲了。在被枪击牺牲后，日伪军将杨靖宇的尸体带回日本古见联队大队部。在那里，岸谷隆一郎剖开了杨靖宇的腹部，取出他的胃拿去化验，结果发现他胃里一粒粮食也没有，只有草根和棉絮。草根应该是冬季山林里唯一的东西，而棉絮应该来自于他自己御寒的棉衣。连日本人看到都不禁感叹这是真正的英雄。这便是杨靖宇将军牺牲的最大的传奇之处。这个故事简短但它最大程度的表现了杨靖宇的抗日决心和牺牲精神。这使得这个故事能更广泛地传播。杨靖宇牺牲那天是1</w:t>
            </w:r>
            <w:r>
              <w:rPr>
                <w:rFonts w:ascii="宋体" w:hAnsi="宋体" w:eastAsia="宋体"/>
                <w:sz w:val="24"/>
                <w:szCs w:val="24"/>
              </w:rPr>
              <w:t>940</w:t>
            </w:r>
            <w:r>
              <w:rPr>
                <w:rFonts w:hint="eastAsia" w:ascii="宋体" w:hAnsi="宋体" w:eastAsia="宋体"/>
                <w:sz w:val="24"/>
                <w:szCs w:val="24"/>
              </w:rPr>
              <w:t>年2月2</w:t>
            </w:r>
            <w:r>
              <w:rPr>
                <w:rFonts w:ascii="宋体" w:hAnsi="宋体" w:eastAsia="宋体"/>
                <w:sz w:val="24"/>
                <w:szCs w:val="24"/>
              </w:rPr>
              <w:t>3</w:t>
            </w:r>
            <w:r>
              <w:rPr>
                <w:rFonts w:hint="eastAsia" w:ascii="宋体" w:hAnsi="宋体" w:eastAsia="宋体"/>
                <w:sz w:val="24"/>
                <w:szCs w:val="24"/>
              </w:rPr>
              <w:t>日——距离他三十五岁生日只差三天。当人们充满感情地讲述这个故事时再把这个信息加进去，那感染力又会有所增加。</w:t>
            </w:r>
          </w:p>
          <w:p w14:paraId="3F44A2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sz w:val="24"/>
                <w:szCs w:val="24"/>
              </w:rPr>
            </w:pPr>
            <w:r>
              <w:rPr>
                <w:rFonts w:hint="eastAsia" w:ascii="宋体" w:hAnsi="宋体" w:eastAsia="宋体"/>
                <w:sz w:val="24"/>
                <w:szCs w:val="24"/>
              </w:rPr>
              <w:t>值得注意的是杨靖宇带领东北抗日联军作战时，他身边接连出了四个叛徒。连抗战电视剧的编剧恐怕也认为为一个主人公塑造四个叛徒有点太多了，但杨靖宇英雄确实经历了这些背叛。第一个叛徒是程斌，他原来是杨靖宇最信任的左膀右臂。但在1</w:t>
            </w:r>
            <w:r>
              <w:rPr>
                <w:rFonts w:ascii="宋体" w:hAnsi="宋体" w:eastAsia="宋体"/>
                <w:sz w:val="24"/>
                <w:szCs w:val="24"/>
              </w:rPr>
              <w:t>938</w:t>
            </w:r>
            <w:r>
              <w:rPr>
                <w:rFonts w:hint="eastAsia" w:ascii="宋体" w:hAnsi="宋体" w:eastAsia="宋体"/>
                <w:sz w:val="24"/>
                <w:szCs w:val="24"/>
              </w:rPr>
              <w:t>年7月，他向日军投降，之后摧毁了七十多个抗联战士的补给站，也就是密营。这让杨靖宇快速陷入没有补给的危险境地。第二个叛徒张秀峰叛变投敌，暴露了杨靖宇的行踪。第三个叛徒赵廷喜向敌人告密，让筋疲力尽的杨靖宇被敌人发现。第四个叛徒张奚若是跟随程斌叛变的，正是他枪毙了杨靖宇。以现在的目光回溯这段历史，更多人不会去探究他们出卖自己的民族的原因，更多人会把他们当作杨靖宇的事迹中的一个情节，他们的选择让人知道杨靖宇的坚持是多么宝贵，他们让杨靖宇英雄的形象更光荣，更为人敬仰，让这段历史更加壮烈。换一种表达，虽然在当时这些叛徒直接导致了杨靖宇的牺牲，而在现世，这些叛徒为杨靖宇事迹所增加的传奇色彩，让更多人深深记住了我们民族伟大的英雄，更增加了杨靖宇英雄事迹的影响力。</w:t>
            </w:r>
          </w:p>
          <w:p w14:paraId="22A00AEB">
            <w:pPr>
              <w:keepNext w:val="0"/>
              <w:keepLines w:val="0"/>
              <w:pageBreakBefore w:val="0"/>
              <w:widowControl w:val="0"/>
              <w:numPr>
                <w:ilvl w:val="0"/>
                <w:numId w:val="0"/>
              </w:numPr>
              <w:kinsoku/>
              <w:wordWrap/>
              <w:overflowPunct/>
              <w:topLinePunct w:val="0"/>
              <w:autoSpaceDE/>
              <w:autoSpaceDN/>
              <w:bidi w:val="0"/>
              <w:adjustRightInd/>
              <w:snapToGrid/>
              <w:spacing w:before="312" w:beforeLines="100" w:after="312" w:afterLines="100" w:line="360" w:lineRule="auto"/>
              <w:ind w:leftChars="0"/>
              <w:jc w:val="center"/>
              <w:textAlignment w:val="auto"/>
              <w:rPr>
                <w:rFonts w:ascii="宋体" w:hAnsi="宋体" w:eastAsia="宋体"/>
                <w:b/>
                <w:bCs/>
                <w:sz w:val="24"/>
                <w:szCs w:val="24"/>
              </w:rPr>
            </w:pPr>
            <w:r>
              <w:rPr>
                <w:rFonts w:hint="eastAsia" w:ascii="宋体" w:hAnsi="宋体" w:eastAsia="宋体"/>
                <w:b/>
                <w:bCs/>
                <w:sz w:val="24"/>
                <w:szCs w:val="24"/>
                <w:lang w:val="en-US" w:eastAsia="zh-CN"/>
              </w:rPr>
              <w:t>二、</w:t>
            </w:r>
            <w:r>
              <w:rPr>
                <w:rFonts w:hint="eastAsia" w:ascii="宋体" w:hAnsi="宋体" w:eastAsia="宋体"/>
                <w:b/>
                <w:bCs/>
                <w:sz w:val="24"/>
                <w:szCs w:val="24"/>
              </w:rPr>
              <w:t>抗日英雄杨靖宇事迹对现世的影响</w:t>
            </w:r>
          </w:p>
          <w:p w14:paraId="724A3C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sz w:val="24"/>
                <w:szCs w:val="24"/>
              </w:rPr>
            </w:pPr>
            <w:r>
              <w:rPr>
                <w:rFonts w:hint="eastAsia" w:ascii="宋体" w:hAnsi="宋体" w:eastAsia="宋体"/>
                <w:sz w:val="24"/>
                <w:szCs w:val="24"/>
              </w:rPr>
              <w:t>杨靖宇去世后，日本人曾假惺惺地为他安葬，祭奠他。在日本投降后，共产党成立了新政府，立即筹备为杨靖宇重新安葬。就是这个时期杨靖宇牺牲的濛江县改名为靖宇县。之后靖宇县人民政府还在杨靖宇的墓前枪决了汉奸和告密者。新中国成立之前，中国共产党心系寻找杨靖宇的头颅，在找到之后又为他安葬了一次。1</w:t>
            </w:r>
            <w:r>
              <w:rPr>
                <w:rFonts w:ascii="宋体" w:hAnsi="宋体" w:eastAsia="宋体"/>
                <w:sz w:val="24"/>
                <w:szCs w:val="24"/>
              </w:rPr>
              <w:t>958</w:t>
            </w:r>
            <w:r>
              <w:rPr>
                <w:rFonts w:hint="eastAsia" w:ascii="宋体" w:hAnsi="宋体" w:eastAsia="宋体"/>
                <w:sz w:val="24"/>
                <w:szCs w:val="24"/>
              </w:rPr>
              <w:t>年在杨靖宇生前经常作战的地方通化又修建了靖宇陵园，杨靖宇英雄的遗骨被转移到通化。从杨靖宇英雄牺牲后受到四次安葬的经历就可见得他的的影响力从来没因时间而减少。</w:t>
            </w:r>
          </w:p>
          <w:p w14:paraId="550132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sz w:val="24"/>
                <w:szCs w:val="24"/>
              </w:rPr>
            </w:pPr>
            <w:r>
              <w:rPr>
                <w:rFonts w:hint="eastAsia" w:ascii="宋体" w:hAnsi="宋体" w:eastAsia="宋体"/>
                <w:sz w:val="24"/>
                <w:szCs w:val="24"/>
              </w:rPr>
              <w:t>出生于河南省，领导东北抗日联军在东北抗日，杨靖宇这个河南人，却意外成为所有东北人心中的英雄和历史记忆。现在河南省和东北，尤其是吉林，都会经常性举办学习杨靖宇精神的活动。杨靖宇英雄的很多品质仍是当今我们需要的，例如他信念坚定，矢志不渝，依靠群众，百折不饶。如今，开展学习杨靖宇精神的活动仍是各大中小学的重要一课，这是爱国，爱党，学习英雄的生动事例。所有学生大概都被要求写过“抗日英雄杨靖宇</w:t>
            </w:r>
            <w:r>
              <w:rPr>
                <w:rFonts w:ascii="宋体" w:hAnsi="宋体" w:eastAsia="宋体"/>
                <w:sz w:val="24"/>
                <w:szCs w:val="24"/>
              </w:rPr>
              <w:t>”</w:t>
            </w:r>
            <w:r>
              <w:rPr>
                <w:rFonts w:hint="eastAsia" w:ascii="宋体" w:hAnsi="宋体" w:eastAsia="宋体"/>
                <w:sz w:val="24"/>
                <w:szCs w:val="24"/>
              </w:rPr>
              <w:t>这样一篇作文。在这样的共同经历中，所有人都生发出强烈的爱国意识。抗日英雄杨靖宇的事迹就这样一直留存在每个中国人心中，成为所有人共同的精神记忆。</w:t>
            </w:r>
          </w:p>
          <w:p w14:paraId="15132EB0">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b/>
                <w:sz w:val="24"/>
                <w:szCs w:val="24"/>
              </w:rPr>
            </w:pPr>
            <w:r>
              <w:rPr>
                <w:rFonts w:hint="eastAsia" w:ascii="宋体" w:hAnsi="宋体" w:eastAsia="宋体"/>
                <w:b/>
                <w:sz w:val="24"/>
                <w:szCs w:val="24"/>
              </w:rPr>
              <w:t>参考文献</w:t>
            </w:r>
          </w:p>
          <w:p w14:paraId="7DE90171">
            <w:pPr>
              <w:keepNext w:val="0"/>
              <w:keepLines w:val="0"/>
              <w:pageBreakBefore w:val="0"/>
              <w:widowControl w:val="0"/>
              <w:kinsoku/>
              <w:wordWrap/>
              <w:overflowPunct/>
              <w:topLinePunct w:val="0"/>
              <w:autoSpaceDE/>
              <w:autoSpaceDN/>
              <w:bidi w:val="0"/>
              <w:adjustRightInd/>
              <w:snapToGrid/>
              <w:spacing w:line="360" w:lineRule="auto"/>
              <w:ind w:left="210" w:leftChars="100"/>
              <w:textAlignment w:val="auto"/>
              <w:rPr>
                <w:rFonts w:ascii="宋体" w:hAnsi="宋体" w:eastAsia="宋体"/>
                <w:sz w:val="24"/>
                <w:szCs w:val="24"/>
              </w:rPr>
            </w:pPr>
            <w:r>
              <w:rPr>
                <w:rFonts w:ascii="宋体" w:hAnsi="宋体" w:eastAsia="宋体"/>
                <w:sz w:val="24"/>
                <w:szCs w:val="24"/>
              </w:rPr>
              <w:t>[1]</w:t>
            </w:r>
            <w:r>
              <w:rPr>
                <w:rFonts w:hint="eastAsia" w:ascii="宋体" w:hAnsi="宋体" w:eastAsia="宋体"/>
                <w:sz w:val="24"/>
                <w:szCs w:val="24"/>
              </w:rPr>
              <w:t>郭渊：</w:t>
            </w:r>
            <w:r>
              <w:rPr>
                <w:rFonts w:ascii="宋体" w:hAnsi="宋体" w:eastAsia="宋体"/>
                <w:sz w:val="24"/>
                <w:szCs w:val="24"/>
              </w:rPr>
              <w:t>“杨靖宇精神”论析（下）[J].  通化师范学院学报. 2002(06)</w:t>
            </w:r>
          </w:p>
          <w:p w14:paraId="6B8D9C20">
            <w:pPr>
              <w:keepNext w:val="0"/>
              <w:keepLines w:val="0"/>
              <w:pageBreakBefore w:val="0"/>
              <w:widowControl w:val="0"/>
              <w:kinsoku/>
              <w:wordWrap/>
              <w:overflowPunct/>
              <w:topLinePunct w:val="0"/>
              <w:autoSpaceDE/>
              <w:autoSpaceDN/>
              <w:bidi w:val="0"/>
              <w:adjustRightInd/>
              <w:snapToGrid/>
              <w:spacing w:line="360" w:lineRule="auto"/>
              <w:ind w:left="210" w:leftChars="100"/>
              <w:textAlignment w:val="auto"/>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2]</w:t>
            </w:r>
            <w:r>
              <w:rPr>
                <w:rFonts w:hint="eastAsia" w:ascii="宋体" w:hAnsi="宋体" w:eastAsia="宋体"/>
                <w:sz w:val="24"/>
                <w:szCs w:val="24"/>
              </w:rPr>
              <w:t xml:space="preserve"> 《吉林杨靖宇干部学院学习贯彻党的二十大精神</w:t>
            </w:r>
            <w:r>
              <w:rPr>
                <w:rFonts w:ascii="宋体" w:hAnsi="宋体" w:eastAsia="宋体"/>
                <w:sz w:val="24"/>
                <w:szCs w:val="24"/>
              </w:rPr>
              <w:t xml:space="preserve"> 发挥红色资源优势 打造红色教育高地</w:t>
            </w:r>
            <w:r>
              <w:rPr>
                <w:rFonts w:hint="eastAsia" w:ascii="宋体" w:hAnsi="宋体" w:eastAsia="宋体"/>
                <w:sz w:val="24"/>
                <w:szCs w:val="24"/>
              </w:rPr>
              <w:t>》，《通化日报》2</w:t>
            </w:r>
            <w:r>
              <w:rPr>
                <w:rFonts w:ascii="宋体" w:hAnsi="宋体" w:eastAsia="宋体"/>
                <w:sz w:val="24"/>
                <w:szCs w:val="24"/>
              </w:rPr>
              <w:t>022</w:t>
            </w:r>
            <w:r>
              <w:rPr>
                <w:rFonts w:hint="eastAsia" w:ascii="宋体" w:hAnsi="宋体" w:eastAsia="宋体"/>
                <w:sz w:val="24"/>
                <w:szCs w:val="24"/>
              </w:rPr>
              <w:t>年1</w:t>
            </w:r>
            <w:r>
              <w:rPr>
                <w:rFonts w:ascii="宋体" w:hAnsi="宋体" w:eastAsia="宋体"/>
                <w:sz w:val="24"/>
                <w:szCs w:val="24"/>
              </w:rPr>
              <w:t>1</w:t>
            </w:r>
            <w:r>
              <w:rPr>
                <w:rFonts w:hint="eastAsia" w:ascii="宋体" w:hAnsi="宋体" w:eastAsia="宋体"/>
                <w:sz w:val="24"/>
                <w:szCs w:val="24"/>
              </w:rPr>
              <w:t>月1</w:t>
            </w:r>
            <w:r>
              <w:rPr>
                <w:rFonts w:ascii="宋体" w:hAnsi="宋体" w:eastAsia="宋体"/>
                <w:sz w:val="24"/>
                <w:szCs w:val="24"/>
              </w:rPr>
              <w:t>0</w:t>
            </w:r>
            <w:r>
              <w:rPr>
                <w:rFonts w:hint="eastAsia" w:ascii="宋体" w:hAnsi="宋体" w:eastAsia="宋体"/>
                <w:sz w:val="24"/>
                <w:szCs w:val="24"/>
              </w:rPr>
              <w:t>日。</w:t>
            </w:r>
          </w:p>
          <w:p w14:paraId="56EB6DAF">
            <w:pPr>
              <w:keepNext w:val="0"/>
              <w:keepLines w:val="0"/>
              <w:pageBreakBefore w:val="0"/>
              <w:widowControl w:val="0"/>
              <w:kinsoku/>
              <w:wordWrap/>
              <w:overflowPunct/>
              <w:topLinePunct w:val="0"/>
              <w:autoSpaceDE/>
              <w:autoSpaceDN/>
              <w:bidi w:val="0"/>
              <w:adjustRightInd/>
              <w:snapToGrid/>
              <w:spacing w:line="360" w:lineRule="auto"/>
              <w:ind w:left="210" w:leftChars="100"/>
              <w:textAlignment w:val="auto"/>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3]</w:t>
            </w:r>
            <w:r>
              <w:rPr>
                <w:rFonts w:hint="eastAsia" w:ascii="宋体" w:hAnsi="宋体" w:eastAsia="宋体"/>
                <w:sz w:val="24"/>
                <w:szCs w:val="24"/>
              </w:rPr>
              <w:t xml:space="preserve"> 《唱响弘扬东北抗联精神的时代之歌</w:t>
            </w:r>
            <w:r>
              <w:rPr>
                <w:rFonts w:ascii="宋体" w:hAnsi="宋体" w:eastAsia="宋体"/>
                <w:sz w:val="24"/>
                <w:szCs w:val="24"/>
              </w:rPr>
              <w:t xml:space="preserve"> ——从踏访民族英雄杨靖宇主题雕塑园看红色血脉赓续传承</w:t>
            </w:r>
            <w:r>
              <w:rPr>
                <w:rFonts w:hint="eastAsia" w:ascii="宋体" w:hAnsi="宋体" w:eastAsia="宋体"/>
                <w:sz w:val="24"/>
                <w:szCs w:val="24"/>
              </w:rPr>
              <w:t>》，《通化日报》2</w:t>
            </w:r>
            <w:r>
              <w:rPr>
                <w:rFonts w:ascii="宋体" w:hAnsi="宋体" w:eastAsia="宋体"/>
                <w:sz w:val="24"/>
                <w:szCs w:val="24"/>
              </w:rPr>
              <w:t>022</w:t>
            </w:r>
            <w:r>
              <w:rPr>
                <w:rFonts w:hint="eastAsia" w:ascii="宋体" w:hAnsi="宋体" w:eastAsia="宋体"/>
                <w:sz w:val="24"/>
                <w:szCs w:val="24"/>
              </w:rPr>
              <w:t>年9月2日。</w:t>
            </w:r>
          </w:p>
          <w:p w14:paraId="03F16991">
            <w:pPr>
              <w:rPr>
                <w:rFonts w:hint="eastAsia" w:ascii="仿宋" w:hAnsi="仿宋" w:eastAsia="仿宋"/>
                <w:b/>
                <w:sz w:val="24"/>
                <w:szCs w:val="24"/>
              </w:rPr>
            </w:pPr>
          </w:p>
          <w:p w14:paraId="64724B2A">
            <w:pPr>
              <w:rPr>
                <w:rFonts w:hint="eastAsia" w:ascii="仿宋" w:hAnsi="仿宋" w:eastAsia="仿宋"/>
                <w:b/>
                <w:sz w:val="24"/>
                <w:szCs w:val="24"/>
              </w:rPr>
            </w:pPr>
          </w:p>
          <w:p w14:paraId="7B8D11EB">
            <w:pPr>
              <w:rPr>
                <w:rFonts w:hint="eastAsia" w:ascii="仿宋" w:hAnsi="仿宋" w:eastAsia="仿宋"/>
                <w:b/>
                <w:sz w:val="24"/>
                <w:szCs w:val="24"/>
              </w:rPr>
            </w:pPr>
          </w:p>
        </w:tc>
      </w:tr>
      <w:tr w14:paraId="2856A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2262" w:type="dxa"/>
            <w:gridSpan w:val="2"/>
            <w:vAlign w:val="center"/>
          </w:tcPr>
          <w:p w14:paraId="7973B4E8">
            <w:pPr>
              <w:jc w:val="center"/>
              <w:rPr>
                <w:rFonts w:hint="eastAsia" w:ascii="宋体" w:hAnsi="宋体" w:eastAsia="宋体" w:cs="Times New Roman"/>
                <w:b/>
                <w:sz w:val="24"/>
                <w:szCs w:val="24"/>
              </w:rPr>
            </w:pPr>
            <w:r>
              <w:rPr>
                <w:rFonts w:hint="eastAsia" w:ascii="宋体" w:hAnsi="宋体" w:eastAsia="宋体" w:cs="Times New Roman"/>
                <w:b/>
                <w:sz w:val="24"/>
                <w:szCs w:val="24"/>
              </w:rPr>
              <w:t>评阅教师</w:t>
            </w:r>
          </w:p>
        </w:tc>
        <w:tc>
          <w:tcPr>
            <w:tcW w:w="2263" w:type="dxa"/>
            <w:gridSpan w:val="3"/>
            <w:vAlign w:val="center"/>
          </w:tcPr>
          <w:p w14:paraId="66F019CC">
            <w:pPr>
              <w:jc w:val="center"/>
              <w:rPr>
                <w:rFonts w:hint="eastAsia" w:ascii="宋体" w:hAnsi="宋体" w:eastAsia="宋体" w:cs="Times New Roman"/>
                <w:b/>
                <w:sz w:val="24"/>
                <w:szCs w:val="24"/>
              </w:rPr>
            </w:pPr>
          </w:p>
        </w:tc>
        <w:tc>
          <w:tcPr>
            <w:tcW w:w="2263" w:type="dxa"/>
            <w:gridSpan w:val="3"/>
            <w:vAlign w:val="center"/>
          </w:tcPr>
          <w:p w14:paraId="241A8825">
            <w:pPr>
              <w:jc w:val="center"/>
              <w:rPr>
                <w:rFonts w:hint="eastAsia" w:ascii="宋体" w:hAnsi="宋体" w:eastAsia="宋体" w:cs="Times New Roman"/>
                <w:b/>
                <w:sz w:val="24"/>
                <w:szCs w:val="24"/>
              </w:rPr>
            </w:pPr>
            <w:r>
              <w:rPr>
                <w:rFonts w:hint="eastAsia" w:ascii="宋体" w:hAnsi="宋体" w:eastAsia="宋体" w:cs="Times New Roman"/>
                <w:b/>
                <w:sz w:val="24"/>
                <w:szCs w:val="24"/>
              </w:rPr>
              <w:t>最终成绩评定</w:t>
            </w:r>
          </w:p>
          <w:p w14:paraId="28E5AF89">
            <w:pPr>
              <w:jc w:val="center"/>
              <w:rPr>
                <w:rFonts w:hint="eastAsia" w:ascii="宋体" w:hAnsi="宋体" w:eastAsia="宋体" w:cs="Times New Roman"/>
                <w:b/>
                <w:sz w:val="24"/>
                <w:szCs w:val="24"/>
              </w:rPr>
            </w:pPr>
            <w:r>
              <w:rPr>
                <w:rFonts w:hint="eastAsia" w:ascii="宋体" w:hAnsi="宋体" w:eastAsia="宋体" w:cs="Times New Roman"/>
                <w:b/>
                <w:sz w:val="24"/>
                <w:szCs w:val="24"/>
              </w:rPr>
              <w:t>（百分制）</w:t>
            </w:r>
          </w:p>
        </w:tc>
        <w:tc>
          <w:tcPr>
            <w:tcW w:w="2263" w:type="dxa"/>
            <w:vAlign w:val="center"/>
          </w:tcPr>
          <w:p w14:paraId="0E8BE82C">
            <w:pPr>
              <w:jc w:val="center"/>
              <w:rPr>
                <w:rFonts w:hint="eastAsia" w:ascii="宋体" w:hAnsi="宋体" w:eastAsia="宋体" w:cs="Times New Roman"/>
                <w:b/>
                <w:sz w:val="24"/>
                <w:szCs w:val="24"/>
              </w:rPr>
            </w:pPr>
          </w:p>
        </w:tc>
      </w:tr>
    </w:tbl>
    <w:p w14:paraId="4B6B3F4C">
      <w:pPr>
        <w:rPr>
          <w:rFonts w:hint="eastAsia"/>
        </w:rPr>
      </w:pPr>
      <w:r>
        <w:rPr>
          <w:rFonts w:ascii="Times New Roman" w:hAnsi="Times New Roman" w:cs="Times New Roman"/>
          <w:b/>
        </w:rPr>
        <w:t>---</w:t>
      </w:r>
      <w:r>
        <w:rPr>
          <w:rFonts w:hint="eastAsia" w:ascii="Times New Roman" w:hAnsi="Times New Roman" w:cs="Times New Roman"/>
          <w:b/>
        </w:rPr>
        <w:t>-</w:t>
      </w:r>
      <w:r>
        <w:rPr>
          <w:rFonts w:ascii="Times New Roman" w:hAnsi="Times New Roman" w:cs="Times New Roman"/>
          <w:b/>
        </w:rPr>
        <w:t>--</w:t>
      </w:r>
      <w:r>
        <w:rPr>
          <w:rFonts w:hint="eastAsia" w:ascii="Times New Roman" w:hAnsi="Times New Roman" w:cs="Times New Roman"/>
          <w:b/>
        </w:rPr>
        <w:t>-</w:t>
      </w:r>
      <w:r>
        <w:rPr>
          <w:rFonts w:ascii="Times New Roman" w:hAnsi="Times New Roman" w:cs="Times New Roman"/>
          <w:b/>
        </w:rPr>
        <w:t>以下为空------</w:t>
      </w:r>
      <w:r>
        <w:rPr>
          <w:rFonts w:hint="eastAsia" w:ascii="Times New Roman" w:hAnsi="Times New Roman" w:cs="Times New Roman"/>
          <w:b/>
        </w:rPr>
        <w:t>-----------------------</w:t>
      </w:r>
      <w:r>
        <w:rPr>
          <w:rFonts w:ascii="Times New Roman" w:hAnsi="Times New Roman" w:cs="Times New Roman"/>
          <w:b/>
        </w:rPr>
        <w:t>不得超过</w:t>
      </w:r>
      <w:r>
        <w:rPr>
          <w:rFonts w:hint="eastAsia" w:ascii="Times New Roman" w:hAnsi="Times New Roman" w:cs="Times New Roman"/>
          <w:b/>
        </w:rPr>
        <w:t>2</w:t>
      </w:r>
      <w:r>
        <w:rPr>
          <w:rFonts w:ascii="Times New Roman" w:hAnsi="Times New Roman" w:cs="Times New Roman"/>
          <w:b/>
        </w:rPr>
        <w:t>页A4纸</w:t>
      </w:r>
      <w:r>
        <w:rPr>
          <w:rFonts w:hint="eastAsia" w:ascii="Times New Roman" w:hAnsi="Times New Roman" w:cs="Times New Roman"/>
          <w:b/>
        </w:rPr>
        <w:t>----</w:t>
      </w:r>
      <w:r>
        <w:rPr>
          <w:rFonts w:ascii="Times New Roman" w:hAnsi="Times New Roman" w:cs="Times New Roman"/>
          <w:b/>
        </w:rPr>
        <w:t>---</w:t>
      </w:r>
      <w:r>
        <w:rPr>
          <w:rFonts w:hint="eastAsia" w:ascii="Times New Roman" w:hAnsi="Times New Roman" w:cs="Times New Roman"/>
          <w:b/>
        </w:rPr>
        <w:t>--------</w:t>
      </w:r>
      <w:r>
        <w:rPr>
          <w:rFonts w:ascii="Times New Roman" w:hAnsi="Times New Roman" w:cs="Times New Roman"/>
          <w:b/>
        </w:rPr>
        <w:t>--</w:t>
      </w:r>
      <w:r>
        <w:rPr>
          <w:rFonts w:hint="eastAsia" w:ascii="Times New Roman" w:hAnsi="Times New Roman" w:cs="Times New Roman"/>
          <w:b/>
        </w:rPr>
        <w:t>--</w:t>
      </w:r>
      <w:r>
        <w:rPr>
          <w:rFonts w:ascii="Times New Roman" w:hAnsi="Times New Roman" w:cs="Times New Roman"/>
          <w:b/>
        </w:rPr>
        <w:t xml:space="preserve"> -------以下为空-----</w:t>
      </w:r>
      <w:r>
        <w:rPr>
          <w:rFonts w:hint="eastAsia" w:ascii="Times New Roman" w:hAnsi="Times New Roman" w:cs="Times New Roman"/>
          <w:b/>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U5NjU2MGViMDQ5YTcwMTQzMGY5MTVkZmZiZTI5M2EifQ=="/>
  </w:docVars>
  <w:rsids>
    <w:rsidRoot w:val="000A2D29"/>
    <w:rsid w:val="000A2D29"/>
    <w:rsid w:val="0043779F"/>
    <w:rsid w:val="006F29C4"/>
    <w:rsid w:val="00757372"/>
    <w:rsid w:val="008F0C2E"/>
    <w:rsid w:val="00FA0E92"/>
    <w:rsid w:val="0CE10AAE"/>
    <w:rsid w:val="159E329B"/>
    <w:rsid w:val="332C02F6"/>
    <w:rsid w:val="44330F61"/>
    <w:rsid w:val="513800E2"/>
    <w:rsid w:val="55C93441"/>
    <w:rsid w:val="57F4370C"/>
    <w:rsid w:val="7EC23E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3130</Words>
  <Characters>3261</Characters>
  <Lines>3</Lines>
  <Paragraphs>1</Paragraphs>
  <TotalTime>1</TotalTime>
  <ScaleCrop>false</ScaleCrop>
  <LinksUpToDate>false</LinksUpToDate>
  <CharactersWithSpaces>3272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2024-09-11T15:41:00Z</dcterms:created>
  <dc:creator/>
  <dcterms:modified xsi:type="dcterms:W3CDTF">2026-03-01T12:40:25Z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7D66D31C11984D958D28234B3402E270_13</vt:lpwstr>
  </property>
  <property fmtid="{D5CDD505-2E9C-101B-9397-08002B2CF9AE}" pid="4" name="KSOTemplateDocerSaveRecord">
    <vt:lpwstr>eyJoZGlkIjoiMTM3NjgwZmM4ZDBkOGVkZGE2OTIzOWM0MjkyZmU2YzgiLCJ1c2VySWQiOiIyNDAyNTExMTgifQ==</vt:lpwstr>
  </property>
</Properties>
</file>