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3091" w14:textId="637323D6" w:rsidR="005C2B5B" w:rsidRPr="005C2B5B" w:rsidRDefault="005C2B5B" w:rsidP="005C2B5B">
      <w:pPr>
        <w:pStyle w:val="ae"/>
        <w:spacing w:beforeLines="50" w:before="156" w:beforeAutospacing="0" w:afterLines="50" w:after="156" w:afterAutospacing="0" w:line="276" w:lineRule="auto"/>
        <w:jc w:val="center"/>
        <w:rPr>
          <w:rFonts w:ascii="Times New Roman" w:hAnsi="Times New Roman"/>
          <w:sz w:val="32"/>
          <w:szCs w:val="32"/>
        </w:rPr>
      </w:pPr>
      <w:r w:rsidRPr="005C2B5B">
        <w:rPr>
          <w:rFonts w:ascii="Times New Roman" w:hAnsi="Times New Roman" w:hint="eastAsia"/>
          <w:sz w:val="32"/>
          <w:szCs w:val="32"/>
        </w:rPr>
        <w:t>《初刻拍案惊奇》中文若虚其人的人世探究（文献综述）</w:t>
      </w:r>
    </w:p>
    <w:p w14:paraId="20287974" w14:textId="3B4FD1DA" w:rsidR="005C2B5B" w:rsidRPr="005C2B5B" w:rsidRDefault="005C2B5B" w:rsidP="005C2B5B">
      <w:pPr>
        <w:pStyle w:val="ae"/>
        <w:spacing w:beforeLines="50" w:before="156" w:beforeAutospacing="0" w:afterLines="50" w:after="156" w:afterAutospacing="0" w:line="276" w:lineRule="auto"/>
        <w:jc w:val="center"/>
        <w:rPr>
          <w:rFonts w:ascii="Times New Roman" w:hAnsi="Times New Roman"/>
          <w:sz w:val="21"/>
          <w:szCs w:val="21"/>
        </w:rPr>
      </w:pPr>
      <w:r>
        <w:rPr>
          <w:rFonts w:ascii="Times New Roman" w:hAnsi="Times New Roman" w:hint="eastAsia"/>
          <w:sz w:val="21"/>
          <w:szCs w:val="21"/>
        </w:rPr>
        <w:t xml:space="preserve">2000000 </w:t>
      </w:r>
      <w:r>
        <w:rPr>
          <w:rFonts w:ascii="Times New Roman" w:hAnsi="Times New Roman" w:hint="eastAsia"/>
          <w:sz w:val="21"/>
          <w:szCs w:val="21"/>
        </w:rPr>
        <w:t>人文科学试验班</w:t>
      </w:r>
      <w:r>
        <w:rPr>
          <w:rFonts w:ascii="Times New Roman" w:hAnsi="Times New Roman" w:hint="eastAsia"/>
          <w:sz w:val="21"/>
          <w:szCs w:val="21"/>
        </w:rPr>
        <w:t xml:space="preserve"> </w:t>
      </w:r>
      <w:r>
        <w:rPr>
          <w:rFonts w:ascii="Times New Roman" w:hAnsi="Times New Roman" w:hint="eastAsia"/>
          <w:sz w:val="21"/>
          <w:szCs w:val="21"/>
        </w:rPr>
        <w:t>某同学</w:t>
      </w:r>
    </w:p>
    <w:p w14:paraId="15682711" w14:textId="46861034" w:rsidR="005C2B5B" w:rsidRP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围绕《初刻拍案惊奇》中文若虚这一人物，学界已积累了一定数量的研究成果。不同学者从各自学科视野出发，对这一形象的解读呈现出多元化的面貌。本文以上篇文献为基础，梳理现有研究的主要观点、内在关联及共同局限，以期为后续研究提供参照。</w:t>
      </w:r>
    </w:p>
    <w:p w14:paraId="7E62086F" w14:textId="20ADD5EC" w:rsidR="005C2B5B" w:rsidRP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关于文若虚所处时代的经济背景与商业实践，多位学者提供了制度层面的分析。王炳军认为，晚明发达的贸易网络与多样化的贸易形式为文若虚这样的商人提供了现实机遇，其身上体现了当时的商业文化和进取精神</w:t>
      </w:r>
      <w:r w:rsidR="00340173" w:rsidRPr="00340173">
        <w:rPr>
          <w:rFonts w:ascii="Times New Roman" w:hAnsi="Times New Roman"/>
          <w:vertAlign w:val="superscript"/>
        </w:rPr>
        <w:fldChar w:fldCharType="begin"/>
      </w:r>
      <w:r w:rsidR="00340173" w:rsidRPr="00340173">
        <w:rPr>
          <w:rFonts w:ascii="Times New Roman" w:hAnsi="Times New Roman"/>
          <w:vertAlign w:val="superscript"/>
        </w:rPr>
        <w:instrText xml:space="preserve"> REF _Ref229858835 \r \h </w:instrText>
      </w:r>
      <w:r w:rsidR="00340173">
        <w:rPr>
          <w:rFonts w:ascii="Times New Roman" w:hAnsi="Times New Roman"/>
          <w:vertAlign w:val="superscript"/>
        </w:rPr>
        <w:instrText xml:space="preserve"> \* MERGEFORMAT </w:instrText>
      </w:r>
      <w:r w:rsidR="00340173" w:rsidRPr="00340173">
        <w:rPr>
          <w:rFonts w:ascii="Times New Roman" w:hAnsi="Times New Roman"/>
          <w:vertAlign w:val="superscript"/>
        </w:rPr>
      </w:r>
      <w:r w:rsidR="00340173" w:rsidRPr="00340173">
        <w:rPr>
          <w:rFonts w:ascii="Times New Roman" w:hAnsi="Times New Roman"/>
          <w:vertAlign w:val="superscript"/>
        </w:rPr>
        <w:fldChar w:fldCharType="separate"/>
      </w:r>
      <w:r w:rsidR="00340173" w:rsidRPr="00340173">
        <w:rPr>
          <w:rFonts w:ascii="Times New Roman" w:hAnsi="Times New Roman"/>
          <w:vertAlign w:val="superscript"/>
        </w:rPr>
        <w:t>[4]</w:t>
      </w:r>
      <w:r w:rsidR="00340173" w:rsidRPr="00340173">
        <w:rPr>
          <w:rFonts w:ascii="Times New Roman" w:hAnsi="Times New Roman"/>
          <w:vertAlign w:val="superscript"/>
        </w:rPr>
        <w:fldChar w:fldCharType="end"/>
      </w:r>
      <w:r w:rsidRPr="005C2B5B">
        <w:rPr>
          <w:rFonts w:ascii="Times New Roman" w:hAnsi="Times New Roman"/>
        </w:rPr>
        <w:t>。张亮星则从经济学维度指出，</w:t>
      </w:r>
      <w:r w:rsidRPr="005C2B5B">
        <w:rPr>
          <w:rFonts w:ascii="Times New Roman" w:hAnsi="Times New Roman"/>
        </w:rPr>
        <w:t>“</w:t>
      </w:r>
      <w:r w:rsidRPr="005C2B5B">
        <w:rPr>
          <w:rFonts w:ascii="Times New Roman" w:hAnsi="Times New Roman"/>
        </w:rPr>
        <w:t>三言二拍</w:t>
      </w:r>
      <w:r w:rsidRPr="005C2B5B">
        <w:rPr>
          <w:rFonts w:ascii="Times New Roman" w:hAnsi="Times New Roman"/>
        </w:rPr>
        <w:t>”</w:t>
      </w:r>
      <w:r w:rsidRPr="005C2B5B">
        <w:rPr>
          <w:rFonts w:ascii="Times New Roman" w:hAnsi="Times New Roman"/>
        </w:rPr>
        <w:t>中出现了以最小机会成本追求自身利益最大化的现象，这印证了人文经济学的早期萌芽</w:t>
      </w:r>
      <w:r w:rsidR="00340173" w:rsidRPr="00352C25">
        <w:rPr>
          <w:rFonts w:ascii="Times New Roman" w:hAnsi="Times New Roman"/>
          <w:vertAlign w:val="superscript"/>
        </w:rPr>
        <w:fldChar w:fldCharType="begin"/>
      </w:r>
      <w:r w:rsidR="00340173" w:rsidRPr="00352C25">
        <w:rPr>
          <w:rFonts w:ascii="Times New Roman" w:hAnsi="Times New Roman"/>
          <w:vertAlign w:val="superscript"/>
        </w:rPr>
        <w:instrText xml:space="preserve"> REF _Ref229858860 \r \h </w:instrText>
      </w:r>
      <w:r w:rsidR="00352C25">
        <w:rPr>
          <w:rFonts w:ascii="Times New Roman" w:hAnsi="Times New Roman"/>
          <w:vertAlign w:val="superscript"/>
        </w:rPr>
        <w:instrText xml:space="preserve"> \* MERGEFORMAT </w:instrText>
      </w:r>
      <w:r w:rsidR="00340173" w:rsidRPr="00352C25">
        <w:rPr>
          <w:rFonts w:ascii="Times New Roman" w:hAnsi="Times New Roman"/>
          <w:vertAlign w:val="superscript"/>
        </w:rPr>
      </w:r>
      <w:r w:rsidR="00340173" w:rsidRPr="00352C25">
        <w:rPr>
          <w:rFonts w:ascii="Times New Roman" w:hAnsi="Times New Roman"/>
          <w:vertAlign w:val="superscript"/>
        </w:rPr>
        <w:fldChar w:fldCharType="separate"/>
      </w:r>
      <w:r w:rsidR="00340173" w:rsidRPr="00352C25">
        <w:rPr>
          <w:rFonts w:ascii="Times New Roman" w:hAnsi="Times New Roman"/>
          <w:vertAlign w:val="superscript"/>
        </w:rPr>
        <w:t>[3]</w:t>
      </w:r>
      <w:r w:rsidR="00340173" w:rsidRPr="00352C25">
        <w:rPr>
          <w:rFonts w:ascii="Times New Roman" w:hAnsi="Times New Roman"/>
          <w:vertAlign w:val="superscript"/>
        </w:rPr>
        <w:fldChar w:fldCharType="end"/>
      </w:r>
      <w:r w:rsidRPr="005C2B5B">
        <w:rPr>
          <w:rFonts w:ascii="Times New Roman" w:hAnsi="Times New Roman"/>
        </w:rPr>
        <w:t>。苑丽丽进一步认为，晚明商业文化融合了传统农本思想与儒家思想，商人意识在这一时期显著凸显，经营方式也发生转变</w:t>
      </w:r>
      <w:r w:rsidR="00340173" w:rsidRPr="00352C25">
        <w:rPr>
          <w:rFonts w:ascii="Times New Roman" w:hAnsi="Times New Roman"/>
          <w:vertAlign w:val="superscript"/>
        </w:rPr>
        <w:fldChar w:fldCharType="begin"/>
      </w:r>
      <w:r w:rsidR="00340173" w:rsidRPr="00352C25">
        <w:rPr>
          <w:rFonts w:ascii="Times New Roman" w:hAnsi="Times New Roman"/>
          <w:vertAlign w:val="superscript"/>
        </w:rPr>
        <w:instrText xml:space="preserve"> REF _Ref229858869 \r \h </w:instrText>
      </w:r>
      <w:r w:rsidR="00352C25">
        <w:rPr>
          <w:rFonts w:ascii="Times New Roman" w:hAnsi="Times New Roman"/>
          <w:vertAlign w:val="superscript"/>
        </w:rPr>
        <w:instrText xml:space="preserve"> \* MERGEFORMAT </w:instrText>
      </w:r>
      <w:r w:rsidR="00340173" w:rsidRPr="00352C25">
        <w:rPr>
          <w:rFonts w:ascii="Times New Roman" w:hAnsi="Times New Roman"/>
          <w:vertAlign w:val="superscript"/>
        </w:rPr>
      </w:r>
      <w:r w:rsidR="00340173" w:rsidRPr="00352C25">
        <w:rPr>
          <w:rFonts w:ascii="Times New Roman" w:hAnsi="Times New Roman"/>
          <w:vertAlign w:val="superscript"/>
        </w:rPr>
        <w:fldChar w:fldCharType="separate"/>
      </w:r>
      <w:r w:rsidR="00340173" w:rsidRPr="00352C25">
        <w:rPr>
          <w:rFonts w:ascii="Times New Roman" w:hAnsi="Times New Roman"/>
          <w:vertAlign w:val="superscript"/>
        </w:rPr>
        <w:t>[1]</w:t>
      </w:r>
      <w:r w:rsidR="00340173" w:rsidRPr="00352C25">
        <w:rPr>
          <w:rFonts w:ascii="Times New Roman" w:hAnsi="Times New Roman"/>
          <w:vertAlign w:val="superscript"/>
        </w:rPr>
        <w:fldChar w:fldCharType="end"/>
      </w:r>
      <w:r w:rsidRPr="005C2B5B">
        <w:rPr>
          <w:rFonts w:ascii="Times New Roman" w:hAnsi="Times New Roman"/>
        </w:rPr>
        <w:t>。这三者的分析相互补充</w:t>
      </w:r>
      <w:r w:rsidR="00340173">
        <w:rPr>
          <w:rFonts w:ascii="Times New Roman" w:hAnsi="Times New Roman" w:hint="eastAsia"/>
        </w:rPr>
        <w:t>，从</w:t>
      </w:r>
      <w:r w:rsidRPr="005C2B5B">
        <w:rPr>
          <w:rFonts w:ascii="Times New Roman" w:hAnsi="Times New Roman"/>
        </w:rPr>
        <w:t>思想文化的宏观背景</w:t>
      </w:r>
      <w:r w:rsidR="00340173">
        <w:rPr>
          <w:rFonts w:ascii="Times New Roman" w:hAnsi="Times New Roman" w:hint="eastAsia"/>
        </w:rPr>
        <w:t>、</w:t>
      </w:r>
      <w:r w:rsidRPr="005C2B5B">
        <w:rPr>
          <w:rFonts w:ascii="Times New Roman" w:hAnsi="Times New Roman"/>
        </w:rPr>
        <w:t>具体的商业制度环境</w:t>
      </w:r>
      <w:r w:rsidR="00340173">
        <w:rPr>
          <w:rFonts w:ascii="Times New Roman" w:hAnsi="Times New Roman" w:hint="eastAsia"/>
        </w:rPr>
        <w:t>、</w:t>
      </w:r>
      <w:r w:rsidRPr="005C2B5B">
        <w:rPr>
          <w:rFonts w:ascii="Times New Roman" w:hAnsi="Times New Roman"/>
        </w:rPr>
        <w:t>商人行为背后的经济逻辑</w:t>
      </w:r>
      <w:r w:rsidR="00340173">
        <w:rPr>
          <w:rFonts w:ascii="Times New Roman" w:hAnsi="Times New Roman" w:hint="eastAsia"/>
        </w:rPr>
        <w:t>三个角度出发，具体勾勒出商品经济蓬勃的发展情况与其人的独特性实践</w:t>
      </w:r>
      <w:r w:rsidRPr="005C2B5B">
        <w:rPr>
          <w:rFonts w:ascii="Times New Roman" w:hAnsi="Times New Roman" w:hint="eastAsia"/>
        </w:rPr>
        <w:t>。</w:t>
      </w:r>
    </w:p>
    <w:p w14:paraId="6C13A2C2" w14:textId="0BB98628" w:rsidR="005C2B5B" w:rsidRP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在消费文化与社会心态层面，研究者将目光从商业实践转向了时代心理。巫仁恕通过对晚明士人消费文化的个案考察，发现当时已出现以购买特殊商品来彰显地位的现象</w:t>
      </w:r>
      <w:r w:rsidR="00340173" w:rsidRPr="00352C25">
        <w:rPr>
          <w:rFonts w:ascii="Times New Roman" w:hAnsi="Times New Roman"/>
          <w:vertAlign w:val="superscript"/>
        </w:rPr>
        <w:fldChar w:fldCharType="begin"/>
      </w:r>
      <w:r w:rsidR="00340173" w:rsidRPr="00352C25">
        <w:rPr>
          <w:rFonts w:ascii="Times New Roman" w:hAnsi="Times New Roman"/>
          <w:vertAlign w:val="superscript"/>
        </w:rPr>
        <w:instrText xml:space="preserve"> REF _Ref229858942 \r \h </w:instrText>
      </w:r>
      <w:r w:rsidR="00352C25">
        <w:rPr>
          <w:rFonts w:ascii="Times New Roman" w:hAnsi="Times New Roman"/>
          <w:vertAlign w:val="superscript"/>
        </w:rPr>
        <w:instrText xml:space="preserve"> \* MERGEFORMAT </w:instrText>
      </w:r>
      <w:r w:rsidR="00340173" w:rsidRPr="00352C25">
        <w:rPr>
          <w:rFonts w:ascii="Times New Roman" w:hAnsi="Times New Roman"/>
          <w:vertAlign w:val="superscript"/>
        </w:rPr>
      </w:r>
      <w:r w:rsidR="00340173" w:rsidRPr="00352C25">
        <w:rPr>
          <w:rFonts w:ascii="Times New Roman" w:hAnsi="Times New Roman"/>
          <w:vertAlign w:val="superscript"/>
        </w:rPr>
        <w:fldChar w:fldCharType="separate"/>
      </w:r>
      <w:r w:rsidR="00340173" w:rsidRPr="00352C25">
        <w:rPr>
          <w:rFonts w:ascii="Times New Roman" w:hAnsi="Times New Roman"/>
          <w:vertAlign w:val="superscript"/>
        </w:rPr>
        <w:t>[2]</w:t>
      </w:r>
      <w:r w:rsidR="00340173" w:rsidRPr="00352C25">
        <w:rPr>
          <w:rFonts w:ascii="Times New Roman" w:hAnsi="Times New Roman"/>
          <w:vertAlign w:val="superscript"/>
        </w:rPr>
        <w:fldChar w:fldCharType="end"/>
      </w:r>
      <w:r w:rsidRPr="005C2B5B">
        <w:rPr>
          <w:rFonts w:ascii="Times New Roman" w:hAnsi="Times New Roman"/>
        </w:rPr>
        <w:t>。这一发现为理解文若虚故事中</w:t>
      </w:r>
      <w:r w:rsidRPr="005C2B5B">
        <w:rPr>
          <w:rFonts w:ascii="Times New Roman" w:hAnsi="Times New Roman"/>
        </w:rPr>
        <w:t>“</w:t>
      </w:r>
      <w:r w:rsidRPr="005C2B5B">
        <w:rPr>
          <w:rFonts w:ascii="Times New Roman" w:hAnsi="Times New Roman"/>
        </w:rPr>
        <w:t>洞庭红</w:t>
      </w:r>
      <w:r w:rsidRPr="005C2B5B">
        <w:rPr>
          <w:rFonts w:ascii="Times New Roman" w:hAnsi="Times New Roman"/>
        </w:rPr>
        <w:t>”</w:t>
      </w:r>
      <w:r w:rsidRPr="005C2B5B">
        <w:rPr>
          <w:rFonts w:ascii="Times New Roman" w:hAnsi="Times New Roman"/>
        </w:rPr>
        <w:t>在吉零国被高价追捧的情节提供了解释框架</w:t>
      </w:r>
      <w:r w:rsidRPr="005C2B5B">
        <w:rPr>
          <w:rFonts w:ascii="Times New Roman" w:hAnsi="Times New Roman"/>
        </w:rPr>
        <w:t>——</w:t>
      </w:r>
      <w:r w:rsidRPr="005C2B5B">
        <w:rPr>
          <w:rFonts w:ascii="Times New Roman" w:hAnsi="Times New Roman"/>
        </w:rPr>
        <w:t>橘子已不仅是果品，而成为身份区隔的符号。谢娟林则从更宏观的视角提出，晚明正经历由传统社会向近现代社会的转型，这为中国现代性的内生原发提供了土壤</w:t>
      </w:r>
      <w:r w:rsidR="00340173" w:rsidRPr="00352C25">
        <w:rPr>
          <w:rFonts w:ascii="Times New Roman" w:hAnsi="Times New Roman"/>
          <w:vertAlign w:val="superscript"/>
        </w:rPr>
        <w:fldChar w:fldCharType="begin"/>
      </w:r>
      <w:r w:rsidR="00340173" w:rsidRPr="00352C25">
        <w:rPr>
          <w:rFonts w:ascii="Times New Roman" w:hAnsi="Times New Roman"/>
          <w:vertAlign w:val="superscript"/>
        </w:rPr>
        <w:instrText xml:space="preserve"> REF _Ref229858953 \r \h </w:instrText>
      </w:r>
      <w:r w:rsidR="00352C25">
        <w:rPr>
          <w:rFonts w:ascii="Times New Roman" w:hAnsi="Times New Roman"/>
          <w:vertAlign w:val="superscript"/>
        </w:rPr>
        <w:instrText xml:space="preserve"> \* MERGEFORMAT </w:instrText>
      </w:r>
      <w:r w:rsidR="00340173" w:rsidRPr="00352C25">
        <w:rPr>
          <w:rFonts w:ascii="Times New Roman" w:hAnsi="Times New Roman"/>
          <w:vertAlign w:val="superscript"/>
        </w:rPr>
      </w:r>
      <w:r w:rsidR="00340173" w:rsidRPr="00352C25">
        <w:rPr>
          <w:rFonts w:ascii="Times New Roman" w:hAnsi="Times New Roman"/>
          <w:vertAlign w:val="superscript"/>
        </w:rPr>
        <w:fldChar w:fldCharType="separate"/>
      </w:r>
      <w:r w:rsidR="00340173" w:rsidRPr="00352C25">
        <w:rPr>
          <w:rFonts w:ascii="Times New Roman" w:hAnsi="Times New Roman"/>
          <w:vertAlign w:val="superscript"/>
        </w:rPr>
        <w:t>[5]</w:t>
      </w:r>
      <w:r w:rsidR="00340173" w:rsidRPr="00352C25">
        <w:rPr>
          <w:rFonts w:ascii="Times New Roman" w:hAnsi="Times New Roman"/>
          <w:vertAlign w:val="superscript"/>
        </w:rPr>
        <w:fldChar w:fldCharType="end"/>
      </w:r>
      <w:r w:rsidRPr="005C2B5B">
        <w:rPr>
          <w:rFonts w:ascii="Times New Roman" w:hAnsi="Times New Roman"/>
        </w:rPr>
        <w:t>。在她看来，文若虚</w:t>
      </w:r>
      <w:r w:rsidRPr="005C2B5B">
        <w:rPr>
          <w:rFonts w:ascii="Times New Roman" w:hAnsi="Times New Roman"/>
        </w:rPr>
        <w:t>“</w:t>
      </w:r>
      <w:r w:rsidRPr="005C2B5B">
        <w:rPr>
          <w:rFonts w:ascii="Times New Roman" w:hAnsi="Times New Roman"/>
        </w:rPr>
        <w:t>一夜暴富</w:t>
      </w:r>
      <w:r w:rsidRPr="005C2B5B">
        <w:rPr>
          <w:rFonts w:ascii="Times New Roman" w:hAnsi="Times New Roman"/>
        </w:rPr>
        <w:t>”</w:t>
      </w:r>
      <w:r w:rsidRPr="005C2B5B">
        <w:rPr>
          <w:rFonts w:ascii="Times New Roman" w:hAnsi="Times New Roman"/>
        </w:rPr>
        <w:t>的传奇正是这种社会转型在文学中的投影，反映了新兴市民阶层对财富与身份跃迁的渴望。</w:t>
      </w:r>
    </w:p>
    <w:p w14:paraId="6E0BD8CE" w14:textId="60B8FD6B" w:rsidR="005C2B5B" w:rsidRP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另有学者关注故事的文学构造与海外贸易的制度背景。钟与龙指出，</w:t>
      </w:r>
      <w:r w:rsidRPr="005C2B5B">
        <w:rPr>
          <w:rFonts w:ascii="Times New Roman" w:hAnsi="Times New Roman"/>
        </w:rPr>
        <w:t>“</w:t>
      </w:r>
      <w:r w:rsidRPr="005C2B5B">
        <w:rPr>
          <w:rFonts w:ascii="Times New Roman" w:hAnsi="Times New Roman"/>
        </w:rPr>
        <w:t>三言二拍</w:t>
      </w:r>
      <w:r w:rsidRPr="005C2B5B">
        <w:rPr>
          <w:rFonts w:ascii="Times New Roman" w:hAnsi="Times New Roman"/>
        </w:rPr>
        <w:t>”</w:t>
      </w:r>
      <w:r w:rsidRPr="005C2B5B">
        <w:rPr>
          <w:rFonts w:ascii="Times New Roman" w:hAnsi="Times New Roman"/>
        </w:rPr>
        <w:t>大量运用小道具推动情节发展、塑造人物形象，小道具与梦境的结合增强了作品的艺术表现力，进而反映明中叶的社会风气。文若虚故事中的</w:t>
      </w:r>
      <w:r w:rsidRPr="005C2B5B">
        <w:rPr>
          <w:rFonts w:ascii="Times New Roman" w:hAnsi="Times New Roman"/>
        </w:rPr>
        <w:t>“</w:t>
      </w:r>
      <w:r w:rsidRPr="005C2B5B">
        <w:rPr>
          <w:rFonts w:ascii="Times New Roman" w:hAnsi="Times New Roman"/>
        </w:rPr>
        <w:t>洞庭红</w:t>
      </w:r>
      <w:r w:rsidRPr="005C2B5B">
        <w:rPr>
          <w:rFonts w:ascii="Times New Roman" w:hAnsi="Times New Roman"/>
        </w:rPr>
        <w:t>”</w:t>
      </w:r>
      <w:r w:rsidRPr="005C2B5B">
        <w:rPr>
          <w:rFonts w:ascii="Times New Roman" w:hAnsi="Times New Roman"/>
        </w:rPr>
        <w:t>与</w:t>
      </w:r>
      <w:r w:rsidRPr="005C2B5B">
        <w:rPr>
          <w:rFonts w:ascii="Times New Roman" w:hAnsi="Times New Roman"/>
        </w:rPr>
        <w:t>“</w:t>
      </w:r>
      <w:r w:rsidRPr="005C2B5B">
        <w:rPr>
          <w:rFonts w:ascii="Times New Roman" w:hAnsi="Times New Roman"/>
        </w:rPr>
        <w:t>龟壳</w:t>
      </w:r>
      <w:r w:rsidRPr="005C2B5B">
        <w:rPr>
          <w:rFonts w:ascii="Times New Roman" w:hAnsi="Times New Roman"/>
        </w:rPr>
        <w:t>”</w:t>
      </w:r>
      <w:r w:rsidRPr="005C2B5B">
        <w:rPr>
          <w:rFonts w:ascii="Times New Roman" w:hAnsi="Times New Roman"/>
        </w:rPr>
        <w:t>恰是这类叙事策略的典型体现</w:t>
      </w:r>
      <w:r w:rsidRPr="005C2B5B">
        <w:rPr>
          <w:rFonts w:ascii="Times New Roman" w:hAnsi="Times New Roman"/>
        </w:rPr>
        <w:t>——</w:t>
      </w:r>
      <w:r w:rsidRPr="005C2B5B">
        <w:rPr>
          <w:rFonts w:ascii="Times New Roman" w:hAnsi="Times New Roman"/>
        </w:rPr>
        <w:t>它们不仅是情节转折的关键，更是人物命运变迁的物质载体</w:t>
      </w:r>
      <w:r w:rsidR="00340173" w:rsidRPr="00352C25">
        <w:rPr>
          <w:rFonts w:ascii="Times New Roman" w:hAnsi="Times New Roman"/>
          <w:vertAlign w:val="superscript"/>
        </w:rPr>
        <w:fldChar w:fldCharType="begin"/>
      </w:r>
      <w:r w:rsidR="00340173" w:rsidRPr="00352C25">
        <w:rPr>
          <w:rFonts w:ascii="Times New Roman" w:hAnsi="Times New Roman"/>
          <w:vertAlign w:val="superscript"/>
        </w:rPr>
        <w:instrText xml:space="preserve"> REF _Ref229858962 \r \h </w:instrText>
      </w:r>
      <w:r w:rsidR="00352C25">
        <w:rPr>
          <w:rFonts w:ascii="Times New Roman" w:hAnsi="Times New Roman"/>
          <w:vertAlign w:val="superscript"/>
        </w:rPr>
        <w:instrText xml:space="preserve"> \* MERGEFORMAT </w:instrText>
      </w:r>
      <w:r w:rsidR="00340173" w:rsidRPr="00352C25">
        <w:rPr>
          <w:rFonts w:ascii="Times New Roman" w:hAnsi="Times New Roman"/>
          <w:vertAlign w:val="superscript"/>
        </w:rPr>
      </w:r>
      <w:r w:rsidR="00340173" w:rsidRPr="00352C25">
        <w:rPr>
          <w:rFonts w:ascii="Times New Roman" w:hAnsi="Times New Roman"/>
          <w:vertAlign w:val="superscript"/>
        </w:rPr>
        <w:fldChar w:fldCharType="separate"/>
      </w:r>
      <w:r w:rsidR="00340173" w:rsidRPr="00352C25">
        <w:rPr>
          <w:rFonts w:ascii="Times New Roman" w:hAnsi="Times New Roman"/>
          <w:vertAlign w:val="superscript"/>
        </w:rPr>
        <w:t>[7]</w:t>
      </w:r>
      <w:r w:rsidR="00340173" w:rsidRPr="00352C25">
        <w:rPr>
          <w:rFonts w:ascii="Times New Roman" w:hAnsi="Times New Roman"/>
          <w:vertAlign w:val="superscript"/>
        </w:rPr>
        <w:fldChar w:fldCharType="end"/>
      </w:r>
      <w:r w:rsidRPr="005C2B5B">
        <w:rPr>
          <w:rFonts w:ascii="Times New Roman" w:hAnsi="Times New Roman"/>
        </w:rPr>
        <w:t>。张咪则通过与《十日谈》的比较研究，指出中外当时已存在一定的海外交易制度，如公证制度。这一发现提示我们，文若虚在异国的成功交易并非全然依靠运气，背后有初步的制度化商业规则作为支撑</w:t>
      </w:r>
      <w:r w:rsidR="00340173" w:rsidRPr="00352C25">
        <w:rPr>
          <w:rFonts w:ascii="Times New Roman" w:hAnsi="Times New Roman"/>
          <w:vertAlign w:val="superscript"/>
        </w:rPr>
        <w:fldChar w:fldCharType="begin"/>
      </w:r>
      <w:r w:rsidR="00340173" w:rsidRPr="00352C25">
        <w:rPr>
          <w:rFonts w:ascii="Times New Roman" w:hAnsi="Times New Roman"/>
          <w:vertAlign w:val="superscript"/>
        </w:rPr>
        <w:instrText xml:space="preserve"> REF _Ref229858968 \r \h </w:instrText>
      </w:r>
      <w:r w:rsidR="00352C25">
        <w:rPr>
          <w:rFonts w:ascii="Times New Roman" w:hAnsi="Times New Roman"/>
          <w:vertAlign w:val="superscript"/>
        </w:rPr>
        <w:instrText xml:space="preserve"> \* MERGEFORMAT </w:instrText>
      </w:r>
      <w:r w:rsidR="00340173" w:rsidRPr="00352C25">
        <w:rPr>
          <w:rFonts w:ascii="Times New Roman" w:hAnsi="Times New Roman"/>
          <w:vertAlign w:val="superscript"/>
        </w:rPr>
      </w:r>
      <w:r w:rsidR="00340173" w:rsidRPr="00352C25">
        <w:rPr>
          <w:rFonts w:ascii="Times New Roman" w:hAnsi="Times New Roman"/>
          <w:vertAlign w:val="superscript"/>
        </w:rPr>
        <w:fldChar w:fldCharType="separate"/>
      </w:r>
      <w:r w:rsidR="00340173" w:rsidRPr="00352C25">
        <w:rPr>
          <w:rFonts w:ascii="Times New Roman" w:hAnsi="Times New Roman"/>
          <w:vertAlign w:val="superscript"/>
        </w:rPr>
        <w:t>[6]</w:t>
      </w:r>
      <w:r w:rsidR="00340173" w:rsidRPr="00352C25">
        <w:rPr>
          <w:rFonts w:ascii="Times New Roman" w:hAnsi="Times New Roman"/>
          <w:vertAlign w:val="superscript"/>
        </w:rPr>
        <w:fldChar w:fldCharType="end"/>
      </w:r>
      <w:r w:rsidRPr="005C2B5B">
        <w:rPr>
          <w:rFonts w:ascii="Times New Roman" w:hAnsi="Times New Roman"/>
        </w:rPr>
        <w:t>。</w:t>
      </w:r>
    </w:p>
    <w:p w14:paraId="4A10D57D" w14:textId="7A0AC266" w:rsidR="005C2B5B" w:rsidRP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上述研究虽视角各异，但分享着共同的学术关怀。苑丽丽、张亮星、王炳军均立足于晚明商品经济繁荣这一历史条件，将文若虚的经商实践视为时代变革的缩影；巫仁恕与谢娟林则共同关注消费如何成为社会身份建构的方式，以及新兴市民阶层的欲望表达；钟与龙与张咪虽一重叙事形式、一重制度内容，</w:t>
      </w:r>
      <w:r w:rsidRPr="005C2B5B">
        <w:rPr>
          <w:rFonts w:ascii="Times New Roman" w:hAnsi="Times New Roman"/>
        </w:rPr>
        <w:lastRenderedPageBreak/>
        <w:t>却都试图为小说情节寻找现实依据。可以说，这些研究共同构成了一个跨学科的对话场域，其深层追问指向同一问题：在中国前近代社会内部，是否已孕育出走向现代的萌芽？</w:t>
      </w:r>
    </w:p>
    <w:p w14:paraId="22EF8067" w14:textId="09D0B819" w:rsidR="005C2B5B" w:rsidRP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然而，现有研究也存在若干共同的探讨盲点。其一，学者们多聚焦于文若虚最终的成功，而对其先前</w:t>
      </w:r>
      <w:r w:rsidRPr="005C2B5B">
        <w:rPr>
          <w:rFonts w:ascii="Times New Roman" w:hAnsi="Times New Roman"/>
        </w:rPr>
        <w:t>“</w:t>
      </w:r>
      <w:r w:rsidRPr="005C2B5B">
        <w:rPr>
          <w:rFonts w:ascii="Times New Roman" w:hAnsi="Times New Roman"/>
        </w:rPr>
        <w:t>百做百不着</w:t>
      </w:r>
      <w:r w:rsidRPr="005C2B5B">
        <w:rPr>
          <w:rFonts w:ascii="Times New Roman" w:hAnsi="Times New Roman"/>
        </w:rPr>
        <w:t>”</w:t>
      </w:r>
      <w:r w:rsidRPr="005C2B5B">
        <w:rPr>
          <w:rFonts w:ascii="Times New Roman" w:hAnsi="Times New Roman"/>
        </w:rPr>
        <w:t>的贩扇失败经历关注不足。张亮星虽以机会成本解释商人行为，但未能深入剖析失败案例所揭示的商业风险与底层商人的普遍处境。其二，巫仁恕关于消费彰显地位的分析主要针对士人阶层，但文若虚的消费行为</w:t>
      </w:r>
      <w:r w:rsidRPr="005C2B5B">
        <w:rPr>
          <w:rFonts w:ascii="Times New Roman" w:hAnsi="Times New Roman"/>
        </w:rPr>
        <w:t>——</w:t>
      </w:r>
      <w:r w:rsidRPr="005C2B5B">
        <w:rPr>
          <w:rFonts w:ascii="Times New Roman" w:hAnsi="Times New Roman"/>
        </w:rPr>
        <w:t>暴富后买地置产、娶妻生子</w:t>
      </w:r>
      <w:r w:rsidRPr="005C2B5B">
        <w:rPr>
          <w:rFonts w:ascii="Times New Roman" w:hAnsi="Times New Roman"/>
        </w:rPr>
        <w:t>——</w:t>
      </w:r>
      <w:r w:rsidRPr="005C2B5B">
        <w:rPr>
          <w:rFonts w:ascii="Times New Roman" w:hAnsi="Times New Roman"/>
        </w:rPr>
        <w:t>似乎更接近传统地主而非现代意义上的消费者，其消费模式是否真正具有</w:t>
      </w:r>
      <w:r w:rsidRPr="005C2B5B">
        <w:rPr>
          <w:rFonts w:ascii="Times New Roman" w:hAnsi="Times New Roman"/>
        </w:rPr>
        <w:t>“</w:t>
      </w:r>
      <w:r w:rsidRPr="005C2B5B">
        <w:rPr>
          <w:rFonts w:ascii="Times New Roman" w:hAnsi="Times New Roman"/>
        </w:rPr>
        <w:t>现代性</w:t>
      </w:r>
      <w:r w:rsidRPr="005C2B5B">
        <w:rPr>
          <w:rFonts w:ascii="Times New Roman" w:hAnsi="Times New Roman"/>
        </w:rPr>
        <w:t>”</w:t>
      </w:r>
      <w:r w:rsidRPr="005C2B5B">
        <w:rPr>
          <w:rFonts w:ascii="Times New Roman" w:hAnsi="Times New Roman"/>
        </w:rPr>
        <w:t>，仍有讨论空间。其三，谢娟林提出的</w:t>
      </w:r>
      <w:r w:rsidRPr="005C2B5B">
        <w:rPr>
          <w:rFonts w:ascii="Times New Roman" w:hAnsi="Times New Roman"/>
        </w:rPr>
        <w:t>“</w:t>
      </w:r>
      <w:r w:rsidRPr="005C2B5B">
        <w:rPr>
          <w:rFonts w:ascii="Times New Roman" w:hAnsi="Times New Roman"/>
        </w:rPr>
        <w:t>现代性内生</w:t>
      </w:r>
      <w:r w:rsidRPr="005C2B5B">
        <w:rPr>
          <w:rFonts w:ascii="Times New Roman" w:hAnsi="Times New Roman"/>
        </w:rPr>
        <w:t>”</w:t>
      </w:r>
      <w:r w:rsidRPr="005C2B5B">
        <w:rPr>
          <w:rFonts w:ascii="Times New Roman" w:hAnsi="Times New Roman"/>
        </w:rPr>
        <w:t>论断，以及多数研究对江南、福建等发达区域的关注，可能忽略了晚明中国内部的巨大区域差异。文若虚身处高度商业化的苏州与福建沿海，其经验未必适用于当时大部分内陆与乡村地区。</w:t>
      </w:r>
    </w:p>
    <w:p w14:paraId="7427F3FC" w14:textId="77777777" w:rsidR="005C2B5B" w:rsidRDefault="005C2B5B" w:rsidP="00340173">
      <w:pPr>
        <w:pStyle w:val="ae"/>
        <w:spacing w:beforeLines="50" w:before="156" w:beforeAutospacing="0" w:afterLines="50" w:after="156" w:afterAutospacing="0" w:line="276" w:lineRule="auto"/>
        <w:ind w:firstLine="420"/>
        <w:rPr>
          <w:rFonts w:ascii="Times New Roman" w:hAnsi="Times New Roman"/>
        </w:rPr>
      </w:pPr>
      <w:r w:rsidRPr="005C2B5B">
        <w:rPr>
          <w:rFonts w:ascii="Times New Roman" w:hAnsi="Times New Roman"/>
        </w:rPr>
        <w:t>综合来看，上述研究从市场实践、消费文化、社会心态、叙事艺术等维度，揭示了文若虚形象的多重意涵。将这一形象置于晚明社会的具体语境中可以看到，文若虚的个体经历虽具叙事虚构性，但恰恰是农本社会中商人群体普遍性的一个特殊体现</w:t>
      </w:r>
      <w:r w:rsidRPr="005C2B5B">
        <w:rPr>
          <w:rFonts w:ascii="Times New Roman" w:hAnsi="Times New Roman"/>
        </w:rPr>
        <w:t>——</w:t>
      </w:r>
      <w:r w:rsidRPr="005C2B5B">
        <w:rPr>
          <w:rFonts w:ascii="Times New Roman" w:hAnsi="Times New Roman"/>
        </w:rPr>
        <w:t>他的成败、欲望与选择，折射出那个时代商人阶层在传统与变革间的真实处境。从社会、思想、文化的综合视角重新审视文若虚，或可更完整地呈现这一文学形象作为晚明商业社会缩影的研究价值。</w:t>
      </w:r>
    </w:p>
    <w:p w14:paraId="7FF5EBAC" w14:textId="77777777" w:rsidR="005C2B5B" w:rsidRDefault="005C2B5B" w:rsidP="005C2B5B">
      <w:pPr>
        <w:pStyle w:val="ae"/>
        <w:spacing w:before="0" w:beforeAutospacing="0" w:after="0" w:afterAutospacing="0"/>
        <w:rPr>
          <w:rFonts w:ascii="Times New Roman" w:hAnsi="Times New Roman"/>
        </w:rPr>
      </w:pPr>
    </w:p>
    <w:p w14:paraId="29C01477" w14:textId="27333FEB" w:rsidR="00205FFA" w:rsidRPr="00205FFA" w:rsidRDefault="00205FFA" w:rsidP="005C2B5B">
      <w:pPr>
        <w:pStyle w:val="ae"/>
        <w:spacing w:before="0" w:beforeAutospacing="0" w:after="0" w:afterAutospacing="0"/>
        <w:rPr>
          <w:rFonts w:ascii="Times New Roman" w:hAnsi="Times New Roman"/>
        </w:rPr>
      </w:pPr>
      <w:r w:rsidRPr="00205FFA">
        <w:rPr>
          <w:rFonts w:ascii="Times New Roman" w:hAnsi="Times New Roman" w:hint="eastAsia"/>
        </w:rPr>
        <w:t>参考文献：</w:t>
      </w:r>
    </w:p>
    <w:p w14:paraId="08A6CBBA" w14:textId="491AA570" w:rsidR="00205FFA" w:rsidRPr="00205FFA" w:rsidRDefault="00205FFA" w:rsidP="005C2B5B">
      <w:pPr>
        <w:pStyle w:val="ae"/>
        <w:numPr>
          <w:ilvl w:val="0"/>
          <w:numId w:val="1"/>
        </w:numPr>
        <w:spacing w:before="0" w:beforeAutospacing="0" w:after="0" w:afterAutospacing="0"/>
        <w:rPr>
          <w:rFonts w:ascii="Times New Roman" w:hAnsi="Times New Roman"/>
        </w:rPr>
      </w:pPr>
      <w:bookmarkStart w:id="0" w:name="_Ref229858869"/>
      <w:bookmarkStart w:id="1" w:name="OLE_LINK1"/>
      <w:r w:rsidRPr="00205FFA">
        <w:rPr>
          <w:rFonts w:ascii="Times New Roman" w:hAnsi="Times New Roman"/>
        </w:rPr>
        <w:t>苑丽丽</w:t>
      </w:r>
      <w:r w:rsidRPr="00205FFA">
        <w:rPr>
          <w:rFonts w:ascii="Times New Roman" w:hAnsi="Times New Roman"/>
        </w:rPr>
        <w:t>.“</w:t>
      </w:r>
      <w:r w:rsidRPr="00205FFA">
        <w:rPr>
          <w:rFonts w:ascii="Times New Roman" w:hAnsi="Times New Roman"/>
        </w:rPr>
        <w:t>二拍</w:t>
      </w:r>
      <w:r w:rsidRPr="00205FFA">
        <w:rPr>
          <w:rFonts w:ascii="Times New Roman" w:hAnsi="Times New Roman"/>
        </w:rPr>
        <w:t>”</w:t>
      </w:r>
      <w:r w:rsidRPr="00205FFA">
        <w:rPr>
          <w:rFonts w:ascii="Times New Roman" w:hAnsi="Times New Roman"/>
        </w:rPr>
        <w:t>涉商类篇目中的晚明商业文化现象研究</w:t>
      </w:r>
      <w:r w:rsidRPr="00205FFA">
        <w:rPr>
          <w:rFonts w:ascii="Times New Roman" w:hAnsi="Times New Roman"/>
        </w:rPr>
        <w:t>[D].</w:t>
      </w:r>
      <w:r w:rsidRPr="00205FFA">
        <w:rPr>
          <w:rFonts w:ascii="Times New Roman" w:hAnsi="Times New Roman"/>
        </w:rPr>
        <w:t>陕西师范大学</w:t>
      </w:r>
      <w:r w:rsidRPr="00205FFA">
        <w:rPr>
          <w:rFonts w:ascii="Times New Roman" w:hAnsi="Times New Roman"/>
        </w:rPr>
        <w:t>,2013.</w:t>
      </w:r>
      <w:bookmarkEnd w:id="0"/>
    </w:p>
    <w:p w14:paraId="7E032751" w14:textId="1E499733" w:rsidR="00205FFA" w:rsidRPr="00205FFA" w:rsidRDefault="00205FFA" w:rsidP="005C2B5B">
      <w:pPr>
        <w:pStyle w:val="ae"/>
        <w:numPr>
          <w:ilvl w:val="0"/>
          <w:numId w:val="1"/>
        </w:numPr>
        <w:spacing w:before="0" w:beforeAutospacing="0" w:after="0" w:afterAutospacing="0"/>
        <w:rPr>
          <w:rFonts w:ascii="Times New Roman" w:hAnsi="Times New Roman"/>
        </w:rPr>
      </w:pPr>
      <w:bookmarkStart w:id="2" w:name="_Ref229858942"/>
      <w:r w:rsidRPr="00205FFA">
        <w:rPr>
          <w:rFonts w:ascii="Times New Roman" w:hAnsi="Times New Roman"/>
        </w:rPr>
        <w:t>巫仁恕</w:t>
      </w:r>
      <w:r w:rsidRPr="00205FFA">
        <w:rPr>
          <w:rFonts w:ascii="Times New Roman" w:hAnsi="Times New Roman"/>
        </w:rPr>
        <w:t>.</w:t>
      </w:r>
      <w:r w:rsidRPr="00205FFA">
        <w:rPr>
          <w:rFonts w:ascii="Times New Roman" w:hAnsi="Times New Roman"/>
        </w:rPr>
        <w:t>晚明文士的消费文化</w:t>
      </w:r>
      <w:r w:rsidRPr="00205FFA">
        <w:rPr>
          <w:rFonts w:ascii="Times New Roman" w:hAnsi="Times New Roman"/>
        </w:rPr>
        <w:t>——</w:t>
      </w:r>
      <w:r w:rsidRPr="00205FFA">
        <w:rPr>
          <w:rFonts w:ascii="Times New Roman" w:hAnsi="Times New Roman"/>
        </w:rPr>
        <w:t>以家俱为个案的考察</w:t>
      </w:r>
      <w:r w:rsidRPr="00205FFA">
        <w:rPr>
          <w:rFonts w:ascii="Times New Roman" w:hAnsi="Times New Roman"/>
        </w:rPr>
        <w:t>[J].</w:t>
      </w:r>
      <w:r w:rsidRPr="00205FFA">
        <w:rPr>
          <w:rFonts w:ascii="Times New Roman" w:hAnsi="Times New Roman"/>
        </w:rPr>
        <w:t>浙江学刊</w:t>
      </w:r>
      <w:r w:rsidRPr="00205FFA">
        <w:rPr>
          <w:rFonts w:ascii="Times New Roman" w:hAnsi="Times New Roman"/>
        </w:rPr>
        <w:t>,2005,(06):93-102.DOI:10.16235/j.cnki.33-1005/c.2005.06.013.</w:t>
      </w:r>
      <w:bookmarkEnd w:id="2"/>
    </w:p>
    <w:p w14:paraId="5F4DBF4F" w14:textId="77729CA9" w:rsidR="00205FFA" w:rsidRPr="00205FFA" w:rsidRDefault="00205FFA" w:rsidP="005C2B5B">
      <w:pPr>
        <w:pStyle w:val="ae"/>
        <w:numPr>
          <w:ilvl w:val="0"/>
          <w:numId w:val="1"/>
        </w:numPr>
        <w:spacing w:before="0" w:beforeAutospacing="0" w:after="0" w:afterAutospacing="0"/>
        <w:rPr>
          <w:rFonts w:ascii="Times New Roman" w:hAnsi="Times New Roman"/>
        </w:rPr>
      </w:pPr>
      <w:bookmarkStart w:id="3" w:name="_Ref229858860"/>
      <w:r w:rsidRPr="00205FFA">
        <w:rPr>
          <w:rFonts w:ascii="Times New Roman" w:hAnsi="Times New Roman"/>
        </w:rPr>
        <w:t>张亮星</w:t>
      </w:r>
      <w:r w:rsidRPr="00205FFA">
        <w:rPr>
          <w:rFonts w:ascii="Times New Roman" w:hAnsi="Times New Roman"/>
        </w:rPr>
        <w:t>.</w:t>
      </w:r>
      <w:r w:rsidRPr="00205FFA">
        <w:rPr>
          <w:rFonts w:ascii="Times New Roman" w:hAnsi="Times New Roman"/>
        </w:rPr>
        <w:t>经济维度下的</w:t>
      </w:r>
      <w:r w:rsidRPr="00205FFA">
        <w:rPr>
          <w:rFonts w:ascii="Times New Roman" w:hAnsi="Times New Roman"/>
        </w:rPr>
        <w:t>“</w:t>
      </w:r>
      <w:r w:rsidRPr="00205FFA">
        <w:rPr>
          <w:rFonts w:ascii="Times New Roman" w:hAnsi="Times New Roman"/>
        </w:rPr>
        <w:t>三言二拍</w:t>
      </w:r>
      <w:r w:rsidRPr="00205FFA">
        <w:rPr>
          <w:rFonts w:ascii="Times New Roman" w:hAnsi="Times New Roman"/>
        </w:rPr>
        <w:t>”</w:t>
      </w:r>
      <w:r w:rsidRPr="00205FFA">
        <w:rPr>
          <w:rFonts w:ascii="Times New Roman" w:hAnsi="Times New Roman"/>
        </w:rPr>
        <w:t>研究</w:t>
      </w:r>
      <w:r w:rsidRPr="00205FFA">
        <w:rPr>
          <w:rFonts w:ascii="Times New Roman" w:hAnsi="Times New Roman"/>
        </w:rPr>
        <w:t>[D].</w:t>
      </w:r>
      <w:r w:rsidRPr="00205FFA">
        <w:rPr>
          <w:rFonts w:ascii="Times New Roman" w:hAnsi="Times New Roman"/>
        </w:rPr>
        <w:t>江西师范大学</w:t>
      </w:r>
      <w:r w:rsidRPr="00205FFA">
        <w:rPr>
          <w:rFonts w:ascii="Times New Roman" w:hAnsi="Times New Roman"/>
        </w:rPr>
        <w:t>,2021.DOI:10.27178/d.cnki.gjxsu.2021.000845.</w:t>
      </w:r>
      <w:bookmarkEnd w:id="3"/>
    </w:p>
    <w:p w14:paraId="5351C875" w14:textId="02F0F2A3" w:rsidR="00205FFA" w:rsidRPr="00205FFA" w:rsidRDefault="00205FFA" w:rsidP="005C2B5B">
      <w:pPr>
        <w:pStyle w:val="ae"/>
        <w:numPr>
          <w:ilvl w:val="0"/>
          <w:numId w:val="1"/>
        </w:numPr>
        <w:spacing w:before="0" w:beforeAutospacing="0" w:after="0" w:afterAutospacing="0"/>
        <w:rPr>
          <w:rFonts w:ascii="Times New Roman" w:hAnsi="Times New Roman"/>
        </w:rPr>
      </w:pPr>
      <w:bookmarkStart w:id="4" w:name="_Ref229858835"/>
      <w:r w:rsidRPr="00205FFA">
        <w:rPr>
          <w:rFonts w:ascii="Times New Roman" w:hAnsi="Times New Roman"/>
        </w:rPr>
        <w:t>王炳军</w:t>
      </w:r>
      <w:r w:rsidRPr="00205FFA">
        <w:rPr>
          <w:rFonts w:ascii="Times New Roman" w:hAnsi="Times New Roman"/>
        </w:rPr>
        <w:t>.“</w:t>
      </w:r>
      <w:r w:rsidRPr="00205FFA">
        <w:rPr>
          <w:rFonts w:ascii="Times New Roman" w:hAnsi="Times New Roman"/>
        </w:rPr>
        <w:t>三言二拍</w:t>
      </w:r>
      <w:r w:rsidRPr="00205FFA">
        <w:rPr>
          <w:rFonts w:ascii="Times New Roman" w:hAnsi="Times New Roman"/>
        </w:rPr>
        <w:t>”</w:t>
      </w:r>
      <w:r w:rsidRPr="00205FFA">
        <w:rPr>
          <w:rFonts w:ascii="Times New Roman" w:hAnsi="Times New Roman"/>
        </w:rPr>
        <w:t>中的明代贸易习惯</w:t>
      </w:r>
      <w:r w:rsidRPr="00205FFA">
        <w:rPr>
          <w:rFonts w:ascii="Times New Roman" w:hAnsi="Times New Roman"/>
        </w:rPr>
        <w:t>[N].</w:t>
      </w:r>
      <w:r w:rsidRPr="00205FFA">
        <w:rPr>
          <w:rFonts w:ascii="Times New Roman" w:hAnsi="Times New Roman"/>
        </w:rPr>
        <w:t>人民法院报</w:t>
      </w:r>
      <w:r w:rsidRPr="00205FFA">
        <w:rPr>
          <w:rFonts w:ascii="Times New Roman" w:hAnsi="Times New Roman"/>
        </w:rPr>
        <w:t>,2022-05-06(005).DOI:10.28650/n.cnki.nrmfy.2022.001675.</w:t>
      </w:r>
      <w:bookmarkEnd w:id="4"/>
    </w:p>
    <w:p w14:paraId="1697ECAC" w14:textId="709918A0" w:rsidR="00205FFA" w:rsidRPr="00205FFA" w:rsidRDefault="00205FFA" w:rsidP="005C2B5B">
      <w:pPr>
        <w:pStyle w:val="ae"/>
        <w:numPr>
          <w:ilvl w:val="0"/>
          <w:numId w:val="1"/>
        </w:numPr>
        <w:spacing w:before="0" w:beforeAutospacing="0" w:after="0" w:afterAutospacing="0"/>
        <w:rPr>
          <w:rFonts w:ascii="Times New Roman" w:hAnsi="Times New Roman"/>
        </w:rPr>
      </w:pPr>
      <w:bookmarkStart w:id="5" w:name="_Ref229858953"/>
      <w:r w:rsidRPr="00205FFA">
        <w:rPr>
          <w:rFonts w:ascii="Times New Roman" w:hAnsi="Times New Roman"/>
        </w:rPr>
        <w:t>谢娟林</w:t>
      </w:r>
      <w:r w:rsidRPr="00205FFA">
        <w:rPr>
          <w:rFonts w:ascii="Times New Roman" w:hAnsi="Times New Roman"/>
        </w:rPr>
        <w:t>.</w:t>
      </w:r>
      <w:r w:rsidRPr="00205FFA">
        <w:rPr>
          <w:rFonts w:ascii="Times New Roman" w:hAnsi="Times New Roman"/>
        </w:rPr>
        <w:t>论《三言》中日常生活的现代性</w:t>
      </w:r>
      <w:r w:rsidRPr="00205FFA">
        <w:rPr>
          <w:rFonts w:ascii="Times New Roman" w:hAnsi="Times New Roman"/>
        </w:rPr>
        <w:t>[D].</w:t>
      </w:r>
      <w:r w:rsidRPr="00205FFA">
        <w:rPr>
          <w:rFonts w:ascii="Times New Roman" w:hAnsi="Times New Roman"/>
        </w:rPr>
        <w:t>喀什大学</w:t>
      </w:r>
      <w:r w:rsidRPr="00205FFA">
        <w:rPr>
          <w:rFonts w:ascii="Times New Roman" w:hAnsi="Times New Roman"/>
        </w:rPr>
        <w:t>,2019.</w:t>
      </w:r>
      <w:bookmarkEnd w:id="5"/>
    </w:p>
    <w:p w14:paraId="02FC8A32" w14:textId="3C52A1EC" w:rsidR="00205FFA" w:rsidRPr="00205FFA" w:rsidRDefault="00205FFA" w:rsidP="005C2B5B">
      <w:pPr>
        <w:pStyle w:val="ae"/>
        <w:numPr>
          <w:ilvl w:val="0"/>
          <w:numId w:val="1"/>
        </w:numPr>
        <w:spacing w:before="0" w:beforeAutospacing="0" w:after="0" w:afterAutospacing="0"/>
        <w:rPr>
          <w:rFonts w:ascii="Times New Roman" w:hAnsi="Times New Roman"/>
        </w:rPr>
      </w:pPr>
      <w:bookmarkStart w:id="6" w:name="_Ref229858968"/>
      <w:r w:rsidRPr="00205FFA">
        <w:rPr>
          <w:rFonts w:ascii="Times New Roman" w:hAnsi="Times New Roman"/>
        </w:rPr>
        <w:t>张咪</w:t>
      </w:r>
      <w:r w:rsidRPr="00205FFA">
        <w:rPr>
          <w:rFonts w:ascii="Times New Roman" w:hAnsi="Times New Roman"/>
        </w:rPr>
        <w:t>.</w:t>
      </w:r>
      <w:r w:rsidRPr="00205FFA">
        <w:rPr>
          <w:rFonts w:ascii="Times New Roman" w:hAnsi="Times New Roman"/>
        </w:rPr>
        <w:t>《十日谈》与</w:t>
      </w:r>
      <w:r w:rsidRPr="00205FFA">
        <w:rPr>
          <w:rFonts w:ascii="Times New Roman" w:hAnsi="Times New Roman"/>
        </w:rPr>
        <w:t>“</w:t>
      </w:r>
      <w:r w:rsidRPr="00205FFA">
        <w:rPr>
          <w:rFonts w:ascii="Times New Roman" w:hAnsi="Times New Roman"/>
        </w:rPr>
        <w:t>三言</w:t>
      </w:r>
      <w:r w:rsidRPr="00205FFA">
        <w:rPr>
          <w:rFonts w:ascii="Times New Roman" w:hAnsi="Times New Roman"/>
        </w:rPr>
        <w:t>”“</w:t>
      </w:r>
      <w:r w:rsidRPr="00205FFA">
        <w:rPr>
          <w:rFonts w:ascii="Times New Roman" w:hAnsi="Times New Roman"/>
        </w:rPr>
        <w:t>二拍</w:t>
      </w:r>
      <w:r w:rsidRPr="00205FFA">
        <w:rPr>
          <w:rFonts w:ascii="Times New Roman" w:hAnsi="Times New Roman"/>
        </w:rPr>
        <w:t>”</w:t>
      </w:r>
      <w:r w:rsidRPr="00205FFA">
        <w:rPr>
          <w:rFonts w:ascii="Times New Roman" w:hAnsi="Times New Roman"/>
        </w:rPr>
        <w:t>中的海外贸易</w:t>
      </w:r>
      <w:r w:rsidRPr="00205FFA">
        <w:rPr>
          <w:rFonts w:ascii="Times New Roman" w:hAnsi="Times New Roman"/>
        </w:rPr>
        <w:t>[J].</w:t>
      </w:r>
      <w:r w:rsidRPr="00205FFA">
        <w:rPr>
          <w:rFonts w:ascii="Times New Roman" w:hAnsi="Times New Roman"/>
        </w:rPr>
        <w:t>今古文创</w:t>
      </w:r>
      <w:r w:rsidRPr="00205FFA">
        <w:rPr>
          <w:rFonts w:ascii="Times New Roman" w:hAnsi="Times New Roman"/>
        </w:rPr>
        <w:t>,2022,(38):37-39.DOI:10.20024/j.cnki.CN42-1911/I.2022.38.012.</w:t>
      </w:r>
      <w:bookmarkEnd w:id="6"/>
    </w:p>
    <w:p w14:paraId="106601EB" w14:textId="208A5F31" w:rsidR="0019259E" w:rsidRDefault="00205FFA" w:rsidP="005C2B5B">
      <w:pPr>
        <w:pStyle w:val="ae"/>
        <w:numPr>
          <w:ilvl w:val="0"/>
          <w:numId w:val="1"/>
        </w:numPr>
        <w:spacing w:before="0" w:beforeAutospacing="0" w:after="0" w:afterAutospacing="0"/>
        <w:rPr>
          <w:rFonts w:ascii="Times New Roman" w:hAnsi="Times New Roman"/>
        </w:rPr>
      </w:pPr>
      <w:bookmarkStart w:id="7" w:name="_Ref229858962"/>
      <w:r w:rsidRPr="00205FFA">
        <w:rPr>
          <w:rFonts w:ascii="Times New Roman" w:hAnsi="Times New Roman"/>
        </w:rPr>
        <w:t>钟与龙</w:t>
      </w:r>
      <w:r w:rsidRPr="00205FFA">
        <w:rPr>
          <w:rFonts w:ascii="Times New Roman" w:hAnsi="Times New Roman"/>
        </w:rPr>
        <w:t>.“</w:t>
      </w:r>
      <w:r w:rsidRPr="00205FFA">
        <w:rPr>
          <w:rFonts w:ascii="Times New Roman" w:hAnsi="Times New Roman"/>
        </w:rPr>
        <w:t>三言二拍</w:t>
      </w:r>
      <w:r w:rsidRPr="00205FFA">
        <w:rPr>
          <w:rFonts w:ascii="Times New Roman" w:hAnsi="Times New Roman"/>
        </w:rPr>
        <w:t>”</w:t>
      </w:r>
      <w:r w:rsidRPr="00205FFA">
        <w:rPr>
          <w:rFonts w:ascii="Times New Roman" w:hAnsi="Times New Roman"/>
        </w:rPr>
        <w:t>中小道具与梦境的叙事功能研究</w:t>
      </w:r>
      <w:r w:rsidRPr="00205FFA">
        <w:rPr>
          <w:rFonts w:ascii="Times New Roman" w:hAnsi="Times New Roman"/>
        </w:rPr>
        <w:t>[J].</w:t>
      </w:r>
      <w:r w:rsidRPr="00205FFA">
        <w:rPr>
          <w:rFonts w:ascii="Times New Roman" w:hAnsi="Times New Roman"/>
        </w:rPr>
        <w:t>今古文创</w:t>
      </w:r>
      <w:r w:rsidRPr="00205FFA">
        <w:rPr>
          <w:rFonts w:ascii="Times New Roman" w:hAnsi="Times New Roman"/>
        </w:rPr>
        <w:t>,2026,(17):35-37.DOI:10.20024/j.cnki.CN42-1911/I.2026.17.011.</w:t>
      </w:r>
      <w:bookmarkEnd w:id="7"/>
    </w:p>
    <w:bookmarkEnd w:id="1"/>
    <w:p w14:paraId="74FB9720" w14:textId="77777777" w:rsidR="00205FFA" w:rsidRDefault="00205FFA" w:rsidP="00205FFA">
      <w:pPr>
        <w:pStyle w:val="ae"/>
        <w:spacing w:before="0" w:beforeAutospacing="0" w:after="0" w:afterAutospacing="0"/>
        <w:rPr>
          <w:rFonts w:ascii="Times New Roman" w:hAnsi="Times New Roman"/>
        </w:rPr>
      </w:pPr>
    </w:p>
    <w:p w14:paraId="56E0B824" w14:textId="15FCEFA0" w:rsidR="00205FFA" w:rsidRDefault="00205FFA" w:rsidP="00205FFA">
      <w:pPr>
        <w:pStyle w:val="ae"/>
        <w:spacing w:before="0" w:beforeAutospacing="0" w:after="0" w:afterAutospacing="0"/>
        <w:rPr>
          <w:rFonts w:ascii="Times New Roman" w:hAnsi="Times New Roman"/>
        </w:rPr>
      </w:pPr>
      <w:r>
        <w:rPr>
          <w:rFonts w:ascii="Times New Roman" w:hAnsi="Times New Roman" w:hint="eastAsia"/>
        </w:rPr>
        <w:t>AI</w:t>
      </w:r>
      <w:r>
        <w:rPr>
          <w:rFonts w:ascii="Times New Roman" w:hAnsi="Times New Roman" w:hint="eastAsia"/>
        </w:rPr>
        <w:t>工具：</w:t>
      </w:r>
      <w:proofErr w:type="spellStart"/>
      <w:r w:rsidR="005C2B5B">
        <w:rPr>
          <w:rFonts w:ascii="Times New Roman" w:hAnsi="Times New Roman"/>
        </w:rPr>
        <w:t>Deepseek</w:t>
      </w:r>
      <w:proofErr w:type="spellEnd"/>
      <w:r w:rsidR="005C2B5B">
        <w:rPr>
          <w:rFonts w:ascii="Times New Roman" w:hAnsi="Times New Roman"/>
        </w:rPr>
        <w:t xml:space="preserve"> V4 Pro</w:t>
      </w:r>
    </w:p>
    <w:p w14:paraId="34C04697" w14:textId="6B044136" w:rsidR="00205FFA" w:rsidRPr="00205FFA" w:rsidRDefault="00205FFA" w:rsidP="00205FFA">
      <w:pPr>
        <w:pStyle w:val="ae"/>
        <w:spacing w:before="0" w:beforeAutospacing="0" w:after="0" w:afterAutospacing="0"/>
        <w:rPr>
          <w:rFonts w:ascii="Times New Roman" w:hAnsi="Times New Roman"/>
        </w:rPr>
      </w:pPr>
      <w:r>
        <w:rPr>
          <w:rFonts w:ascii="Times New Roman" w:hAnsi="Times New Roman" w:hint="eastAsia"/>
        </w:rPr>
        <w:t>链接：</w:t>
      </w:r>
      <w:r w:rsidR="005C2B5B" w:rsidRPr="005C2B5B">
        <w:rPr>
          <w:rFonts w:ascii="Times New Roman" w:hAnsi="Times New Roman"/>
        </w:rPr>
        <w:t>https://chat.deepseek.com/share/2r4swwr6vzbb5819q4</w:t>
      </w:r>
    </w:p>
    <w:sectPr w:rsidR="00205FFA" w:rsidRPr="00205F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E6993"/>
    <w:multiLevelType w:val="hybridMultilevel"/>
    <w:tmpl w:val="D1BCC108"/>
    <w:lvl w:ilvl="0" w:tplc="6686A7D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042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FA"/>
    <w:rsid w:val="0019259E"/>
    <w:rsid w:val="001B1706"/>
    <w:rsid w:val="00205FFA"/>
    <w:rsid w:val="00340173"/>
    <w:rsid w:val="00352C25"/>
    <w:rsid w:val="004134DA"/>
    <w:rsid w:val="004A3DF0"/>
    <w:rsid w:val="005C2B5B"/>
    <w:rsid w:val="009E5708"/>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8849B3"/>
  <w15:chartTrackingRefBased/>
  <w15:docId w15:val="{2720A0A3-67C2-3B43-8142-C5FD2D69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5F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5F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5F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5F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5F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5F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5F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5F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5F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F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5F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5F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5FFA"/>
    <w:rPr>
      <w:rFonts w:cstheme="majorBidi"/>
      <w:color w:val="0F4761" w:themeColor="accent1" w:themeShade="BF"/>
      <w:sz w:val="28"/>
      <w:szCs w:val="28"/>
    </w:rPr>
  </w:style>
  <w:style w:type="character" w:customStyle="1" w:styleId="50">
    <w:name w:val="标题 5 字符"/>
    <w:basedOn w:val="a0"/>
    <w:link w:val="5"/>
    <w:uiPriority w:val="9"/>
    <w:semiHidden/>
    <w:rsid w:val="00205FFA"/>
    <w:rPr>
      <w:rFonts w:cstheme="majorBidi"/>
      <w:color w:val="0F4761" w:themeColor="accent1" w:themeShade="BF"/>
      <w:sz w:val="24"/>
    </w:rPr>
  </w:style>
  <w:style w:type="character" w:customStyle="1" w:styleId="60">
    <w:name w:val="标题 6 字符"/>
    <w:basedOn w:val="a0"/>
    <w:link w:val="6"/>
    <w:uiPriority w:val="9"/>
    <w:semiHidden/>
    <w:rsid w:val="00205FFA"/>
    <w:rPr>
      <w:rFonts w:cstheme="majorBidi"/>
      <w:b/>
      <w:bCs/>
      <w:color w:val="0F4761" w:themeColor="accent1" w:themeShade="BF"/>
    </w:rPr>
  </w:style>
  <w:style w:type="character" w:customStyle="1" w:styleId="70">
    <w:name w:val="标题 7 字符"/>
    <w:basedOn w:val="a0"/>
    <w:link w:val="7"/>
    <w:uiPriority w:val="9"/>
    <w:semiHidden/>
    <w:rsid w:val="00205FFA"/>
    <w:rPr>
      <w:rFonts w:cstheme="majorBidi"/>
      <w:b/>
      <w:bCs/>
      <w:color w:val="595959" w:themeColor="text1" w:themeTint="A6"/>
    </w:rPr>
  </w:style>
  <w:style w:type="character" w:customStyle="1" w:styleId="80">
    <w:name w:val="标题 8 字符"/>
    <w:basedOn w:val="a0"/>
    <w:link w:val="8"/>
    <w:uiPriority w:val="9"/>
    <w:semiHidden/>
    <w:rsid w:val="00205FFA"/>
    <w:rPr>
      <w:rFonts w:cstheme="majorBidi"/>
      <w:color w:val="595959" w:themeColor="text1" w:themeTint="A6"/>
    </w:rPr>
  </w:style>
  <w:style w:type="character" w:customStyle="1" w:styleId="90">
    <w:name w:val="标题 9 字符"/>
    <w:basedOn w:val="a0"/>
    <w:link w:val="9"/>
    <w:uiPriority w:val="9"/>
    <w:semiHidden/>
    <w:rsid w:val="00205FFA"/>
    <w:rPr>
      <w:rFonts w:eastAsiaTheme="majorEastAsia" w:cstheme="majorBidi"/>
      <w:color w:val="595959" w:themeColor="text1" w:themeTint="A6"/>
    </w:rPr>
  </w:style>
  <w:style w:type="paragraph" w:styleId="a3">
    <w:name w:val="Title"/>
    <w:basedOn w:val="a"/>
    <w:next w:val="a"/>
    <w:link w:val="a4"/>
    <w:uiPriority w:val="10"/>
    <w:qFormat/>
    <w:rsid w:val="00205F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F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F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5F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5FFA"/>
    <w:pPr>
      <w:spacing w:before="160" w:after="160"/>
      <w:jc w:val="center"/>
    </w:pPr>
    <w:rPr>
      <w:i/>
      <w:iCs/>
      <w:color w:val="404040" w:themeColor="text1" w:themeTint="BF"/>
    </w:rPr>
  </w:style>
  <w:style w:type="character" w:customStyle="1" w:styleId="a8">
    <w:name w:val="引用 字符"/>
    <w:basedOn w:val="a0"/>
    <w:link w:val="a7"/>
    <w:uiPriority w:val="29"/>
    <w:rsid w:val="00205FFA"/>
    <w:rPr>
      <w:i/>
      <w:iCs/>
      <w:color w:val="404040" w:themeColor="text1" w:themeTint="BF"/>
    </w:rPr>
  </w:style>
  <w:style w:type="paragraph" w:styleId="a9">
    <w:name w:val="List Paragraph"/>
    <w:basedOn w:val="a"/>
    <w:uiPriority w:val="34"/>
    <w:qFormat/>
    <w:rsid w:val="00205FFA"/>
    <w:pPr>
      <w:ind w:left="720"/>
      <w:contextualSpacing/>
    </w:pPr>
  </w:style>
  <w:style w:type="character" w:styleId="aa">
    <w:name w:val="Intense Emphasis"/>
    <w:basedOn w:val="a0"/>
    <w:uiPriority w:val="21"/>
    <w:qFormat/>
    <w:rsid w:val="00205FFA"/>
    <w:rPr>
      <w:i/>
      <w:iCs/>
      <w:color w:val="0F4761" w:themeColor="accent1" w:themeShade="BF"/>
    </w:rPr>
  </w:style>
  <w:style w:type="paragraph" w:styleId="ab">
    <w:name w:val="Intense Quote"/>
    <w:basedOn w:val="a"/>
    <w:next w:val="a"/>
    <w:link w:val="ac"/>
    <w:uiPriority w:val="30"/>
    <w:qFormat/>
    <w:rsid w:val="00205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5FFA"/>
    <w:rPr>
      <w:i/>
      <w:iCs/>
      <w:color w:val="0F4761" w:themeColor="accent1" w:themeShade="BF"/>
    </w:rPr>
  </w:style>
  <w:style w:type="character" w:styleId="ad">
    <w:name w:val="Intense Reference"/>
    <w:basedOn w:val="a0"/>
    <w:uiPriority w:val="32"/>
    <w:qFormat/>
    <w:rsid w:val="00205FFA"/>
    <w:rPr>
      <w:b/>
      <w:bCs/>
      <w:smallCaps/>
      <w:color w:val="0F4761" w:themeColor="accent1" w:themeShade="BF"/>
      <w:spacing w:val="5"/>
    </w:rPr>
  </w:style>
  <w:style w:type="paragraph" w:styleId="ae">
    <w:name w:val="Normal (Web)"/>
    <w:basedOn w:val="a"/>
    <w:uiPriority w:val="99"/>
    <w:unhideWhenUsed/>
    <w:rsid w:val="00205FFA"/>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unhideWhenUsed/>
    <w:rsid w:val="005C2B5B"/>
    <w:rPr>
      <w:color w:val="467886" w:themeColor="hyperlink"/>
      <w:u w:val="single"/>
    </w:rPr>
  </w:style>
  <w:style w:type="character" w:styleId="af0">
    <w:name w:val="Unresolved Mention"/>
    <w:basedOn w:val="a0"/>
    <w:uiPriority w:val="99"/>
    <w:semiHidden/>
    <w:unhideWhenUsed/>
    <w:rsid w:val="005C2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7FB86-AF4B-FA49-A2BE-B3392B1AB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dcterms:created xsi:type="dcterms:W3CDTF">2026-05-16T12:56:00Z</dcterms:created>
  <dcterms:modified xsi:type="dcterms:W3CDTF">2026-05-18T00:36:00Z</dcterms:modified>
</cp:coreProperties>
</file>