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65683" w14:textId="5B936FD1" w:rsidR="000A2D29" w:rsidRPr="005F4BD6" w:rsidRDefault="00025CBA" w:rsidP="000A2D29">
      <w:pPr>
        <w:jc w:val="center"/>
        <w:rPr>
          <w:rFonts w:ascii="黑体" w:eastAsia="黑体" w:hAnsi="黑体"/>
          <w:b/>
          <w:sz w:val="28"/>
          <w:szCs w:val="28"/>
        </w:rPr>
      </w:pPr>
      <w:r>
        <w:rPr>
          <w:rFonts w:ascii="黑体" w:eastAsia="黑体" w:hAnsi="黑体" w:hint="eastAsia"/>
          <w:b/>
          <w:sz w:val="28"/>
          <w:szCs w:val="28"/>
        </w:rPr>
        <w:t>2026年秋季学期</w:t>
      </w:r>
      <w:r w:rsidR="000A2D29" w:rsidRPr="005F4BD6">
        <w:rPr>
          <w:rFonts w:ascii="黑体" w:eastAsia="黑体" w:hAnsi="黑体"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143"/>
        <w:gridCol w:w="1134"/>
        <w:gridCol w:w="986"/>
        <w:gridCol w:w="290"/>
        <w:gridCol w:w="1417"/>
        <w:gridCol w:w="556"/>
        <w:gridCol w:w="2263"/>
      </w:tblGrid>
      <w:tr w:rsidR="000A2D29" w:rsidRPr="005F4BD6" w14:paraId="5E07A944" w14:textId="77777777" w:rsidTr="00762B63">
        <w:trPr>
          <w:trHeight w:val="510"/>
          <w:jc w:val="center"/>
        </w:trPr>
        <w:tc>
          <w:tcPr>
            <w:tcW w:w="1224" w:type="dxa"/>
            <w:tcBorders>
              <w:top w:val="single" w:sz="4" w:space="0" w:color="auto"/>
              <w:left w:val="single" w:sz="4" w:space="0" w:color="auto"/>
              <w:bottom w:val="single" w:sz="4" w:space="0" w:color="auto"/>
              <w:right w:val="single" w:sz="4" w:space="0" w:color="auto"/>
            </w:tcBorders>
            <w:vAlign w:val="center"/>
          </w:tcPr>
          <w:p w14:paraId="1441AC7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姓</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名</w:t>
            </w:r>
          </w:p>
        </w:tc>
        <w:tc>
          <w:tcPr>
            <w:tcW w:w="1181" w:type="dxa"/>
            <w:gridSpan w:val="2"/>
            <w:tcBorders>
              <w:top w:val="single" w:sz="4" w:space="0" w:color="auto"/>
              <w:left w:val="single" w:sz="4" w:space="0" w:color="auto"/>
              <w:bottom w:val="single" w:sz="4" w:space="0" w:color="auto"/>
              <w:right w:val="single" w:sz="4" w:space="0" w:color="auto"/>
            </w:tcBorders>
            <w:vAlign w:val="center"/>
          </w:tcPr>
          <w:p w14:paraId="36823902" w14:textId="6478846E"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某同学</w:t>
            </w:r>
          </w:p>
        </w:tc>
        <w:tc>
          <w:tcPr>
            <w:tcW w:w="1134" w:type="dxa"/>
            <w:tcBorders>
              <w:top w:val="single" w:sz="4" w:space="0" w:color="auto"/>
              <w:left w:val="single" w:sz="4" w:space="0" w:color="auto"/>
              <w:bottom w:val="single" w:sz="4" w:space="0" w:color="auto"/>
              <w:right w:val="single" w:sz="4" w:space="0" w:color="auto"/>
            </w:tcBorders>
            <w:vAlign w:val="center"/>
          </w:tcPr>
          <w:p w14:paraId="3CD1CB2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76B97AB" w14:textId="69BB8E72"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2000000</w:t>
            </w:r>
          </w:p>
        </w:tc>
        <w:tc>
          <w:tcPr>
            <w:tcW w:w="1417" w:type="dxa"/>
            <w:tcBorders>
              <w:top w:val="single" w:sz="4" w:space="0" w:color="auto"/>
              <w:left w:val="single" w:sz="4" w:space="0" w:color="auto"/>
              <w:bottom w:val="single" w:sz="4" w:space="0" w:color="auto"/>
              <w:right w:val="single" w:sz="4" w:space="0" w:color="auto"/>
            </w:tcBorders>
            <w:vAlign w:val="center"/>
          </w:tcPr>
          <w:p w14:paraId="55A668AA"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学院</w:t>
            </w:r>
            <w:r w:rsidRPr="005F4BD6">
              <w:rPr>
                <w:rFonts w:ascii="Times New Roman" w:eastAsia="宋体" w:hAnsi="Times New Roman" w:cs="Times New Roman"/>
                <w:b/>
                <w:sz w:val="24"/>
                <w:szCs w:val="24"/>
              </w:rPr>
              <w:t>/</w:t>
            </w:r>
            <w:r w:rsidRPr="005F4BD6">
              <w:rPr>
                <w:rFonts w:ascii="Times New Roman" w:eastAsia="宋体" w:hAnsi="Times New Roman" w:cs="Times New Roman"/>
                <w:b/>
                <w:sz w:val="24"/>
                <w:szCs w:val="24"/>
              </w:rPr>
              <w:t>专业</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6C0A3106" w14:textId="45ECA331"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人文学院</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文化产业管理</w:t>
            </w:r>
          </w:p>
        </w:tc>
      </w:tr>
      <w:tr w:rsidR="005F4BD6" w:rsidRPr="005F4BD6" w14:paraId="32EA963C" w14:textId="77777777" w:rsidTr="00762B63">
        <w:trPr>
          <w:trHeight w:val="561"/>
          <w:jc w:val="center"/>
        </w:trPr>
        <w:tc>
          <w:tcPr>
            <w:tcW w:w="1224" w:type="dxa"/>
            <w:vAlign w:val="center"/>
          </w:tcPr>
          <w:p w14:paraId="3713B4ED"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班</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p w14:paraId="66F579BB" w14:textId="281A6856"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(8</w:t>
            </w:r>
            <w:r w:rsidRPr="005F4BD6">
              <w:rPr>
                <w:rFonts w:ascii="Times New Roman" w:eastAsia="宋体" w:hAnsi="Times New Roman" w:cs="Times New Roman"/>
                <w:b/>
                <w:sz w:val="24"/>
                <w:szCs w:val="24"/>
              </w:rPr>
              <w:t>位数</w:t>
            </w:r>
            <w:r w:rsidRPr="005F4BD6">
              <w:rPr>
                <w:rFonts w:ascii="Times New Roman" w:eastAsia="宋体" w:hAnsi="Times New Roman" w:cs="Times New Roman"/>
                <w:b/>
                <w:sz w:val="24"/>
                <w:szCs w:val="24"/>
              </w:rPr>
              <w:t>)</w:t>
            </w:r>
          </w:p>
        </w:tc>
        <w:tc>
          <w:tcPr>
            <w:tcW w:w="3591" w:type="dxa"/>
            <w:gridSpan w:val="5"/>
            <w:vAlign w:val="center"/>
          </w:tcPr>
          <w:p w14:paraId="724BE794" w14:textId="304772AB"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54000000</w:t>
            </w:r>
          </w:p>
        </w:tc>
        <w:tc>
          <w:tcPr>
            <w:tcW w:w="1417" w:type="dxa"/>
            <w:vAlign w:val="center"/>
          </w:tcPr>
          <w:p w14:paraId="65000124"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教师姓名</w:t>
            </w:r>
          </w:p>
        </w:tc>
        <w:tc>
          <w:tcPr>
            <w:tcW w:w="2819" w:type="dxa"/>
            <w:gridSpan w:val="2"/>
            <w:vAlign w:val="center"/>
          </w:tcPr>
          <w:p w14:paraId="4C389CF7" w14:textId="3983F83A"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姚玉红</w:t>
            </w:r>
          </w:p>
        </w:tc>
      </w:tr>
      <w:tr w:rsidR="000A2D29" w:rsidRPr="005F4BD6" w14:paraId="0F1DB9D7" w14:textId="77777777" w:rsidTr="00BC6CE8">
        <w:trPr>
          <w:trHeight w:val="684"/>
          <w:jc w:val="center"/>
        </w:trPr>
        <w:tc>
          <w:tcPr>
            <w:tcW w:w="1224" w:type="dxa"/>
            <w:vAlign w:val="center"/>
          </w:tcPr>
          <w:p w14:paraId="4CAC51C1"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课程</w:t>
            </w:r>
          </w:p>
          <w:p w14:paraId="09C92F0F"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论文要求</w:t>
            </w:r>
          </w:p>
        </w:tc>
        <w:tc>
          <w:tcPr>
            <w:tcW w:w="7827" w:type="dxa"/>
            <w:gridSpan w:val="8"/>
          </w:tcPr>
          <w:p w14:paraId="061F130B" w14:textId="77777777" w:rsidR="000A2D29" w:rsidRPr="005F4BD6" w:rsidRDefault="000A2D29" w:rsidP="005F4BD6">
            <w:pPr>
              <w:jc w:val="left"/>
              <w:rPr>
                <w:rFonts w:ascii="Times New Roman" w:eastAsia="仿宋" w:hAnsi="Times New Roman" w:cs="Times New Roman"/>
                <w:sz w:val="24"/>
                <w:szCs w:val="24"/>
              </w:rPr>
            </w:pPr>
            <w:r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、论文请结合所学知识，自拟标题，展开论述，</w:t>
            </w:r>
            <w:r w:rsidRPr="005F4BD6">
              <w:rPr>
                <w:rFonts w:ascii="Times New Roman" w:eastAsia="仿宋" w:hAnsi="Times New Roman" w:cs="Times New Roman"/>
                <w:b/>
                <w:bCs/>
                <w:color w:val="FF0000"/>
                <w:sz w:val="24"/>
                <w:szCs w:val="24"/>
              </w:rPr>
              <w:t>诗歌、决心书、散文、口号等非论文形式的</w:t>
            </w:r>
            <w:r w:rsidRPr="005F4BD6">
              <w:rPr>
                <w:rFonts w:ascii="Times New Roman" w:eastAsia="仿宋" w:hAnsi="Times New Roman" w:cs="Times New Roman"/>
                <w:sz w:val="24"/>
                <w:szCs w:val="24"/>
              </w:rPr>
              <w:t>，未结合所学知识的，均扣除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p>
          <w:p w14:paraId="712A3023" w14:textId="44FD7A9C"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2</w:t>
            </w:r>
            <w:r w:rsidRPr="005F4BD6">
              <w:rPr>
                <w:rFonts w:ascii="Times New Roman" w:eastAsia="仿宋" w:hAnsi="Times New Roman" w:cs="Times New Roman"/>
                <w:sz w:val="24"/>
                <w:szCs w:val="24"/>
              </w:rPr>
              <w:t>、论文必须坚持观点正确，并做到符合基本的学术规范</w:t>
            </w:r>
            <w:r w:rsidR="00FF25D2" w:rsidRPr="005F4BD6">
              <w:rPr>
                <w:rFonts w:ascii="Times New Roman" w:eastAsia="仿宋" w:hAnsi="Times New Roman" w:cs="Times New Roman"/>
                <w:sz w:val="24"/>
                <w:szCs w:val="24"/>
              </w:rPr>
              <w:t>，</w:t>
            </w:r>
            <w:r w:rsidR="00D05AAE" w:rsidRPr="005F4BD6">
              <w:rPr>
                <w:rFonts w:ascii="Times New Roman" w:eastAsia="仿宋" w:hAnsi="Times New Roman" w:cs="Times New Roman"/>
                <w:sz w:val="24"/>
                <w:szCs w:val="24"/>
              </w:rPr>
              <w:t>有脚注</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p w14:paraId="7A858FD2" w14:textId="520561BD"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3</w:t>
            </w:r>
            <w:r w:rsidRPr="005F4BD6">
              <w:rPr>
                <w:rFonts w:ascii="Times New Roman" w:eastAsia="仿宋" w:hAnsi="Times New Roman" w:cs="Times New Roman"/>
                <w:sz w:val="24"/>
                <w:szCs w:val="24"/>
              </w:rPr>
              <w:t>、论文题目、各级标题、正文的字体、字号必须为</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宋体、小四号</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，黑色字（不加粗）、行距</w:t>
            </w:r>
            <w:r w:rsidRPr="005F4BD6">
              <w:rPr>
                <w:rFonts w:ascii="Times New Roman" w:eastAsia="仿宋" w:hAnsi="Times New Roman" w:cs="Times New Roman"/>
                <w:sz w:val="24"/>
                <w:szCs w:val="24"/>
              </w:rPr>
              <w:t>1.</w:t>
            </w:r>
            <w:r w:rsidR="00A256BE"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5</w:t>
            </w:r>
            <w:r w:rsidRPr="005F4BD6">
              <w:rPr>
                <w:rFonts w:ascii="Times New Roman" w:eastAsia="仿宋" w:hAnsi="Times New Roman" w:cs="Times New Roman"/>
                <w:sz w:val="24"/>
                <w:szCs w:val="24"/>
              </w:rPr>
              <w:t>倍；字数不少于</w:t>
            </w:r>
            <w:r w:rsidRPr="005F4BD6">
              <w:rPr>
                <w:rFonts w:ascii="Times New Roman" w:eastAsia="仿宋" w:hAnsi="Times New Roman" w:cs="Times New Roman"/>
                <w:sz w:val="24"/>
                <w:szCs w:val="24"/>
              </w:rPr>
              <w:t>1000</w:t>
            </w:r>
            <w:r w:rsidRPr="005F4BD6">
              <w:rPr>
                <w:rFonts w:ascii="Times New Roman" w:eastAsia="仿宋" w:hAnsi="Times New Roman" w:cs="Times New Roman"/>
                <w:sz w:val="24"/>
                <w:szCs w:val="24"/>
              </w:rPr>
              <w:t>字，但</w:t>
            </w:r>
            <w:r w:rsidRPr="005F4BD6">
              <w:rPr>
                <w:rFonts w:ascii="Times New Roman" w:eastAsia="仿宋" w:hAnsi="Times New Roman" w:cs="Times New Roman"/>
                <w:b/>
                <w:bCs/>
                <w:color w:val="FF0000"/>
                <w:sz w:val="24"/>
                <w:szCs w:val="24"/>
              </w:rPr>
              <w:t>不能超过二页</w:t>
            </w:r>
            <w:r w:rsidRPr="005F4BD6">
              <w:rPr>
                <w:rFonts w:ascii="Times New Roman" w:eastAsia="仿宋" w:hAnsi="Times New Roman" w:cs="Times New Roman"/>
                <w:b/>
                <w:bCs/>
                <w:color w:val="FF0000"/>
                <w:sz w:val="24"/>
                <w:szCs w:val="24"/>
              </w:rPr>
              <w:t>A4</w:t>
            </w:r>
            <w:r w:rsidR="00A256BE" w:rsidRPr="005F4BD6">
              <w:rPr>
                <w:rFonts w:ascii="Times New Roman" w:eastAsia="仿宋" w:hAnsi="Times New Roman" w:cs="Times New Roman"/>
                <w:b/>
                <w:bCs/>
                <w:color w:val="FF0000"/>
                <w:sz w:val="24"/>
                <w:szCs w:val="24"/>
              </w:rPr>
              <w:t>，纸质版提交请正反双面打印</w:t>
            </w:r>
            <w:r w:rsidRPr="005F4BD6">
              <w:rPr>
                <w:rFonts w:ascii="Times New Roman" w:eastAsia="仿宋" w:hAnsi="Times New Roman" w:cs="Times New Roman"/>
                <w:sz w:val="24"/>
                <w:szCs w:val="24"/>
              </w:rPr>
              <w:t>；违反扣除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分）论文不需要摘要。</w:t>
            </w:r>
          </w:p>
          <w:p w14:paraId="70EB54B6"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4</w:t>
            </w:r>
            <w:r w:rsidRPr="005F4BD6">
              <w:rPr>
                <w:rFonts w:ascii="Times New Roman" w:eastAsia="仿宋" w:hAnsi="Times New Roman" w:cs="Times New Roman"/>
                <w:sz w:val="24"/>
                <w:szCs w:val="24"/>
              </w:rPr>
              <w:t>、论文应做到</w:t>
            </w:r>
            <w:r w:rsidRPr="005F4BD6">
              <w:rPr>
                <w:rFonts w:ascii="Times New Roman" w:eastAsia="仿宋" w:hAnsi="Times New Roman" w:cs="Times New Roman"/>
                <w:b/>
                <w:bCs/>
                <w:color w:val="FF0000"/>
                <w:sz w:val="24"/>
                <w:szCs w:val="24"/>
              </w:rPr>
              <w:t>结构完整</w:t>
            </w:r>
            <w:r w:rsidRPr="005F4BD6">
              <w:rPr>
                <w:rFonts w:ascii="Times New Roman" w:eastAsia="仿宋" w:hAnsi="Times New Roman" w:cs="Times New Roman"/>
                <w:sz w:val="24"/>
                <w:szCs w:val="24"/>
              </w:rPr>
              <w:t>、内容</w:t>
            </w:r>
            <w:r w:rsidRPr="005F4BD6">
              <w:rPr>
                <w:rFonts w:ascii="Times New Roman" w:eastAsia="仿宋" w:hAnsi="Times New Roman" w:cs="Times New Roman"/>
                <w:b/>
                <w:bCs/>
                <w:color w:val="FF0000"/>
                <w:sz w:val="24"/>
                <w:szCs w:val="24"/>
              </w:rPr>
              <w:t>论证有依据</w:t>
            </w:r>
            <w:r w:rsidRPr="005F4BD6">
              <w:rPr>
                <w:rFonts w:ascii="Times New Roman" w:eastAsia="仿宋" w:hAnsi="Times New Roman" w:cs="Times New Roman"/>
                <w:sz w:val="24"/>
                <w:szCs w:val="24"/>
              </w:rPr>
              <w:t>、论述展开</w:t>
            </w:r>
            <w:r w:rsidRPr="005F4BD6">
              <w:rPr>
                <w:rFonts w:ascii="Times New Roman" w:eastAsia="仿宋" w:hAnsi="Times New Roman" w:cs="Times New Roman"/>
                <w:b/>
                <w:bCs/>
                <w:color w:val="FF0000"/>
                <w:sz w:val="24"/>
                <w:szCs w:val="24"/>
              </w:rPr>
              <w:t>有逻辑</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tc>
      </w:tr>
      <w:tr w:rsidR="000A2D29" w:rsidRPr="005F4BD6" w14:paraId="7B44D12E" w14:textId="77777777" w:rsidTr="00A256BE">
        <w:trPr>
          <w:trHeight w:val="1004"/>
          <w:jc w:val="center"/>
        </w:trPr>
        <w:tc>
          <w:tcPr>
            <w:tcW w:w="9051" w:type="dxa"/>
            <w:gridSpan w:val="9"/>
          </w:tcPr>
          <w:p w14:paraId="1096D9FD" w14:textId="77777777" w:rsidR="000A2D29" w:rsidRPr="005F4BD6" w:rsidRDefault="00A256BE" w:rsidP="005F4BD6">
            <w:pP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评阅意见：</w:t>
            </w:r>
          </w:p>
          <w:p w14:paraId="4B1BD584" w14:textId="77777777" w:rsidR="00A256BE" w:rsidRPr="005F4BD6" w:rsidRDefault="00A256BE" w:rsidP="005F4BD6">
            <w:pPr>
              <w:rPr>
                <w:rFonts w:ascii="Times New Roman" w:eastAsia="宋体" w:hAnsi="Times New Roman" w:cs="Times New Roman"/>
                <w:b/>
                <w:sz w:val="24"/>
                <w:szCs w:val="24"/>
              </w:rPr>
            </w:pPr>
          </w:p>
          <w:p w14:paraId="026F19FE" w14:textId="70C0E0ED" w:rsidR="00A256BE" w:rsidRPr="005F4BD6" w:rsidRDefault="00A256BE" w:rsidP="005F4BD6">
            <w:pPr>
              <w:rPr>
                <w:rFonts w:ascii="Times New Roman" w:eastAsia="宋体" w:hAnsi="Times New Roman" w:cs="Times New Roman"/>
                <w:b/>
                <w:sz w:val="24"/>
                <w:szCs w:val="24"/>
              </w:rPr>
            </w:pPr>
          </w:p>
        </w:tc>
      </w:tr>
      <w:tr w:rsidR="000A2D29" w:rsidRPr="005F4BD6" w14:paraId="2856ABD0" w14:textId="77777777" w:rsidTr="00E82F5B">
        <w:trPr>
          <w:trHeight w:val="140"/>
          <w:jc w:val="center"/>
        </w:trPr>
        <w:tc>
          <w:tcPr>
            <w:tcW w:w="2262" w:type="dxa"/>
            <w:gridSpan w:val="2"/>
            <w:vAlign w:val="center"/>
          </w:tcPr>
          <w:p w14:paraId="7973B4E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评阅教师</w:t>
            </w:r>
          </w:p>
        </w:tc>
        <w:tc>
          <w:tcPr>
            <w:tcW w:w="2263" w:type="dxa"/>
            <w:gridSpan w:val="3"/>
            <w:vAlign w:val="center"/>
          </w:tcPr>
          <w:p w14:paraId="66F019CC" w14:textId="77777777" w:rsidR="000A2D29" w:rsidRPr="005F4BD6" w:rsidRDefault="000A2D29" w:rsidP="005F4BD6">
            <w:pPr>
              <w:jc w:val="center"/>
              <w:rPr>
                <w:rFonts w:ascii="Times New Roman" w:eastAsia="宋体" w:hAnsi="Times New Roman" w:cs="Times New Roman"/>
                <w:b/>
                <w:sz w:val="24"/>
                <w:szCs w:val="24"/>
              </w:rPr>
            </w:pPr>
          </w:p>
        </w:tc>
        <w:tc>
          <w:tcPr>
            <w:tcW w:w="2263" w:type="dxa"/>
            <w:gridSpan w:val="3"/>
            <w:vAlign w:val="center"/>
          </w:tcPr>
          <w:p w14:paraId="241A8825"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最终成绩评定</w:t>
            </w:r>
          </w:p>
          <w:p w14:paraId="28E5AF89"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（百分制）</w:t>
            </w:r>
          </w:p>
        </w:tc>
        <w:tc>
          <w:tcPr>
            <w:tcW w:w="2263" w:type="dxa"/>
            <w:vAlign w:val="center"/>
          </w:tcPr>
          <w:p w14:paraId="0E8BE82C" w14:textId="77777777" w:rsidR="000A2D29" w:rsidRPr="005F4BD6" w:rsidRDefault="000A2D29" w:rsidP="005F4BD6">
            <w:pPr>
              <w:jc w:val="center"/>
              <w:rPr>
                <w:rFonts w:ascii="Times New Roman" w:eastAsia="宋体" w:hAnsi="Times New Roman" w:cs="Times New Roman"/>
                <w:b/>
                <w:sz w:val="24"/>
                <w:szCs w:val="24"/>
              </w:rPr>
            </w:pPr>
          </w:p>
        </w:tc>
      </w:tr>
      <w:tr w:rsidR="00A256BE" w:rsidRPr="005F4BD6" w14:paraId="716448D9" w14:textId="77777777" w:rsidTr="00E82F5B">
        <w:trPr>
          <w:trHeight w:val="631"/>
          <w:jc w:val="center"/>
        </w:trPr>
        <w:tc>
          <w:tcPr>
            <w:tcW w:w="9051" w:type="dxa"/>
            <w:gridSpan w:val="9"/>
            <w:vAlign w:val="center"/>
          </w:tcPr>
          <w:p w14:paraId="397FA832" w14:textId="55477378" w:rsidR="00A256BE" w:rsidRPr="00762B63" w:rsidRDefault="00762B63" w:rsidP="00762B63">
            <w:pPr>
              <w:spacing w:line="276" w:lineRule="auto"/>
              <w:jc w:val="center"/>
              <w:rPr>
                <w:rFonts w:ascii="宋体" w:eastAsia="宋体" w:hAnsi="宋体" w:cs="Times New Roman"/>
                <w:bCs/>
                <w:sz w:val="24"/>
                <w:szCs w:val="24"/>
              </w:rPr>
            </w:pPr>
            <w:r w:rsidRPr="00762B63">
              <w:rPr>
                <w:rFonts w:ascii="宋体" w:eastAsia="宋体" w:hAnsi="宋体" w:cs="Times New Roman"/>
                <w:bCs/>
                <w:sz w:val="24"/>
                <w:szCs w:val="24"/>
              </w:rPr>
              <w:t>从上海自贸试验区负面清单看“以开放促改革”</w:t>
            </w:r>
          </w:p>
        </w:tc>
      </w:tr>
    </w:tbl>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2013年，上海自贸试验区公布外商投资准入负面清单，把扩大开放落到外资进入市场的条件和程序上。一份准入清单，凭什么承载"以开放促改革"的分量？答案在准入规则的调整会向既有管理体系提出新的要求。清单只有一份，企业面对的却是从登记到经营的一整套手续。</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清单之外的外商投资项目由核准改为备案，外商投资企业的合同章程审批同样改为备案。</w:t>
      </w:r>
      <w:r>
        <w:rPr>
          <w:rFonts w:ascii="宋体" w:eastAsia="宋体" w:hAnsi="宋体" w:cs="Times New Roman"/>
          <w:vertAlign w:val="superscript"/>
        </w:rPr>
        <w:t xml:space="preserve">[</w:t>
      </w:r>
      <w:r>
        <w:rPr>
          <w:rFonts w:ascii="宋体" w:eastAsia="宋体" w:hAnsi="宋体" w:cs="Times New Roman"/>
          <w:vertAlign w:val="superscript"/>
        </w:rPr>
        <w:footnoteReference w:id="1"/>
      </w:r>
      <w:r>
        <w:rPr>
          <w:rFonts w:ascii="宋体" w:eastAsia="宋体" w:hAnsi="宋体" w:cs="Times New Roman"/>
          <w:vertAlign w:val="superscript"/>
        </w:rPr>
        <w:t xml:space="preserve">]</w:t>
      </w:r>
      <w:r>
        <w:rPr>
          <w:rFonts w:ascii="宋体" w:eastAsia="宋体" w:hAnsi="宋体" w:cs="Times New Roman"/>
          <w:bCs/>
          <w:sz w:val="24"/>
          <w:szCs w:val="24"/>
        </w:rPr>
        <w:t xml:space="preserve">企业凭公开列明的特别管理措施判断投资条件，政府保留的限制不再由办事人员临时掌握。清单把限制写到纸面上，办事依据从口头答复变成公开文本。备案不等于免去审查，国家安全审查、反垄断审查照旧，开展特定业务所需的行业许可仍须依法办理。登记完成，经营许可未必到手。准入边界公开之后，企业设立以后的手续能否接上，成为开放必须回答的下一问。</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许可条件、办理期限需要提前告知。一家中外合资旅行社在注册时没有被告知取得出境游资质还须经营满两年，企业登记与行业许可的信息没能接上。</w:t>
      </w:r>
      <w:r>
        <w:rPr>
          <w:rFonts w:ascii="宋体" w:eastAsia="宋体" w:hAnsi="宋体" w:cs="Times New Roman"/>
          <w:vertAlign w:val="superscript"/>
        </w:rPr>
        <w:t xml:space="preserve">[</w:t>
      </w:r>
      <w:r>
        <w:rPr>
          <w:rFonts w:ascii="宋体" w:eastAsia="宋体" w:hAnsi="宋体" w:cs="Times New Roman"/>
          <w:vertAlign w:val="superscript"/>
        </w:rPr>
        <w:footnoteReference w:id="2"/>
      </w:r>
      <w:r>
        <w:rPr>
          <w:rFonts w:ascii="宋体" w:eastAsia="宋体" w:hAnsi="宋体" w:cs="Times New Roman"/>
          <w:vertAlign w:val="superscript"/>
        </w:rPr>
        <w:t xml:space="preserve">]</w:t>
      </w:r>
      <w:r>
        <w:rPr>
          <w:rFonts w:ascii="宋体" w:eastAsia="宋体" w:hAnsi="宋体" w:cs="Times New Roman"/>
          <w:bCs/>
          <w:sz w:val="24"/>
          <w:szCs w:val="24"/>
        </w:rPr>
        <w:t xml:space="preserve">资金投进去才得知经营条件，等待时间与成本都难以估算。企业能算清清单上的门槛，却算不清清单之外的等待。清单公开之外，还得配上讲清楚的许可权限、条件和办理期限，办理部门据此受到约束。</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前端审查减少，后台监管必须接得住。上海国际艺术品保税服务中心试点把部分技术审查移到施工许可之后限期完成，取得规划许可证比传统程序提前约两个月，同时要求建筑师承诺设计文件合规、接受后续监管。</w:t>
      </w:r>
      <w:r>
        <w:rPr>
          <w:rFonts w:ascii="宋体" w:eastAsia="宋体" w:hAnsi="宋体" w:cs="Times New Roman"/>
          <w:vertAlign w:val="superscript"/>
        </w:rPr>
        <w:t xml:space="preserve">[</w:t>
      </w:r>
      <w:r>
        <w:rPr>
          <w:rFonts w:ascii="宋体" w:eastAsia="宋体" w:hAnsi="宋体" w:cs="Times New Roman"/>
          <w:vertAlign w:val="superscript"/>
        </w:rPr>
        <w:footnoteReference w:id="3"/>
      </w:r>
      <w:r>
        <w:rPr>
          <w:rFonts w:ascii="宋体" w:eastAsia="宋体" w:hAnsi="宋体" w:cs="Times New Roman"/>
          <w:vertAlign w:val="superscript"/>
        </w:rPr>
        <w:t xml:space="preserve">]</w:t>
      </w:r>
      <w:r>
        <w:rPr>
          <w:rFonts w:ascii="宋体" w:eastAsia="宋体" w:hAnsi="宋体" w:cs="Times New Roman"/>
          <w:bCs/>
          <w:sz w:val="24"/>
          <w:szCs w:val="24"/>
        </w:rPr>
        <w:t xml:space="preserve">提速只是个案，承诺是否兑现要有人查，施工中的问题要有人处置，而当时一些部门还没有专职监管人员。前台简化了，后台职责还得理顺。保税区管理局的规划审批、质量监督与日常执法分属四个部门，缺少有效的协同机制。审批信息交给谁、异常由谁检查、违规由谁处置，分工要能追溯，企业少跑窗口才有政府内部工作方式的支撑。任何一个环节卡住，前面省下的时间都会还回去。</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企业进入之后能否展开经营，比清单条目增减更能说明开放的质量。外商投资企业在自贸试验区内的前十大股东境外持股比例明显提高，外资存续时长也更长，制度性交易成本下降、供应链稳定性增强、不确定性预期改善是可能的渠道。</w:t>
      </w:r>
      <w:r>
        <w:rPr>
          <w:rFonts w:ascii="宋体" w:eastAsia="宋体" w:hAnsi="宋体" w:cs="Times New Roman"/>
          <w:vertAlign w:val="superscript"/>
        </w:rPr>
        <w:t xml:space="preserve">[</w:t>
      </w:r>
      <w:r>
        <w:rPr>
          <w:rFonts w:ascii="宋体" w:eastAsia="宋体" w:hAnsi="宋体" w:cs="Times New Roman"/>
          <w:vertAlign w:val="superscript"/>
        </w:rPr>
        <w:footnoteReference w:id="4"/>
      </w:r>
      <w:r>
        <w:rPr>
          <w:rFonts w:ascii="宋体" w:eastAsia="宋体" w:hAnsi="宋体" w:cs="Times New Roman"/>
          <w:vertAlign w:val="superscript"/>
        </w:rPr>
        <w:t xml:space="preserve">]</w:t>
      </w:r>
      <w:r>
        <w:rPr>
          <w:rFonts w:ascii="宋体" w:eastAsia="宋体" w:hAnsi="宋体" w:cs="Times New Roman"/>
          <w:bCs/>
          <w:sz w:val="24"/>
          <w:szCs w:val="24"/>
        </w:rPr>
        <w:t xml:space="preserve">这一估计覆盖自贸试验区的整套政策，并非单独衡量负面清单的贡献。企业真正得到的经营便利，要看后续手续是否重复、监管职责是否落实。企业反复跑同一件事，说明部门之间还有没打通的地方；监管留下记录，说明责任落到了具体的人。审批改革须从事项数量的增减走向权力结构的调整。</w:t>
      </w:r>
      <w:r>
        <w:rPr>
          <w:rFonts w:ascii="宋体" w:eastAsia="宋体" w:hAnsi="宋体" w:cs="Times New Roman"/>
          <w:vertAlign w:val="superscript"/>
        </w:rPr>
        <w:t xml:space="preserve">[</w:t>
      </w:r>
      <w:r>
        <w:rPr>
          <w:rFonts w:ascii="宋体" w:eastAsia="宋体" w:hAnsi="宋体" w:cs="Times New Roman"/>
          <w:vertAlign w:val="superscript"/>
        </w:rPr>
        <w:footnoteReference w:id="5"/>
      </w:r>
      <w:r>
        <w:rPr>
          <w:rFonts w:ascii="宋体" w:eastAsia="宋体" w:hAnsi="宋体" w:cs="Times New Roman"/>
          <w:vertAlign w:val="superscript"/>
        </w:rPr>
        <w:t xml:space="preserve">]</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开放带来的制度压力会传导到政府内部运作。企业注册"一口受理"把多部门串联审批改为一个窗口内部流转，一份备案申请和承诺书替代了原先分散的材料提交。</w:t>
      </w:r>
      <w:r>
        <w:rPr>
          <w:rFonts w:ascii="宋体" w:eastAsia="宋体" w:hAnsi="宋体" w:cs="Times New Roman"/>
          <w:vertAlign w:val="superscript"/>
        </w:rPr>
        <w:t xml:space="preserve">[</w:t>
      </w:r>
      <w:r>
        <w:rPr>
          <w:rFonts w:ascii="宋体" w:eastAsia="宋体" w:hAnsi="宋体" w:cs="Times New Roman"/>
          <w:vertAlign w:val="superscript"/>
        </w:rPr>
        <w:footnoteReference w:id="6"/>
      </w:r>
      <w:r>
        <w:rPr>
          <w:rFonts w:ascii="宋体" w:eastAsia="宋体" w:hAnsi="宋体" w:cs="Times New Roman"/>
          <w:vertAlign w:val="superscript"/>
        </w:rPr>
        <w:t xml:space="preserve">]</w:t>
      </w:r>
      <w:r>
        <w:rPr>
          <w:rFonts w:ascii="宋体" w:eastAsia="宋体" w:hAnsi="宋体" w:cs="Times New Roman"/>
          <w:bCs/>
          <w:sz w:val="24"/>
          <w:szCs w:val="24"/>
        </w:rPr>
        <w:t xml:space="preserve">窗口合并了，后台的信息共享和责任划分却需要重新设计。哪些信息必须当场核验、哪些可以容缺受理、事后发现问题由谁追责，这些问题在传统的分部门审批中靠各管一段来回避，集中受理之后就必须明确。企业看到的是一个窗口，政府内部需要的是一套可追溯的工作链条。前台简化倒逼后台理顺，这种倒逼本身就是"以开放促改革"的机制所在。</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负面清单把扩大外资准入的要求带进国内治理，规则告知、审查安排、部门分工随之成为待解的改革问题。这些调整落实了，企业才更有条件安排投资、取得许可、持续经营。"以开放促改革"能走多远，由改革的执行质量来检验。</w:t>
      </w:r>
    </w:p>
    <w:p>
      <w:pPr>
        <w:spacing w:line="276" w:lineRule="auto"/>
        <w:rPr>
          <w:rFonts w:ascii="宋体" w:eastAsia="宋体" w:hAnsi="宋体" w:cs="Times New Roman"/>
          <w:bCs/>
          <w:sz w:val="24"/>
          <w:szCs w:val="24"/>
        </w:rPr>
      </w:pPr>
      <w:r>
        <w:rPr>
          <w:rFonts w:ascii="宋体" w:eastAsia="宋体" w:hAnsi="宋体" w:cs="Times New Roman"/>
          <w:bCs/>
          <w:sz w:val="24"/>
          <w:szCs w:val="24"/>
        </w:rPr>
        <w:t xml:space="preserve"> </w:t>
      </w:r>
    </w:p>
    <w:p>
      <w:pPr>
        <w:spacing w:line="276" w:lineRule="auto"/>
        <w:rPr>
          <w:rFonts w:ascii="宋体" w:eastAsia="宋体" w:hAnsi="宋体" w:cs="Times New Roman"/>
          <w:bCs/>
          <w:sz w:val="24"/>
          <w:szCs w:val="24"/>
        </w:rPr>
      </w:pPr>
      <w:r>
        <w:rPr>
          <w:rFonts w:ascii="Times New Roman" w:hAnsi="Times New Roman" w:cs="Times New Roman"/>
          <w:b/>
        </w:rPr>
        <w:t>-------以下为空-----------------------------不得超过2页A4纸--------------------- -------以下为空------</w:t>
      </w:r>
    </w:p>
    <w:sectPr w:rsidR="00757372" w:rsidRPr="000A2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0756" w14:textId="77777777" w:rsidR="002125A0" w:rsidRDefault="002125A0" w:rsidP="00395373">
      <w:r>
        <w:separator/>
      </w:r>
    </w:p>
  </w:endnote>
  <w:endnote w:type="continuationSeparator" w:id="0">
    <w:p w14:paraId="4139DD29" w14:textId="77777777" w:rsidR="002125A0" w:rsidRDefault="002125A0"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 w:id="1">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上海市人民政府：《中国（上海）自由贸易试验区外商投资准入特别管理措施（负面清单）（2013年）》，沪府发〔2013〕75号附件，2013年9月29日，"说明"部分。</w:t>
      </w:r>
    </w:p>
  </w:footnote>
  <w:footnote w:id="2">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王丹：《上海自贸试验区建设及制度创新研究》，《城市观察》2015年第4期，第24页。</w:t>
      </w:r>
    </w:p>
  </w:footnote>
  <w:footnote w:id="3">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郭爱琴：《优化上海自贸试验区建筑领域事中事后监管研究》，中共上海市委党校硕士学位论文，2018年，第21—22、32、34页。</w:t>
      </w:r>
    </w:p>
  </w:footnote>
  <w:footnote w:id="4">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杨荣海、李于勤：《制度型开放能否发挥"稳外资"作用——基于渐进式自贸试验区设立的证据》，《经济学家》2025年第12期，第78—81页。</w:t>
      </w:r>
    </w:p>
  </w:footnote>
  <w:footnote w:id="5">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孙彩红：《改革开放以来行政审批制度改革历史与发展逻辑》，《行政论坛》2022年第2期，第59—60页。</w:t>
      </w:r>
    </w:p>
  </w:footnote>
  <w:footnote w:id="6">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纪慰华：《试论以上海自贸试验区为契机推动浦东新区政府职能转变》，《经济体制改革》2015年第1期，第82页。</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gUAcVvdMiwAAAA="/>
  </w:docVars>
  <w:rsids>
    <w:rsidRoot w:val="000A2D29"/>
    <w:rsid w:val="00025CBA"/>
    <w:rsid w:val="00086B23"/>
    <w:rsid w:val="000A2D29"/>
    <w:rsid w:val="000A719D"/>
    <w:rsid w:val="00107B3A"/>
    <w:rsid w:val="00156573"/>
    <w:rsid w:val="001C42C2"/>
    <w:rsid w:val="001D6F9C"/>
    <w:rsid w:val="001E531B"/>
    <w:rsid w:val="002125A0"/>
    <w:rsid w:val="002D27E6"/>
    <w:rsid w:val="0038573C"/>
    <w:rsid w:val="00395373"/>
    <w:rsid w:val="003C4A7F"/>
    <w:rsid w:val="0043779F"/>
    <w:rsid w:val="0057399E"/>
    <w:rsid w:val="005F4BD6"/>
    <w:rsid w:val="006C3F55"/>
    <w:rsid w:val="006F29C4"/>
    <w:rsid w:val="0071186F"/>
    <w:rsid w:val="00757372"/>
    <w:rsid w:val="00762B63"/>
    <w:rsid w:val="0082220E"/>
    <w:rsid w:val="008F0C2E"/>
    <w:rsid w:val="00930DDD"/>
    <w:rsid w:val="009B7FDB"/>
    <w:rsid w:val="00A256BE"/>
    <w:rsid w:val="00AA796A"/>
    <w:rsid w:val="00AE4029"/>
    <w:rsid w:val="00B45B21"/>
    <w:rsid w:val="00BF7EB1"/>
    <w:rsid w:val="00C557C7"/>
    <w:rsid w:val="00CC5144"/>
    <w:rsid w:val="00D05AAE"/>
    <w:rsid w:val="00E82F5B"/>
    <w:rsid w:val="00F23587"/>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871C7"/>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List Paragraph"/>
    <w:basedOn w:val="a"/>
    <w:uiPriority w:val="34"/>
    <w:qFormat/>
    <w:rsid w:val="005F4BD6"/>
    <w:pPr>
      <w:ind w:firstLineChars="200" w:firstLine="420"/>
    </w:pPr>
  </w:style>
  <w:style w:type="paragraph" w:styleId="a8">
    <w:name w:val="footnote text"/>
    <w:basedOn w:val="a"/>
    <w:link w:val="a9"/>
    <w:uiPriority w:val="99"/>
    <w:semiHidden/>
    <w:unhideWhenUsed/>
    <w:rsid w:val="00AE4029"/>
    <w:pPr>
      <w:snapToGrid w:val="0"/>
      <w:jc w:val="left"/>
    </w:pPr>
    <w:rPr>
      <w:sz w:val="18"/>
      <w:szCs w:val="18"/>
    </w:rPr>
  </w:style>
  <w:style w:type="character" w:customStyle="1" w:styleId="a9">
    <w:name w:val="脚注文本 字符"/>
    <w:basedOn w:val="a0"/>
    <w:link w:val="a8"/>
    <w:uiPriority w:val="99"/>
    <w:semiHidden/>
    <w:rsid w:val="00AE4029"/>
    <w:rPr>
      <w:sz w:val="18"/>
      <w:szCs w:val="18"/>
    </w:rPr>
  </w:style>
  <w:style w:type="character" w:styleId="aa">
    <w:name w:val="footnote reference"/>
    <w:basedOn w:val="a0"/>
    <w:uiPriority w:val="99"/>
    <w:semiHidden/>
    <w:unhideWhenUsed/>
    <w:rsid w:val="00AE4029"/>
    <w:rPr>
      <w:vertAlign w:val="superscript"/>
    </w:rPr>
  </w:style>
  <w:style w:type="paragraph" w:styleId="ab">
    <w:name w:val="endnote text"/>
    <w:basedOn w:val="a"/>
    <w:link w:val="ac"/>
    <w:uiPriority w:val="99"/>
    <w:semiHidden/>
    <w:unhideWhenUsed/>
    <w:rsid w:val="00AE4029"/>
    <w:pPr>
      <w:snapToGrid w:val="0"/>
      <w:jc w:val="left"/>
    </w:pPr>
  </w:style>
  <w:style w:type="character" w:customStyle="1" w:styleId="ac">
    <w:name w:val="尾注文本 字符"/>
    <w:basedOn w:val="a0"/>
    <w:link w:val="ab"/>
    <w:uiPriority w:val="99"/>
    <w:semiHidden/>
    <w:rsid w:val="00AE4029"/>
  </w:style>
  <w:style w:type="character" w:styleId="ad">
    <w:name w:val="endnote reference"/>
    <w:basedOn w:val="a0"/>
    <w:uiPriority w:val="99"/>
    <w:semiHidden/>
    <w:unhideWhenUsed/>
    <w:rsid w:val="00AE40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30F0-01C5-9E4D-8A99-6F490899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1073</Words>
  <Characters>1116</Characters>
  <Application>Microsoft Office Word</Application>
  <DocSecurity>0</DocSecurity>
  <Lines>50</Lines>
  <Paragraphs>34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13</cp:revision>
  <dcterms:created xsi:type="dcterms:W3CDTF">2025-03-04T07:38:00Z</dcterms:created>
  <dcterms:modified xsi:type="dcterms:W3CDTF">2026-10-11T11:06:00Z</dcterms:modified>
</cp:coreProperties>
</file>