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65683" w14:textId="5B936FD1" w:rsidR="000A2D29" w:rsidRPr="005F4BD6" w:rsidRDefault="00025CBA" w:rsidP="000A2D29">
      <w:pPr>
        <w:jc w:val="center"/>
        <w:rPr>
          <w:rFonts w:ascii="黑体" w:eastAsia="黑体" w:hAnsi="黑体"/>
          <w:b/>
          <w:sz w:val="28"/>
          <w:szCs w:val="28"/>
        </w:rPr>
      </w:pPr>
      <w:r>
        <w:rPr>
          <w:rFonts w:ascii="黑体" w:eastAsia="黑体" w:hAnsi="黑体" w:hint="eastAsia"/>
          <w:b/>
          <w:sz w:val="28"/>
          <w:szCs w:val="28"/>
        </w:rPr>
        <w:t>2026年秋季学期</w:t>
      </w:r>
      <w:r w:rsidR="000A2D29" w:rsidRPr="005F4BD6">
        <w:rPr>
          <w:rFonts w:ascii="黑体" w:eastAsia="黑体" w:hAnsi="黑体"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143"/>
        <w:gridCol w:w="1134"/>
        <w:gridCol w:w="986"/>
        <w:gridCol w:w="290"/>
        <w:gridCol w:w="1417"/>
        <w:gridCol w:w="556"/>
        <w:gridCol w:w="2263"/>
      </w:tblGrid>
      <w:tr w:rsidR="000A2D29" w:rsidRPr="005F4BD6" w14:paraId="5E07A944" w14:textId="77777777" w:rsidTr="00762B63">
        <w:trPr>
          <w:trHeight w:val="510"/>
          <w:jc w:val="center"/>
        </w:trPr>
        <w:tc>
          <w:tcPr>
            <w:tcW w:w="1224" w:type="dxa"/>
            <w:tcBorders>
              <w:top w:val="single" w:sz="4" w:space="0" w:color="auto"/>
              <w:left w:val="single" w:sz="4" w:space="0" w:color="auto"/>
              <w:bottom w:val="single" w:sz="4" w:space="0" w:color="auto"/>
              <w:right w:val="single" w:sz="4" w:space="0" w:color="auto"/>
            </w:tcBorders>
            <w:vAlign w:val="center"/>
          </w:tcPr>
          <w:p w14:paraId="1441AC7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姓</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名</w:t>
            </w:r>
          </w:p>
        </w:tc>
        <w:tc>
          <w:tcPr>
            <w:tcW w:w="1181" w:type="dxa"/>
            <w:gridSpan w:val="2"/>
            <w:tcBorders>
              <w:top w:val="single" w:sz="4" w:space="0" w:color="auto"/>
              <w:left w:val="single" w:sz="4" w:space="0" w:color="auto"/>
              <w:bottom w:val="single" w:sz="4" w:space="0" w:color="auto"/>
              <w:right w:val="single" w:sz="4" w:space="0" w:color="auto"/>
            </w:tcBorders>
            <w:vAlign w:val="center"/>
          </w:tcPr>
          <w:p w14:paraId="36823902" w14:textId="6478846E"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某同学</w:t>
            </w:r>
          </w:p>
        </w:tc>
        <w:tc>
          <w:tcPr>
            <w:tcW w:w="1134" w:type="dxa"/>
            <w:tcBorders>
              <w:top w:val="single" w:sz="4" w:space="0" w:color="auto"/>
              <w:left w:val="single" w:sz="4" w:space="0" w:color="auto"/>
              <w:bottom w:val="single" w:sz="4" w:space="0" w:color="auto"/>
              <w:right w:val="single" w:sz="4" w:space="0" w:color="auto"/>
            </w:tcBorders>
            <w:vAlign w:val="center"/>
          </w:tcPr>
          <w:p w14:paraId="3CD1CB2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76B97AB" w14:textId="69BB8E72"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2000000</w:t>
            </w:r>
          </w:p>
        </w:tc>
        <w:tc>
          <w:tcPr>
            <w:tcW w:w="1417" w:type="dxa"/>
            <w:tcBorders>
              <w:top w:val="single" w:sz="4" w:space="0" w:color="auto"/>
              <w:left w:val="single" w:sz="4" w:space="0" w:color="auto"/>
              <w:bottom w:val="single" w:sz="4" w:space="0" w:color="auto"/>
              <w:right w:val="single" w:sz="4" w:space="0" w:color="auto"/>
            </w:tcBorders>
            <w:vAlign w:val="center"/>
          </w:tcPr>
          <w:p w14:paraId="55A668AA"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学院</w:t>
            </w:r>
            <w:r w:rsidRPr="005F4BD6">
              <w:rPr>
                <w:rFonts w:ascii="Times New Roman" w:eastAsia="宋体" w:hAnsi="Times New Roman" w:cs="Times New Roman"/>
                <w:b/>
                <w:sz w:val="24"/>
                <w:szCs w:val="24"/>
              </w:rPr>
              <w:t>/</w:t>
            </w:r>
            <w:r w:rsidRPr="005F4BD6">
              <w:rPr>
                <w:rFonts w:ascii="Times New Roman" w:eastAsia="宋体" w:hAnsi="Times New Roman" w:cs="Times New Roman"/>
                <w:b/>
                <w:sz w:val="24"/>
                <w:szCs w:val="24"/>
              </w:rPr>
              <w:t>专业</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6C0A3106" w14:textId="45ECA331"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人文学院</w:t>
            </w: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文化产业管理</w:t>
            </w:r>
          </w:p>
        </w:tc>
      </w:tr>
      <w:tr w:rsidR="005F4BD6" w:rsidRPr="005F4BD6" w14:paraId="32EA963C" w14:textId="77777777" w:rsidTr="00762B63">
        <w:trPr>
          <w:trHeight w:val="561"/>
          <w:jc w:val="center"/>
        </w:trPr>
        <w:tc>
          <w:tcPr>
            <w:tcW w:w="1224" w:type="dxa"/>
            <w:vAlign w:val="center"/>
          </w:tcPr>
          <w:p w14:paraId="3713B4ED"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班</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p w14:paraId="66F579BB" w14:textId="281A6856"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(8</w:t>
            </w:r>
            <w:r w:rsidRPr="005F4BD6">
              <w:rPr>
                <w:rFonts w:ascii="Times New Roman" w:eastAsia="宋体" w:hAnsi="Times New Roman" w:cs="Times New Roman"/>
                <w:b/>
                <w:sz w:val="24"/>
                <w:szCs w:val="24"/>
              </w:rPr>
              <w:t>位数</w:t>
            </w:r>
            <w:r w:rsidRPr="005F4BD6">
              <w:rPr>
                <w:rFonts w:ascii="Times New Roman" w:eastAsia="宋体" w:hAnsi="Times New Roman" w:cs="Times New Roman"/>
                <w:b/>
                <w:sz w:val="24"/>
                <w:szCs w:val="24"/>
              </w:rPr>
              <w:t>)</w:t>
            </w:r>
          </w:p>
        </w:tc>
        <w:tc>
          <w:tcPr>
            <w:tcW w:w="3591" w:type="dxa"/>
            <w:gridSpan w:val="5"/>
            <w:vAlign w:val="center"/>
          </w:tcPr>
          <w:p w14:paraId="724BE794" w14:textId="304772AB"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54000000</w:t>
            </w:r>
          </w:p>
        </w:tc>
        <w:tc>
          <w:tcPr>
            <w:tcW w:w="1417" w:type="dxa"/>
            <w:vAlign w:val="center"/>
          </w:tcPr>
          <w:p w14:paraId="65000124"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教师姓名</w:t>
            </w:r>
          </w:p>
        </w:tc>
        <w:tc>
          <w:tcPr>
            <w:tcW w:w="2819" w:type="dxa"/>
            <w:gridSpan w:val="2"/>
            <w:vAlign w:val="center"/>
          </w:tcPr>
          <w:p w14:paraId="4C389CF7" w14:textId="3983F83A"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姚玉红</w:t>
            </w:r>
          </w:p>
        </w:tc>
      </w:tr>
      <w:tr w:rsidR="000A2D29" w:rsidRPr="005F4BD6" w14:paraId="0F1DB9D7" w14:textId="77777777" w:rsidTr="00BC6CE8">
        <w:trPr>
          <w:trHeight w:val="684"/>
          <w:jc w:val="center"/>
        </w:trPr>
        <w:tc>
          <w:tcPr>
            <w:tcW w:w="1224" w:type="dxa"/>
            <w:vAlign w:val="center"/>
          </w:tcPr>
          <w:p w14:paraId="4CAC51C1"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课程</w:t>
            </w:r>
          </w:p>
          <w:p w14:paraId="09C92F0F"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论文要求</w:t>
            </w:r>
          </w:p>
        </w:tc>
        <w:tc>
          <w:tcPr>
            <w:tcW w:w="7827" w:type="dxa"/>
            <w:gridSpan w:val="8"/>
          </w:tcPr>
          <w:p w14:paraId="061F130B" w14:textId="77777777" w:rsidR="000A2D29" w:rsidRPr="005F4BD6" w:rsidRDefault="000A2D29" w:rsidP="005F4BD6">
            <w:pPr>
              <w:jc w:val="left"/>
              <w:rPr>
                <w:rFonts w:ascii="Times New Roman" w:eastAsia="仿宋" w:hAnsi="Times New Roman" w:cs="Times New Roman"/>
                <w:sz w:val="24"/>
                <w:szCs w:val="24"/>
              </w:rPr>
            </w:pPr>
            <w:r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、论文请结合所学知识，自拟标题，展开论述，</w:t>
            </w:r>
            <w:r w:rsidRPr="005F4BD6">
              <w:rPr>
                <w:rFonts w:ascii="Times New Roman" w:eastAsia="仿宋" w:hAnsi="Times New Roman" w:cs="Times New Roman"/>
                <w:b/>
                <w:bCs/>
                <w:color w:val="FF0000"/>
                <w:sz w:val="24"/>
                <w:szCs w:val="24"/>
              </w:rPr>
              <w:t>诗歌、决心书、散文、口号等非论文形式的</w:t>
            </w:r>
            <w:r w:rsidRPr="005F4BD6">
              <w:rPr>
                <w:rFonts w:ascii="Times New Roman" w:eastAsia="仿宋" w:hAnsi="Times New Roman" w:cs="Times New Roman"/>
                <w:sz w:val="24"/>
                <w:szCs w:val="24"/>
              </w:rPr>
              <w:t>，未结合所学知识的，均扣除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p>
          <w:p w14:paraId="712A3023" w14:textId="44FD7A9C"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2</w:t>
            </w:r>
            <w:r w:rsidRPr="005F4BD6">
              <w:rPr>
                <w:rFonts w:ascii="Times New Roman" w:eastAsia="仿宋" w:hAnsi="Times New Roman" w:cs="Times New Roman"/>
                <w:sz w:val="24"/>
                <w:szCs w:val="24"/>
              </w:rPr>
              <w:t>、论文必须坚持观点正确，并做到符合基本的学术规范</w:t>
            </w:r>
            <w:r w:rsidR="00FF25D2" w:rsidRPr="005F4BD6">
              <w:rPr>
                <w:rFonts w:ascii="Times New Roman" w:eastAsia="仿宋" w:hAnsi="Times New Roman" w:cs="Times New Roman"/>
                <w:sz w:val="24"/>
                <w:szCs w:val="24"/>
              </w:rPr>
              <w:t>，</w:t>
            </w:r>
            <w:r w:rsidR="00D05AAE" w:rsidRPr="005F4BD6">
              <w:rPr>
                <w:rFonts w:ascii="Times New Roman" w:eastAsia="仿宋" w:hAnsi="Times New Roman" w:cs="Times New Roman"/>
                <w:sz w:val="24"/>
                <w:szCs w:val="24"/>
              </w:rPr>
              <w:t>有脚注</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p w14:paraId="7A858FD2" w14:textId="520561BD"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3</w:t>
            </w:r>
            <w:r w:rsidRPr="005F4BD6">
              <w:rPr>
                <w:rFonts w:ascii="Times New Roman" w:eastAsia="仿宋" w:hAnsi="Times New Roman" w:cs="Times New Roman"/>
                <w:sz w:val="24"/>
                <w:szCs w:val="24"/>
              </w:rPr>
              <w:t>、论文题目、各级标题、正文的字体、字号必须为</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宋体、小四号</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，黑色字（不加粗）、行距</w:t>
            </w:r>
            <w:r w:rsidRPr="005F4BD6">
              <w:rPr>
                <w:rFonts w:ascii="Times New Roman" w:eastAsia="仿宋" w:hAnsi="Times New Roman" w:cs="Times New Roman"/>
                <w:sz w:val="24"/>
                <w:szCs w:val="24"/>
              </w:rPr>
              <w:t>1.</w:t>
            </w:r>
            <w:r w:rsidR="00A256BE"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5</w:t>
            </w:r>
            <w:r w:rsidRPr="005F4BD6">
              <w:rPr>
                <w:rFonts w:ascii="Times New Roman" w:eastAsia="仿宋" w:hAnsi="Times New Roman" w:cs="Times New Roman"/>
                <w:sz w:val="24"/>
                <w:szCs w:val="24"/>
              </w:rPr>
              <w:t>倍；字数不少于</w:t>
            </w:r>
            <w:r w:rsidRPr="005F4BD6">
              <w:rPr>
                <w:rFonts w:ascii="Times New Roman" w:eastAsia="仿宋" w:hAnsi="Times New Roman" w:cs="Times New Roman"/>
                <w:sz w:val="24"/>
                <w:szCs w:val="24"/>
              </w:rPr>
              <w:t>1000</w:t>
            </w:r>
            <w:r w:rsidRPr="005F4BD6">
              <w:rPr>
                <w:rFonts w:ascii="Times New Roman" w:eastAsia="仿宋" w:hAnsi="Times New Roman" w:cs="Times New Roman"/>
                <w:sz w:val="24"/>
                <w:szCs w:val="24"/>
              </w:rPr>
              <w:t>字，但</w:t>
            </w:r>
            <w:r w:rsidRPr="005F4BD6">
              <w:rPr>
                <w:rFonts w:ascii="Times New Roman" w:eastAsia="仿宋" w:hAnsi="Times New Roman" w:cs="Times New Roman"/>
                <w:b/>
                <w:bCs/>
                <w:color w:val="FF0000"/>
                <w:sz w:val="24"/>
                <w:szCs w:val="24"/>
              </w:rPr>
              <w:t>不能超过二页</w:t>
            </w:r>
            <w:r w:rsidRPr="005F4BD6">
              <w:rPr>
                <w:rFonts w:ascii="Times New Roman" w:eastAsia="仿宋" w:hAnsi="Times New Roman" w:cs="Times New Roman"/>
                <w:b/>
                <w:bCs/>
                <w:color w:val="FF0000"/>
                <w:sz w:val="24"/>
                <w:szCs w:val="24"/>
              </w:rPr>
              <w:t>A4</w:t>
            </w:r>
            <w:r w:rsidR="00A256BE" w:rsidRPr="005F4BD6">
              <w:rPr>
                <w:rFonts w:ascii="Times New Roman" w:eastAsia="仿宋" w:hAnsi="Times New Roman" w:cs="Times New Roman"/>
                <w:b/>
                <w:bCs/>
                <w:color w:val="FF0000"/>
                <w:sz w:val="24"/>
                <w:szCs w:val="24"/>
              </w:rPr>
              <w:t>，纸质版提交请正反双面打印</w:t>
            </w:r>
            <w:r w:rsidRPr="005F4BD6">
              <w:rPr>
                <w:rFonts w:ascii="Times New Roman" w:eastAsia="仿宋" w:hAnsi="Times New Roman" w:cs="Times New Roman"/>
                <w:sz w:val="24"/>
                <w:szCs w:val="24"/>
              </w:rPr>
              <w:t>；违反扣除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分）论文不需要摘要。</w:t>
            </w:r>
          </w:p>
          <w:p w14:paraId="70EB54B6"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4</w:t>
            </w:r>
            <w:r w:rsidRPr="005F4BD6">
              <w:rPr>
                <w:rFonts w:ascii="Times New Roman" w:eastAsia="仿宋" w:hAnsi="Times New Roman" w:cs="Times New Roman"/>
                <w:sz w:val="24"/>
                <w:szCs w:val="24"/>
              </w:rPr>
              <w:t>、论文应做到</w:t>
            </w:r>
            <w:r w:rsidRPr="005F4BD6">
              <w:rPr>
                <w:rFonts w:ascii="Times New Roman" w:eastAsia="仿宋" w:hAnsi="Times New Roman" w:cs="Times New Roman"/>
                <w:b/>
                <w:bCs/>
                <w:color w:val="FF0000"/>
                <w:sz w:val="24"/>
                <w:szCs w:val="24"/>
              </w:rPr>
              <w:t>结构完整</w:t>
            </w:r>
            <w:r w:rsidRPr="005F4BD6">
              <w:rPr>
                <w:rFonts w:ascii="Times New Roman" w:eastAsia="仿宋" w:hAnsi="Times New Roman" w:cs="Times New Roman"/>
                <w:sz w:val="24"/>
                <w:szCs w:val="24"/>
              </w:rPr>
              <w:t>、内容</w:t>
            </w:r>
            <w:r w:rsidRPr="005F4BD6">
              <w:rPr>
                <w:rFonts w:ascii="Times New Roman" w:eastAsia="仿宋" w:hAnsi="Times New Roman" w:cs="Times New Roman"/>
                <w:b/>
                <w:bCs/>
                <w:color w:val="FF0000"/>
                <w:sz w:val="24"/>
                <w:szCs w:val="24"/>
              </w:rPr>
              <w:t>论证有依据</w:t>
            </w:r>
            <w:r w:rsidRPr="005F4BD6">
              <w:rPr>
                <w:rFonts w:ascii="Times New Roman" w:eastAsia="仿宋" w:hAnsi="Times New Roman" w:cs="Times New Roman"/>
                <w:sz w:val="24"/>
                <w:szCs w:val="24"/>
              </w:rPr>
              <w:t>、论述展开</w:t>
            </w:r>
            <w:r w:rsidRPr="005F4BD6">
              <w:rPr>
                <w:rFonts w:ascii="Times New Roman" w:eastAsia="仿宋" w:hAnsi="Times New Roman" w:cs="Times New Roman"/>
                <w:b/>
                <w:bCs/>
                <w:color w:val="FF0000"/>
                <w:sz w:val="24"/>
                <w:szCs w:val="24"/>
              </w:rPr>
              <w:t>有逻辑</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tc>
      </w:tr>
      <w:tr w:rsidR="000A2D29" w:rsidRPr="005F4BD6" w14:paraId="7B44D12E" w14:textId="77777777" w:rsidTr="00A256BE">
        <w:trPr>
          <w:trHeight w:val="1004"/>
          <w:jc w:val="center"/>
        </w:trPr>
        <w:tc>
          <w:tcPr>
            <w:tcW w:w="9051" w:type="dxa"/>
            <w:gridSpan w:val="9"/>
          </w:tcPr>
          <w:p w14:paraId="1096D9FD" w14:textId="77777777" w:rsidR="000A2D29" w:rsidRPr="005F4BD6" w:rsidRDefault="00A256BE" w:rsidP="005F4BD6">
            <w:pP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评阅意见：</w:t>
            </w:r>
          </w:p>
          <w:p w14:paraId="4B1BD584" w14:textId="77777777" w:rsidR="00A256BE" w:rsidRPr="005F4BD6" w:rsidRDefault="00A256BE" w:rsidP="005F4BD6">
            <w:pPr>
              <w:rPr>
                <w:rFonts w:ascii="Times New Roman" w:eastAsia="宋体" w:hAnsi="Times New Roman" w:cs="Times New Roman"/>
                <w:b/>
                <w:sz w:val="24"/>
                <w:szCs w:val="24"/>
              </w:rPr>
            </w:pPr>
          </w:p>
          <w:p w14:paraId="026F19FE" w14:textId="70C0E0ED" w:rsidR="00A256BE" w:rsidRPr="005F4BD6" w:rsidRDefault="00A256BE" w:rsidP="005F4BD6">
            <w:pPr>
              <w:rPr>
                <w:rFonts w:ascii="Times New Roman" w:eastAsia="宋体" w:hAnsi="Times New Roman" w:cs="Times New Roman"/>
                <w:b/>
                <w:sz w:val="24"/>
                <w:szCs w:val="24"/>
              </w:rPr>
            </w:pPr>
          </w:p>
        </w:tc>
      </w:tr>
      <w:tr w:rsidR="000A2D29" w:rsidRPr="005F4BD6" w14:paraId="2856ABD0" w14:textId="77777777" w:rsidTr="00E82F5B">
        <w:trPr>
          <w:trHeight w:val="140"/>
          <w:jc w:val="center"/>
        </w:trPr>
        <w:tc>
          <w:tcPr>
            <w:tcW w:w="2262" w:type="dxa"/>
            <w:gridSpan w:val="2"/>
            <w:vAlign w:val="center"/>
          </w:tcPr>
          <w:p w14:paraId="7973B4E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评阅教师</w:t>
            </w:r>
          </w:p>
        </w:tc>
        <w:tc>
          <w:tcPr>
            <w:tcW w:w="2263" w:type="dxa"/>
            <w:gridSpan w:val="3"/>
            <w:vAlign w:val="center"/>
          </w:tcPr>
          <w:p w14:paraId="66F019CC" w14:textId="77777777" w:rsidR="000A2D29" w:rsidRPr="005F4BD6" w:rsidRDefault="000A2D29" w:rsidP="005F4BD6">
            <w:pPr>
              <w:jc w:val="center"/>
              <w:rPr>
                <w:rFonts w:ascii="Times New Roman" w:eastAsia="宋体" w:hAnsi="Times New Roman" w:cs="Times New Roman"/>
                <w:b/>
                <w:sz w:val="24"/>
                <w:szCs w:val="24"/>
              </w:rPr>
            </w:pPr>
          </w:p>
        </w:tc>
        <w:tc>
          <w:tcPr>
            <w:tcW w:w="2263" w:type="dxa"/>
            <w:gridSpan w:val="3"/>
            <w:vAlign w:val="center"/>
          </w:tcPr>
          <w:p w14:paraId="241A8825"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最终成绩评定</w:t>
            </w:r>
          </w:p>
          <w:p w14:paraId="28E5AF89"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（百分制）</w:t>
            </w:r>
          </w:p>
        </w:tc>
        <w:tc>
          <w:tcPr>
            <w:tcW w:w="2263" w:type="dxa"/>
            <w:vAlign w:val="center"/>
          </w:tcPr>
          <w:p w14:paraId="0E8BE82C" w14:textId="77777777" w:rsidR="000A2D29" w:rsidRPr="005F4BD6" w:rsidRDefault="000A2D29" w:rsidP="005F4BD6">
            <w:pPr>
              <w:jc w:val="center"/>
              <w:rPr>
                <w:rFonts w:ascii="Times New Roman" w:eastAsia="宋体" w:hAnsi="Times New Roman" w:cs="Times New Roman"/>
                <w:b/>
                <w:sz w:val="24"/>
                <w:szCs w:val="24"/>
              </w:rPr>
            </w:pPr>
          </w:p>
        </w:tc>
      </w:tr>
      <w:tr w:rsidR="00A256BE" w:rsidRPr="005F4BD6" w14:paraId="716448D9" w14:textId="77777777" w:rsidTr="00E82F5B">
        <w:trPr>
          <w:trHeight w:val="631"/>
          <w:jc w:val="center"/>
        </w:trPr>
        <w:tc>
          <w:tcPr>
            <w:tcW w:w="9051" w:type="dxa"/>
            <w:gridSpan w:val="9"/>
            <w:vAlign w:val="center"/>
          </w:tcPr>
          <w:p w14:paraId="397FA832" w14:textId="55477378" w:rsidR="00A256BE" w:rsidRPr="00762B63" w:rsidRDefault="00762B63" w:rsidP="00762B63">
            <w:pPr>
              <w:spacing w:line="276" w:lineRule="auto"/>
              <w:jc w:val="center"/>
              <w:rPr>
                <w:rFonts w:ascii="宋体" w:eastAsia="宋体" w:hAnsi="宋体" w:cs="Times New Roman"/>
                <w:bCs/>
                <w:sz w:val="24"/>
                <w:szCs w:val="24"/>
              </w:rPr>
            </w:pPr>
            <w:r w:rsidRPr="00762B63">
              <w:rPr>
                <w:rFonts w:ascii="宋体" w:eastAsia="宋体" w:hAnsi="宋体" w:cs="Times New Roman"/>
                <w:bCs/>
                <w:sz w:val="24"/>
                <w:szCs w:val="24"/>
              </w:rPr>
              <w:t>从上海自贸试验区负面清单看“以开放促改革”</w:t>
            </w:r>
          </w:p>
        </w:tc>
      </w:tr>
    </w:tbl>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2013年，上海自贸试验区公布外商投资准入负面清单，把扩大开放落到外资进入市场的条件和程序上。一份只关乎准入的清单，凭什么承载“以开放促改革”的分量？顺着企业从登记到经营的过程看，答案在于准入规则的调整会向既有管理体系提出新的要求。</w:t>
      </w:r>
    </w:p>
    <w:p>
      <w:pPr>
        <w:spacing w:line="276" w:lineRule="auto"/>
        <w:jc w:val="center"/>
        <w:rPr>
          <w:rFonts w:ascii="宋体" w:eastAsia="宋体" w:hAnsi="宋体" w:cs="Times New Roman"/>
          <w:bCs/>
          <w:sz w:val="24"/>
          <w:szCs w:val="24"/>
        </w:rPr>
      </w:pPr>
      <w:r>
        <w:rPr>
          <w:rFonts w:ascii="宋体" w:eastAsia="宋体" w:hAnsi="宋体" w:cs="Times New Roman"/>
          <w:bCs/>
          <w:sz w:val="24"/>
          <w:szCs w:val="24"/>
        </w:rPr>
        <w:t xml:space="preserve">一、明确准入边界，使扩大开放落实为具体规则</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2013年文件规定，清单外领域的外商投资项目由核准改为备案，国务院规定对国内投资项目保留核准的除外；清单外外商投资企业合同章程审批也改为备案。</w:t>
      </w:r>
      <w:r>
        <w:rPr>
          <w:rFonts w:ascii="宋体" w:eastAsia="宋体" w:hAnsi="宋体" w:cs="Times New Roman"/>
          <w:vertAlign w:val="superscript"/>
        </w:rPr>
        <w:footnoteReference w:id="1"/>
      </w:r>
      <w:r>
        <w:rPr>
          <w:rFonts w:ascii="宋体" w:eastAsia="宋体" w:hAnsi="宋体" w:cs="Times New Roman"/>
          <w:bCs/>
          <w:sz w:val="24"/>
          <w:szCs w:val="24"/>
        </w:rPr>
        <w:t xml:space="preserve">企业由此可依公开列明的特别管理措施判断投资条件，政府保留哪些限制也不再由办事人员临时掌握。但改行备案并未取消国家安全审查、反垄断审查等要求，开展特定业务所需的行业许可仍须依法办理。</w:t>
      </w:r>
      <w:r>
        <w:rPr>
          <w:rFonts w:ascii="宋体" w:eastAsia="宋体" w:hAnsi="宋体" w:cs="Times New Roman"/>
          <w:vertAlign w:val="superscript"/>
        </w:rPr>
        <w:footnoteReference w:id="2"/>
      </w:r>
      <w:r>
        <w:rPr>
          <w:rFonts w:ascii="宋体" w:eastAsia="宋体" w:hAnsi="宋体" w:cs="Times New Roman"/>
          <w:bCs/>
          <w:sz w:val="24"/>
          <w:szCs w:val="24"/>
        </w:rPr>
        <w:t xml:space="preserve">完成登记不等于取得经营许可。准入边界一旦公开，企业设立之后的手续能否衔接，就成为开放必须回答的下一问。</w:t>
      </w:r>
    </w:p>
    <w:p>
      <w:pPr>
        <w:spacing w:line="276" w:lineRule="auto"/>
        <w:jc w:val="center"/>
        <w:rPr>
          <w:rFonts w:ascii="宋体" w:eastAsia="宋体" w:hAnsi="宋体" w:cs="Times New Roman"/>
          <w:bCs/>
          <w:sz w:val="24"/>
          <w:szCs w:val="24"/>
        </w:rPr>
      </w:pPr>
      <w:r>
        <w:rPr>
          <w:rFonts w:ascii="宋体" w:eastAsia="宋体" w:hAnsi="宋体" w:cs="Times New Roman"/>
          <w:bCs/>
          <w:sz w:val="24"/>
          <w:szCs w:val="24"/>
        </w:rPr>
        <w:t xml:space="preserve">二、准入程序的调整，推动政府管理方式转变</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许可条件需要提前告知。王丹2015年的调研记载，有中外合资旅行社在注册时未被告知取得出境游资质还须经营满两年，企业登记与行业许可的信息未能衔接。</w:t>
      </w:r>
      <w:r>
        <w:rPr>
          <w:rFonts w:ascii="宋体" w:eastAsia="宋体" w:hAnsi="宋体" w:cs="Times New Roman"/>
          <w:vertAlign w:val="superscript"/>
        </w:rPr>
        <w:footnoteReference w:id="3"/>
      </w:r>
      <w:r>
        <w:rPr>
          <w:rFonts w:ascii="宋体" w:eastAsia="宋体" w:hAnsi="宋体" w:cs="Times New Roman"/>
          <w:bCs/>
          <w:sz w:val="24"/>
          <w:szCs w:val="24"/>
        </w:rPr>
        <w:t xml:space="preserve">企业若在投入资金后才得知经营条件，就难以估计等待时间与成本。公开清单因此还要配上明确的许可权限、条件与办理期限，办理部门也据此受到约束。</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审查顺序的调整提供了另一项参照。郭爱琴2018年的研究记载，上海国际艺术品保税服务中心试点把部分技术审查移到施工许可后限期完成，该项目取得规划许可证比传统程序提前约两个月，同时由建筑师承诺设计文件合规并接受后续监管。</w:t>
      </w:r>
      <w:r>
        <w:rPr>
          <w:rFonts w:ascii="宋体" w:eastAsia="宋体" w:hAnsi="宋体" w:cs="Times New Roman"/>
          <w:vertAlign w:val="superscript"/>
        </w:rPr>
        <w:footnoteReference w:id="4"/>
      </w:r>
      <w:r>
        <w:rPr>
          <w:rFonts w:ascii="宋体" w:eastAsia="宋体" w:hAnsi="宋体" w:cs="Times New Roman"/>
          <w:bCs/>
          <w:sz w:val="24"/>
          <w:szCs w:val="24"/>
        </w:rPr>
        <w:t xml:space="preserve">这一提速是个案结果，但它显示减少前端审查要以监管承接为条件：监管部门须检查承诺是否兑现，及时处置施工中的问题。当时一些部门还缺少专职监管人员。</w:t>
      </w:r>
      <w:r>
        <w:rPr>
          <w:rFonts w:ascii="宋体" w:eastAsia="宋体" w:hAnsi="宋体" w:cs="Times New Roman"/>
          <w:vertAlign w:val="superscript"/>
        </w:rPr>
        <w:footnoteReference w:id="5"/>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部门之间的交接同样需要落实。纪慰华2015年记载的企业注册“一口受理”，已通过一份备案申请和承诺书、一个窗口和内部流转衔接相关环节。</w:t>
      </w:r>
      <w:r>
        <w:rPr>
          <w:rFonts w:ascii="宋体" w:eastAsia="宋体" w:hAnsi="宋体" w:cs="Times New Roman"/>
          <w:vertAlign w:val="superscript"/>
        </w:rPr>
        <w:footnoteReference w:id="6"/>
      </w:r>
      <w:r>
        <w:rPr>
          <w:rFonts w:ascii="宋体" w:eastAsia="宋体" w:hAnsi="宋体" w:cs="Times New Roman"/>
          <w:bCs/>
          <w:sz w:val="24"/>
          <w:szCs w:val="24"/>
        </w:rPr>
        <w:t xml:space="preserve">前台集中之后，职责仍要理顺。郭爱琴指出，保税区管理局的规划审批、质量监督与日常执法涉及四个部门，当时缺少有效协同机制。</w:t>
      </w:r>
      <w:r>
        <w:rPr>
          <w:rFonts w:ascii="宋体" w:eastAsia="宋体" w:hAnsi="宋体" w:cs="Times New Roman"/>
          <w:vertAlign w:val="superscript"/>
        </w:rPr>
        <w:footnoteReference w:id="7"/>
      </w:r>
      <w:r>
        <w:rPr>
          <w:rFonts w:ascii="宋体" w:eastAsia="宋体" w:hAnsi="宋体" w:cs="Times New Roman"/>
          <w:bCs/>
          <w:sz w:val="24"/>
          <w:szCs w:val="24"/>
        </w:rPr>
        <w:t xml:space="preserve">审批信息交给谁、异常由谁检查、违规由谁处置，需要形成可追溯的分工，企业少跑窗口才有政府内部工作方式的支撑。</w:t>
      </w:r>
    </w:p>
    <w:p>
      <w:pPr>
        <w:spacing w:line="276" w:lineRule="auto"/>
        <w:jc w:val="center"/>
        <w:rPr>
          <w:rFonts w:ascii="宋体" w:eastAsia="宋体" w:hAnsi="宋体" w:cs="Times New Roman"/>
          <w:bCs/>
          <w:sz w:val="24"/>
          <w:szCs w:val="24"/>
        </w:rPr>
      </w:pPr>
      <w:r>
        <w:rPr>
          <w:rFonts w:ascii="宋体" w:eastAsia="宋体" w:hAnsi="宋体" w:cs="Times New Roman"/>
          <w:bCs/>
          <w:sz w:val="24"/>
          <w:szCs w:val="24"/>
        </w:rPr>
        <w:t xml:space="preserve">三、从规则到执行，理解改革与开放的相互促进</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课堂所讲的制度型开放，涉及规则、规制、管理、标准；上述三层也说明，准入、办理与监管是相互牵动的。杨荣海、李于勤研究2009至2023年的A股公司发现，自贸试验区设立有助于提高样本企业前十大股东中的外资持股比例，并延长持股存续时间。</w:t>
      </w:r>
      <w:r>
        <w:rPr>
          <w:rFonts w:ascii="宋体" w:eastAsia="宋体" w:hAnsi="宋体" w:cs="Times New Roman"/>
          <w:vertAlign w:val="superscript"/>
        </w:rPr>
        <w:footnoteReference w:id="8"/>
      </w:r>
      <w:r>
        <w:rPr>
          <w:rFonts w:ascii="宋体" w:eastAsia="宋体" w:hAnsi="宋体" w:cs="Times New Roman"/>
          <w:bCs/>
          <w:sz w:val="24"/>
          <w:szCs w:val="24"/>
        </w:rPr>
        <w:t xml:space="preserve">该估计涉及自贸试验区的整套政策，研究以制度性交易成本下降、供应链稳定性增强和不确定性预期改善作为可能渠道，但没有单独估计负面清单的贡献。</w:t>
      </w:r>
      <w:r>
        <w:rPr>
          <w:rFonts w:ascii="宋体" w:eastAsia="宋体" w:hAnsi="宋体" w:cs="Times New Roman"/>
          <w:vertAlign w:val="superscript"/>
        </w:rPr>
        <w:footnoteReference w:id="9"/>
      </w:r>
      <w:r>
        <w:rPr>
          <w:rFonts w:ascii="宋体" w:eastAsia="宋体" w:hAnsi="宋体" w:cs="Times New Roman"/>
          <w:bCs/>
          <w:sz w:val="24"/>
          <w:szCs w:val="24"/>
        </w:rPr>
        <w:t xml:space="preserve">准入的开放能否转化为经营便利，仍要看执行。</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评价改革，也应看企业与政府的实际权责是否随之改变。孙彩红提出，审批改革需要从事项数量的增减走向权力结构的调整，清单条目减少和办理提速还不足以衡量企业实际得到的经营便利。</w:t>
      </w:r>
      <w:r>
        <w:rPr>
          <w:rFonts w:ascii="宋体" w:eastAsia="宋体" w:hAnsi="宋体" w:cs="Times New Roman"/>
          <w:vertAlign w:val="superscript"/>
        </w:rPr>
        <w:footnoteReference w:id="10"/>
      </w:r>
      <w:r>
        <w:rPr>
          <w:rFonts w:ascii="宋体" w:eastAsia="宋体" w:hAnsi="宋体" w:cs="Times New Roman"/>
          <w:bCs/>
          <w:sz w:val="24"/>
          <w:szCs w:val="24"/>
        </w:rPr>
        <w:t xml:space="preserve">后续手续是否重复，应查办理记录；监管职责是否落实，应查处置过程。</w:t>
      </w:r>
    </w:p>
    <w:p>
      <w:pPr>
        <w:spacing w:line="276" w:lineRule="auto"/>
        <w:ind w:firstLine="420"/>
        <w:rPr>
          <w:rFonts w:ascii="宋体" w:eastAsia="宋体" w:hAnsi="宋体" w:cs="Times New Roman"/>
          <w:bCs/>
          <w:sz w:val="24"/>
          <w:szCs w:val="24"/>
        </w:rPr>
      </w:pPr>
      <w:r>
        <w:rPr>
          <w:rFonts w:ascii="宋体" w:eastAsia="宋体" w:hAnsi="宋体" w:cs="Times New Roman"/>
          <w:bCs/>
          <w:sz w:val="24"/>
          <w:szCs w:val="24"/>
        </w:rPr>
        <w:t xml:space="preserve">负面清单把扩大外资准入的要求带入国内治理，规则告知、审查安排与部门分工随之成为需要继续解决的改革问题。这些调整落实以后，企业才更有条件安排投资、取得许可并持续经营。“以开放促改革”能走多远，要由改革的执行质量来检验。</w:t>
      </w:r>
    </w:p>
    <w:p>
      <w:pPr>
        <w:spacing w:line="276" w:lineRule="auto"/>
        <w:rPr>
          <w:rFonts w:ascii="宋体" w:eastAsia="宋体" w:hAnsi="宋体" w:cs="Times New Roman"/>
          <w:bCs/>
          <w:sz w:val="24"/>
          <w:szCs w:val="24"/>
        </w:rPr>
      </w:pPr>
      <w:r>
        <w:rPr>
          <w:rFonts w:ascii="宋体" w:eastAsia="宋体" w:hAnsi="宋体" w:cs="Times New Roman"/>
          <w:bCs/>
          <w:sz w:val="24"/>
          <w:szCs w:val="24"/>
        </w:rPr>
        <w:t xml:space="preserve"> </w:t>
      </w:r>
    </w:p>
    <w:p>
      <w:pPr>
        <w:spacing w:line="276" w:lineRule="auto"/>
        <w:rPr>
          <w:rFonts w:ascii="宋体" w:eastAsia="宋体" w:hAnsi="宋体" w:cs="Times New Roman"/>
          <w:bCs/>
          <w:sz w:val="24"/>
          <w:szCs w:val="24"/>
        </w:rPr>
      </w:pPr>
      <w:r>
        <w:rPr>
          <w:rFonts w:ascii="Times New Roman" w:hAnsi="Times New Roman" w:cs="Times New Roman"/>
          <w:b/>
        </w:rPr>
        <w:t>-------以下为空-----------------------------不得超过2页A4纸--------------------- -------以下为空------</w:t>
      </w:r>
    </w:p>
    <w:sectPr w:rsidR="00757372" w:rsidRPr="000A2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20756" w14:textId="77777777" w:rsidR="002125A0" w:rsidRDefault="002125A0" w:rsidP="00395373">
      <w:r>
        <w:separator/>
      </w:r>
    </w:p>
  </w:endnote>
  <w:endnote w:type="continuationSeparator" w:id="0">
    <w:p w14:paraId="4139DD29" w14:textId="77777777" w:rsidR="002125A0" w:rsidRDefault="002125A0" w:rsidP="0039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
        <w:separator/>
      </w:r>
    </w:p>
  </w:footnote>
  <w:footnote w:type="continuationSeparator" w:id="0">
    <w:p>
      <w:r>
        <w:continuationSeparator/>
      </w:r>
    </w:p>
  </w:footnote>
  <w:footnote w:id="1">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上海市人民政府：《中国（上海）自由贸易试验区外商投资准入特别管理措施（负面清单）（2013年）》，沪府发〔2013〕75号附件，2013年9月29日，“说明”部分。</w:t>
      </w:r>
    </w:p>
  </w:footnote>
  <w:footnote w:id="2">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上海市人民政府，前引文件，“说明”部分；王丹：《上海自贸试验区建设及制度创新研究》，《城市观察》2015年第4期，第24页。</w:t>
      </w:r>
    </w:p>
  </w:footnote>
  <w:footnote w:id="3">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王丹：《上海自贸试验区建设及制度创新研究》，《城市观察》2015年第4期，第24页。</w:t>
      </w:r>
    </w:p>
  </w:footnote>
  <w:footnote w:id="4">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郭爱琴：《优化上海自贸试验区建筑领域事中事后监管研究》，中共上海市委党校硕士学位论文，2018年，第21—22页。项目提速为作者记载的个案结果。</w:t>
      </w:r>
    </w:p>
  </w:footnote>
  <w:footnote w:id="5">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郭爱琴：《优化上海自贸试验区建筑领域事中事后监管研究》，第34页。</w:t>
      </w:r>
    </w:p>
  </w:footnote>
  <w:footnote w:id="6">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纪慰华：《试论以上海自贸试验区为契机推动浦东新区政府职能转变》，《经济体制改革》2015年第1期，第82页。</w:t>
      </w:r>
    </w:p>
  </w:footnote>
  <w:footnote w:id="7">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郭爱琴：《优化上海自贸试验区建筑领域事中事后监管研究》，第32页。</w:t>
      </w:r>
    </w:p>
  </w:footnote>
  <w:footnote w:id="8">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杨荣海、李于勤：《制度型开放能否发挥“稳外资”作用——基于渐进式自贸试验区设立的证据》，《经济学家》2025年第12期，第78—79页。外资持股指标不等同于实际利用外商直接投资金额。</w:t>
      </w:r>
    </w:p>
  </w:footnote>
  <w:footnote w:id="9">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杨荣海、李于勤：《制度型开放能否发挥“稳外资”作用》，《经济学家》2025年第12期，第81页。</w:t>
      </w:r>
    </w:p>
  </w:footnote>
  <w:footnote w:id="10">
    <w:p>
      <w:pPr>
        <w:spacing w:line="276" w:lineRule="auto"/>
        <w:rPr>
          <w:rFonts w:ascii="宋体" w:eastAsia="宋体" w:hAnsi="宋体" w:cs="Times New Roman"/>
          <w:sz w:val="18"/>
          <w:szCs w:val="18"/>
        </w:rPr>
      </w:pPr>
      <w:r>
        <w:rPr>
          <w:rFonts w:ascii="宋体" w:eastAsia="宋体" w:hAnsi="宋体" w:cs="Times New Roman"/>
          <w:sz w:val="18"/>
          <w:szCs w:val="18"/>
        </w:rPr>
        <w:footnoteRef/>
      </w:r>
      <w:r>
        <w:rPr>
          <w:rFonts w:ascii="宋体" w:eastAsia="宋体" w:hAnsi="宋体" w:cs="Times New Roman"/>
          <w:sz w:val="18"/>
          <w:szCs w:val="18"/>
        </w:rPr>
        <w:t xml:space="preserve">孙彩红：《改革开放以来行政审批制度改革历史与发展逻辑》，《行政论坛》2022年第2期，第59—60页。</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wNjQ3MTG1tDC0MDZW0lEKTi0uzszPAykwrgUAcVvdMiwAAAA="/>
  </w:docVars>
  <w:rsids>
    <w:rsidRoot w:val="000A2D29"/>
    <w:rsid w:val="00025CBA"/>
    <w:rsid w:val="00086B23"/>
    <w:rsid w:val="000A2D29"/>
    <w:rsid w:val="000A719D"/>
    <w:rsid w:val="00107B3A"/>
    <w:rsid w:val="00156573"/>
    <w:rsid w:val="001C42C2"/>
    <w:rsid w:val="001D6F9C"/>
    <w:rsid w:val="001E531B"/>
    <w:rsid w:val="002125A0"/>
    <w:rsid w:val="002D27E6"/>
    <w:rsid w:val="0038573C"/>
    <w:rsid w:val="00395373"/>
    <w:rsid w:val="003C4A7F"/>
    <w:rsid w:val="0043779F"/>
    <w:rsid w:val="0057399E"/>
    <w:rsid w:val="005F4BD6"/>
    <w:rsid w:val="006C3F55"/>
    <w:rsid w:val="006F29C4"/>
    <w:rsid w:val="0071186F"/>
    <w:rsid w:val="00757372"/>
    <w:rsid w:val="00762B63"/>
    <w:rsid w:val="0082220E"/>
    <w:rsid w:val="008F0C2E"/>
    <w:rsid w:val="00930DDD"/>
    <w:rsid w:val="009B7FDB"/>
    <w:rsid w:val="00A256BE"/>
    <w:rsid w:val="00AA796A"/>
    <w:rsid w:val="00AE4029"/>
    <w:rsid w:val="00B45B21"/>
    <w:rsid w:val="00BF7EB1"/>
    <w:rsid w:val="00C557C7"/>
    <w:rsid w:val="00CC5144"/>
    <w:rsid w:val="00D05AAE"/>
    <w:rsid w:val="00E82F5B"/>
    <w:rsid w:val="00F23587"/>
    <w:rsid w:val="00FA0E92"/>
    <w:rsid w:val="00FB1B48"/>
    <w:rsid w:val="00FF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871C7"/>
  <w15:chartTrackingRefBased/>
  <w15:docId w15:val="{4981DB8A-BC27-4BD2-A254-DB56D69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D2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373"/>
    <w:rPr>
      <w:sz w:val="18"/>
      <w:szCs w:val="18"/>
    </w:rPr>
  </w:style>
  <w:style w:type="paragraph" w:styleId="a5">
    <w:name w:val="footer"/>
    <w:basedOn w:val="a"/>
    <w:link w:val="a6"/>
    <w:uiPriority w:val="99"/>
    <w:unhideWhenUsed/>
    <w:rsid w:val="00395373"/>
    <w:pPr>
      <w:tabs>
        <w:tab w:val="center" w:pos="4153"/>
        <w:tab w:val="right" w:pos="8306"/>
      </w:tabs>
      <w:snapToGrid w:val="0"/>
      <w:jc w:val="left"/>
    </w:pPr>
    <w:rPr>
      <w:sz w:val="18"/>
      <w:szCs w:val="18"/>
    </w:rPr>
  </w:style>
  <w:style w:type="character" w:customStyle="1" w:styleId="a6">
    <w:name w:val="页脚 字符"/>
    <w:basedOn w:val="a0"/>
    <w:link w:val="a5"/>
    <w:uiPriority w:val="99"/>
    <w:rsid w:val="00395373"/>
    <w:rPr>
      <w:sz w:val="18"/>
      <w:szCs w:val="18"/>
    </w:rPr>
  </w:style>
  <w:style w:type="paragraph" w:styleId="a7">
    <w:name w:val="List Paragraph"/>
    <w:basedOn w:val="a"/>
    <w:uiPriority w:val="34"/>
    <w:qFormat/>
    <w:rsid w:val="005F4BD6"/>
    <w:pPr>
      <w:ind w:firstLineChars="200" w:firstLine="420"/>
    </w:pPr>
  </w:style>
  <w:style w:type="paragraph" w:styleId="a8">
    <w:name w:val="footnote text"/>
    <w:basedOn w:val="a"/>
    <w:link w:val="a9"/>
    <w:uiPriority w:val="99"/>
    <w:semiHidden/>
    <w:unhideWhenUsed/>
    <w:rsid w:val="00AE4029"/>
    <w:pPr>
      <w:snapToGrid w:val="0"/>
      <w:jc w:val="left"/>
    </w:pPr>
    <w:rPr>
      <w:sz w:val="18"/>
      <w:szCs w:val="18"/>
    </w:rPr>
  </w:style>
  <w:style w:type="character" w:customStyle="1" w:styleId="a9">
    <w:name w:val="脚注文本 字符"/>
    <w:basedOn w:val="a0"/>
    <w:link w:val="a8"/>
    <w:uiPriority w:val="99"/>
    <w:semiHidden/>
    <w:rsid w:val="00AE4029"/>
    <w:rPr>
      <w:sz w:val="18"/>
      <w:szCs w:val="18"/>
    </w:rPr>
  </w:style>
  <w:style w:type="character" w:styleId="aa">
    <w:name w:val="footnote reference"/>
    <w:basedOn w:val="a0"/>
    <w:uiPriority w:val="99"/>
    <w:semiHidden/>
    <w:unhideWhenUsed/>
    <w:rsid w:val="00AE4029"/>
    <w:rPr>
      <w:vertAlign w:val="superscript"/>
    </w:rPr>
  </w:style>
  <w:style w:type="paragraph" w:styleId="ab">
    <w:name w:val="endnote text"/>
    <w:basedOn w:val="a"/>
    <w:link w:val="ac"/>
    <w:uiPriority w:val="99"/>
    <w:semiHidden/>
    <w:unhideWhenUsed/>
    <w:rsid w:val="00AE4029"/>
    <w:pPr>
      <w:snapToGrid w:val="0"/>
      <w:jc w:val="left"/>
    </w:pPr>
  </w:style>
  <w:style w:type="character" w:customStyle="1" w:styleId="ac">
    <w:name w:val="尾注文本 字符"/>
    <w:basedOn w:val="a0"/>
    <w:link w:val="ab"/>
    <w:uiPriority w:val="99"/>
    <w:semiHidden/>
    <w:rsid w:val="00AE4029"/>
  </w:style>
  <w:style w:type="character" w:styleId="ad">
    <w:name w:val="endnote reference"/>
    <w:basedOn w:val="a0"/>
    <w:uiPriority w:val="99"/>
    <w:semiHidden/>
    <w:unhideWhenUsed/>
    <w:rsid w:val="00AE40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430F0-01C5-9E4D-8A99-6F490899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1073</Words>
  <Characters>1116</Characters>
  <Application>Microsoft Office Word</Application>
  <DocSecurity>0</DocSecurity>
  <Lines>50</Lines>
  <Paragraphs>34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13</cp:revision>
  <dcterms:created xsi:type="dcterms:W3CDTF">2025-03-04T07:38:00Z</dcterms:created>
  <dcterms:modified xsi:type="dcterms:W3CDTF">2026-10-11T11:06:00Z</dcterms:modified>
</cp:coreProperties>
</file>