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从联系的观点看文化产业管理专业“一体三面”的良性互动</w:t>
      </w:r>
    </w:p>
    <w:p>
      <w:pPr>
        <w:spacing w:line="440" w:lineRule="exact"/>
        <w:ind w:firstLine="0"/>
        <w:jc w:val="center"/>
      </w:pPr>
      <w:r>
        <w:t>课程：马克思主义基本原理    专业：文化产业管理</w:t>
      </w:r>
    </w:p>
    <w:p>
      <w:pPr>
        <w:spacing w:line="440" w:lineRule="exact"/>
        <w:ind w:firstLine="0"/>
        <w:jc w:val="center"/>
      </w:pPr>
      <w:r>
        <w:t>姓名：____________    学号：____________</w:t>
      </w:r>
    </w:p>
    <w:p>
      <w:pPr>
        <w:spacing w:after="120"/>
        <w:ind w:firstLine="0"/>
        <w:jc w:val="both"/>
      </w:pPr>
      <w:r>
        <w:rPr>
          <w:b/>
        </w:rPr>
        <w:t>摘要：</w:t>
      </w:r>
      <w:r>
        <w:t>本文围绕文化价值如何转化为持续的社会供给，运用联系的观点分析文化产业管理专业的“一体三面”。文化提出内容与价值要求，产业组织生产和传播，管理协调文化要求与经营条件。结合数字敦煌开放素材库的公开材料，本文认为，三者的良性互动需要通过具体的内容选择、资源配置和使用安排形成，并由使用反馈及资源再投入支持后续文化生产。理解专业的综合性，应当考察这些相互依赖的关系如何进入同一项实践。</w:t>
      </w:r>
    </w:p>
    <w:p>
      <w:pPr>
        <w:spacing w:after="120"/>
        <w:ind w:firstLine="0"/>
        <w:jc w:val="both"/>
      </w:pPr>
      <w:r>
        <w:rPr>
          <w:b/>
        </w:rPr>
        <w:t>关键词：</w:t>
      </w:r>
      <w:r>
        <w:t>联系的观点；文化产业管理；一体三面；文化价值；专业实践</w:t>
      </w:r>
    </w:p>
    <w:p>
      <w:pPr>
        <w:jc w:val="both"/>
      </w:pPr>
      <w:r>
        <w:t>文化产业管理专业将文化、产业和管理联系在一起，共同面对文化内容怎样进入社会生活的问题。有意义的内容需要经过生产和传播与公众见面，还要获得持续供给的条件。本文将这一文化价值的社会实现过程理解为“一体”，将文化、产业与管理理解为它的“三面”。我认为，三者的良性互动可以沿着一条关系说明：文化提出内容与价值要求，产业组织生产、传播和持续经营，管理协调文化要求与经营条件，再将使用反馈和资源投入接回后续文化生产。下文围绕这一关系展开，说明三个侧面为什么需要彼此支持，以及这种支持通过什么形成。</w:t>
      </w:r>
    </w:p>
    <w:p>
      <w:pPr>
        <w:jc w:val="both"/>
      </w:pPr>
      <w:r>
        <w:t>唯物辩证法将联系理解为事物之间以及事物内部各要素之间相互影响、相互制约和相互作用的关系。</w:t>
      </w:r>
      <w:r>
        <w:rPr>
          <w:rStyle w:val="FootnoteReference"/>
        </w:rPr>
        <w:footnoteReference w:id="1"/>
      </w:r>
      <w:r>
        <w:t xml:space="preserve"> 用这一观点理解本专业，需要说明文化要求、产业条件和管理选择怎样彼此影响。从普遍联系出发，考察对象内部的各个部分，需要把局部放回相互作用的整体中理解。</w:t>
      </w:r>
      <w:r>
        <w:rPr>
          <w:rStyle w:val="FootnoteReference"/>
        </w:rPr>
        <w:footnoteReference w:id="2"/>
      </w:r>
      <w:r>
        <w:t xml:space="preserve"> 围绕同一项文化供给，文化提出内容与价值依据，产业组织生产、传播和持续经营，管理协调参与者与资源。内容选择会改变制作任务和传播对象，生产条件也会影响表达形式。本文按作用关系展开论述；项目确定内容时，管理就已参与，制作与传播中也仍需文化判断。单独提高某一方面的指标，并不能直接说明整体供给已经改善。</w:t>
      </w:r>
    </w:p>
    <w:p>
      <w:pPr>
        <w:jc w:val="both"/>
      </w:pPr>
      <w:r>
        <w:t>文化为这一过程提供需要表达的内容，也提出判断表达是否恰当的依据。文化产品面向人的知识、审美和情感需要，内容的意义会影响它为什么值得生产、希望与谁沟通。理解历史文化资源时，需要关注材料来自何处、表达什么、适合怎样使用；创作新的文化内容时，也要判断作品准备回应什么经验或需求。这些问题会进入选题、设计和传播等决策。若缺少相应理解，内容选择容易只追随外观和短期热度，生产活动也就失去充分的文化依据。</w:t>
      </w:r>
    </w:p>
    <w:p>
      <w:pPr>
        <w:jc w:val="both"/>
      </w:pPr>
      <w:r>
        <w:t>数字敦煌开放素材库可以帮助说明文化研究的这种作用。国家文物局2023年的专题材料介绍，素材库中的资源来自敦煌研究院的数字化采集和研究成果，并配有相应的学术介绍。</w:t>
      </w:r>
      <w:r>
        <w:rPr>
          <w:rStyle w:val="FootnoteReference"/>
        </w:rPr>
        <w:footnoteReference w:id="3"/>
      </w:r>
      <w:r>
        <w:t xml:space="preserve"> 图像与解释共同进入供给，使使用者有条件将外观同内容联系起来。对于后续设计和出版，研究成果可以成为选取元素、确定表达方式和补充说明的依据。文化研究通过这些判断进入生产，影响产品传达什么信息、采用什么方式。文化与产业的联系，由内容选择进入具体实践。</w:t>
      </w:r>
    </w:p>
    <w:p>
      <w:pPr>
        <w:jc w:val="both"/>
      </w:pPr>
      <w:r>
        <w:t>文化内容还需要产业运行提供接触社会的条件。创意要经过制作，产品要借助渠道传播，供给要依靠劳动、资金和技术持续进行。即便内容具有意义，相关人员也还要考虑以什么形式生产、向谁提供、怎样承担成本。这些工作组织文化内容进入社会，也决定供给能否继续。产业运行通过组织供给和安排收益，为内容更新与专业人员的持续工作准备条件。生产与传播组织得怎样，会影响表达是否完整、公众接触是否方便。缺少后续制作和传播，研究成果可能停留于较小范围；供给反复中断，也会使内容更新和专业劳动难以积累。因而，产业对文化的支持，需要落实到这些工作的连续性，不能只看一次销售或传播的结果。判断文化价值怎样进入社会，需要把内容与生产传播联系起来。</w:t>
      </w:r>
    </w:p>
    <w:p>
      <w:pPr>
        <w:jc w:val="both"/>
      </w:pPr>
      <w:r>
        <w:t>国家文物局2022年12月8日的报道显示，敦煌研究院与腾讯公司联合建设的数字敦煌开放素材库当日上线，首批开放6500余份高清数字资源档案。</w:t>
      </w:r>
      <w:r>
        <w:rPr>
          <w:rStyle w:val="FootnoteReference"/>
        </w:rPr>
        <w:footnoteReference w:id="4"/>
      </w:r>
      <w:r>
        <w:t xml:space="preserve"> 资源的数字化与开放为后续使用准备了条件。素材库本身承担公共资源供给，资源进入设计、出版和商业合作等活动，则进一步涉及产业利用。两者之间还要经过使用者的内容选择、制作和传播。对本专业而言，值得分析的是这些环节怎样连接，使文化资源能够进入实际生产，而不能把平台上线直接等同于产业效果。</w:t>
      </w:r>
    </w:p>
    <w:p>
      <w:pPr>
        <w:jc w:val="both"/>
      </w:pPr>
      <w:r>
        <w:t>文化要求与经营条件在这里形成了需要处理的张力。内容研究和质量核对需要投入时间，制作与传播也受预算、周期和受众选择影响。增加解释未必适合每一种媒介，扩大生产规模也未必有足够的资源支持。经营反馈能够提示传播是否顺畅，却不能代替对内容的专业判断；具有研究或教育价值的内容，也可能缺少足够的市场收入。这种张力还来自它们共同使用有限资源：同一份预算既要支持内容工作，也要维持制作和传播。单独增加一个环节的投入，可能压缩另一个环节的空间。因而，只提出提高内容质量或增加收入，尚未回答整个项目如何持续运转。文化要求与经营条件各自提出了真实问题，需要在同一个项目中寻找能够执行的安排。</w:t>
      </w:r>
    </w:p>
    <w:p>
      <w:pPr>
        <w:jc w:val="both"/>
      </w:pPr>
      <w:r>
        <w:t>要协调这些要求，管理就要将文化目标与经营条件落实为内容取舍、资源分配和责任安排。作出取舍前，需要让内容研究者说明哪些信息应当保留，让生产传播人员说明成本与媒介限制，再确定可采用的形式和规模。文化要求还需要转化为能够检查的工作，明确哪些内容需要核对、由谁核对、在什么阶段完成；经营要求则要对应资金、时间和技术条件。双方据此围绕同一任务讨论，质量与效率也就有了可以共同判断的对象。某些投入可以调整，有些内容则关系到表达是否准确，应当保留处理它的条件。管理需要说明取舍依据及其后果，并使相关人员知道各自应当完成什么工作。它贯穿内容形成和产业运行，影响二者能够建立怎样的联系。</w:t>
      </w:r>
    </w:p>
    <w:p>
      <w:pPr>
        <w:jc w:val="both"/>
      </w:pPr>
      <w:r>
        <w:t>数字敦煌开放素材库的授权安排提供了一个具体观察点。平台公开说明列出学术研究、公共文化弘扬、学习自用和商业合作等用途，并要求明确用途、签署协议和标注来源。</w:t>
      </w:r>
      <w:r>
        <w:rPr>
          <w:rStyle w:val="FootnoteReference"/>
        </w:rPr>
        <w:footnoteReference w:id="5"/>
      </w:r>
      <w:r>
        <w:t xml:space="preserve"> 用途区分使使用任务可以被识别，协议约定资源进入相关活动的范围，来源标注则保留素材与提供机构之间的联系。用途、协议与来源标注将内容保护和社会利用落实为参与者可以执行的约定。管理通过这些安排连接文化资源的供给与使用，同时使各方的责任可以被说明。</w:t>
      </w:r>
    </w:p>
    <w:p>
      <w:pPr>
        <w:jc w:val="both"/>
      </w:pPr>
      <w:r>
        <w:t>管理协调也需要尊重文化工作和产业运行各自的条件。文化判断需要专业知识，运行安排需要成本与进度信息，管理人员要将两方面的信息纳入同一决策。若只以效率决定内容，容易忽略解释与核对；若提出内容要求却不说明所需资源，也会使要求难以落实。协调的结果，应当让文化目标获得实现的条件，同时使供给规模与实际能力相适应。管理所追求的，是让相关选择能够相互配合，形成可持续的工作安排。</w:t>
      </w:r>
    </w:p>
    <w:p>
      <w:pPr>
        <w:jc w:val="both"/>
      </w:pPr>
      <w:r>
        <w:t>管理把文化要求与经营条件接起来，还需要根据使用反馈持续调整。内容经由生产和传播进入社会后，公众的理解、使用中的困难和持续需要，可以帮助生产者判断原有表达应当怎样修改。产业运行收集的需求信息据此返回内容生产。这也说明产业会影响文化表达：接触到什么人、采用什么渠道，会改变生产者能够获得哪些意见。但需求信息仍需解释，某种内容受欢迎，可能与表达方式、价格或传播机会有关，不能直接作为内容判断的全部依据。管理要将这些信息落实到修改任务，并区分不同意见指向什么问题。对准确性的质疑需要核对内容，对使用不便的反馈需要检查形式与渠道。反馈进入相应环节，三个侧面的互动才能继续发生，而不止于完成一次产品交付。</w:t>
      </w:r>
    </w:p>
    <w:p>
      <w:pPr>
        <w:jc w:val="both"/>
      </w:pPr>
      <w:r>
        <w:t>后续供给还依赖资源再投入。产业活动获得的收入，只有经过相应分配和投入安排，才可能支持研究、制作和维护；需要公共支持的内容，也应根据其任务寻找适当资源。文化目标说明哪些工作值得继续，产业分析估计维持这些工作所需的条件，管理安排资源获得与使用的方式。判断产业是否支持文化，应当进一步说明新增资源去了哪里，哪些劳动获得了支持，后续供给是否因此具备继续开展的条件。若经营成果未进入相应工作，收入增长与文化供给改善之间就仍然缺少一环。现有公开材料尚不足以证明数字敦煌相关开发的收入已持续回流文化保护。这里提出的是评价良性互动时需要检验的关系，应结合实际记录判断资源是否支持了后续文化生产。</w:t>
      </w:r>
    </w:p>
    <w:p>
      <w:pPr>
        <w:jc w:val="both"/>
      </w:pPr>
      <w:r>
        <w:t>联系的条件性要求区分“存在相互作用”与“形成良性互动”。</w:t>
      </w:r>
      <w:r>
        <w:rPr>
          <w:rStyle w:val="FootnoteReference"/>
        </w:rPr>
        <w:footnoteReference w:id="6"/>
      </w:r>
      <w:r>
        <w:t xml:space="preserve"> 三者已经发生联系，也可能因资源错配或单一指标而相互牵制。判断互动是否良性，需要看文化内容能否得到恰当表达，生产与传播是否具备持续条件，公众的需要和使用体验是否进入调整过程。某一方面的增长应当放回整体判断：提高收入后哪些工作获得支持，扩大传播后哪些人得到实际使用机会。说明这些联系，才能判断项目的局部成效是否支持了整体供给。</w:t>
      </w:r>
    </w:p>
    <w:p>
      <w:pPr>
        <w:jc w:val="both"/>
      </w:pPr>
      <w:r>
        <w:t>这条联系也说明了文化产业管理专业的学习怎样进入实践。学习文化知识，是为了有依据地判断内容；分析产业运行，是为了识别内容进入社会所需的条件；运用管理知识，是为了协调两者并组织反馈。处理课程任务时，我会据此将内容依据、生产条件和协作安排放到同一问题中考虑，再根据结果修改选择。文化提供价值要求，产业组织社会供给，管理协调二者并推动调整；当反馈与投入能够持续支持后续生产，“一体三面”的良性互动才有了具体内容。</w:t>
      </w:r>
    </w:p>
    <w:sectPr w:rsidR="00FC693F" w:rsidRPr="0006063C" w:rsidSect="00034616">
      <w:footerReference w:type="default" r:id="rId9"/>
      <w:pgSz w:w="11906" w:h="16838"/>
      <w:pgMar w:top="1440" w:right="1440" w:bottom="1440" w:left="1440" w:header="720" w:footer="709" w:gutter="0"/>
      <w:cols w:space="720"/>
      <w:docGrid w:linePitch="360"/>
      <w:footnotePr>
        <w:pos w:val="pageBottom"/>
      </w:footnoteP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ind w:firstLine="0"/>
      <w:jc w:val="center"/>
    </w:pPr>
    <w:r>
      <w:rPr>
        <w:sz w:val="18"/>
      </w:rPr>
    </w:r>
    <w:fldSimple w:instr="PAGE"/>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pStyle w:val="FootnoteText"/>
      </w:pPr>
      <w:r>
        <w:rPr>
          <w:rStyle w:val="FootnoteReference"/>
        </w:rPr>
        <w:footnoteRef/>
      </w:r>
      <w:r>
        <w:t xml:space="preserve"> 张军：《〈马克思主义基本原理〉实践教程》，“二、事物的普遍联系和变化发展”之“事物的普遍联系”，掌阅电子版，https://m.zhangyue.com/readbook/13569722/10.html，访问日期：2026年10月28日。</w:t>
      </w:r>
    </w:p>
  </w:footnote>
  <w:footnote w:id="2">
    <w:p>
      <w:pPr>
        <w:pStyle w:val="FootnoteText"/>
      </w:pPr>
      <w:r>
        <w:rPr>
          <w:rStyle w:val="FootnoteReference"/>
        </w:rPr>
        <w:footnoteRef/>
      </w:r>
      <w:r>
        <w:t xml:space="preserve"> 恩格斯：《反杜林论》“引论·一 概论”，载《马克思恩格斯全集》中文第二版第26卷，中文马克思主义文库电子版，https://www.marxists.org/chinese/marx-engels-2/26/002.htm，访问日期：2026年10月28日。</w:t>
      </w:r>
    </w:p>
  </w:footnote>
  <w:footnote w:id="3">
    <w:p>
      <w:pPr>
        <w:pStyle w:val="FootnoteText"/>
      </w:pPr>
      <w:r>
        <w:rPr>
          <w:rStyle w:val="FootnoteReference"/>
        </w:rPr>
        <w:footnoteRef/>
      </w:r>
      <w:r>
        <w:t xml:space="preserve"> 丁晓宏、韩雪、秦彤、俞天秀：《数字敦煌开放素材库 助力文物资源全民共享》，国家文物局，2023年9月30日，http://www.ncha.gov.cn/art/2023/9/30/art_722_184429.html，访问日期：2026年10月28日。</w:t>
      </w:r>
    </w:p>
  </w:footnote>
  <w:footnote w:id="4">
    <w:p>
      <w:pPr>
        <w:pStyle w:val="FootnoteText"/>
      </w:pPr>
      <w:r>
        <w:rPr>
          <w:rStyle w:val="FootnoteReference"/>
        </w:rPr>
        <w:footnoteRef/>
      </w:r>
      <w:r>
        <w:t xml:space="preserve"> 李瑞：《开放6500余份档案 数字文化遗产开放共享平台“数字敦煌·开放素材库”正式上线》，国家文物局，2022年12月8日，http://www.ncha.gov.cn/art/2022/12/8/art_723_178614.html，访问日期：2026年10月28日。</w:t>
      </w:r>
    </w:p>
  </w:footnote>
  <w:footnote w:id="5">
    <w:p>
      <w:pPr>
        <w:pStyle w:val="FootnoteText"/>
      </w:pPr>
      <w:r>
        <w:rPr>
          <w:rStyle w:val="FootnoteReference"/>
        </w:rPr>
        <w:footnoteRef/>
      </w:r>
      <w:r>
        <w:t xml:space="preserve"> 敦煌研究院：《了解授权详情》，“数字敦煌”开放素材库，https://ip.e-dunhuang.com/article/3.html，访问日期：2026年10月28日。</w:t>
      </w:r>
    </w:p>
  </w:footnote>
  <w:footnote w:id="6">
    <w:p>
      <w:pPr>
        <w:pStyle w:val="FootnoteText"/>
      </w:pPr>
      <w:r>
        <w:rPr>
          <w:rStyle w:val="FootnoteReference"/>
        </w:rPr>
        <w:footnoteRef/>
      </w:r>
      <w:r>
        <w:t xml:space="preserve"> 张军：《〈马克思主义基本原理〉实践教程》，“二、事物的普遍联系和变化发展”之“事物的普遍联系”，掌阅电子版，https://m.zhangyue.com/readbook/13569722/10.html，访问日期：2026年10月28日。</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eastAsia="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560" w:lineRule="exact" w:after="0" w:before="0"/>
      <w:ind w:firstLine="480"/>
    </w:pPr>
    <w:rPr>
      <w:rFonts w:ascii="Times New Roman" w:hAnsi="Times New Roman" w:eastAsia="SimSu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eastAsia="SimSu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SimSu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SimSu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SimSu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SimSu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SimSu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SimSu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SimSu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SimSu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eastAsia="SimSu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SimSu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SimSun"/>
      <w:b/>
      <w:bCs/>
      <w:color w:val="4F81BD" w:themeColor="accent1"/>
    </w:rPr>
  </w:style>
  <w:style w:type="paragraph" w:styleId="Title">
    <w:name w:val="Title"/>
    <w:basedOn w:val="Normal"/>
    <w:next w:val="Normal"/>
    <w:link w:val="TitleChar"/>
    <w:uiPriority w:val="10"/>
    <w:qFormat/>
    <w:rsid w:val="00FC693F"/>
    <w:pPr>
      <w:spacing w:after="160" w:line="480" w:lineRule="exact"/>
      <w:ind w:firstLine="0"/>
      <w:contextualSpacing/>
    </w:pPr>
    <w:rPr>
      <w:rFonts w:cstheme="majorBidi" w:ascii="Times New Roman" w:hAnsi="Times New Roman" w:eastAsia="SimHei"/>
      <w:b/>
      <w:color w:val="000000"/>
      <w:spacing w:val="5"/>
      <w:kern w:val="28"/>
      <w:sz w:val="30"/>
      <w:szCs w:val="52"/>
    </w:rPr>
  </w:style>
  <w:style w:type="character" w:customStyle="1" w:styleId="TitleChar">
    <w:name w:val="Title Char"/>
    <w:basedOn w:val="DefaultParagraphFont"/>
    <w:link w:val="Title"/>
    <w:uiPriority w:val="10"/>
    <w:rsid w:val="00FC693F"/>
    <w:rPr>
      <w:rFonts w:cstheme="majorBidi" w:ascii="Times New Roman" w:hAnsi="Times New Roman" w:eastAsia="SimSu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SimSu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SimSu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SimSu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SimSu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SimSu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SimSu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SimSu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SimSu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SimSu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SimSu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SimSu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eastAsia="SimSu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eastAsia="SimSun"/>
        <w:b/>
        <w:bCs/>
      </w:rPr>
    </w:tblStylePr>
    <w:tblStylePr w:type="lastCol">
      <w:rPr>
        <w:rFonts w:cstheme="majorBidi" w:ascii="Times New Roman" w:hAnsi="Times New Roman" w:eastAsia="SimSu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SimSu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eastAsia="SimSu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eastAsia="SimSun"/>
        <w:b/>
        <w:bCs/>
      </w:rPr>
    </w:tblStylePr>
    <w:tblStylePr w:type="lastCol">
      <w:rPr>
        <w:rFonts w:cstheme="majorBidi" w:ascii="Times New Roman" w:hAnsi="Times New Roman" w:eastAsia="SimSu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SimSu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eastAsia="SimSu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eastAsia="SimSun"/>
        <w:b/>
        <w:bCs/>
      </w:rPr>
    </w:tblStylePr>
    <w:tblStylePr w:type="lastCol">
      <w:rPr>
        <w:rFonts w:cstheme="majorBidi" w:ascii="Times New Roman" w:hAnsi="Times New Roman" w:eastAsia="SimSu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SimSu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eastAsia="SimSu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eastAsia="SimSun"/>
        <w:b/>
        <w:bCs/>
      </w:rPr>
    </w:tblStylePr>
    <w:tblStylePr w:type="lastCol">
      <w:rPr>
        <w:rFonts w:cstheme="majorBidi" w:ascii="Times New Roman" w:hAnsi="Times New Roman" w:eastAsia="SimSu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SimSu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eastAsia="SimSu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eastAsia="SimSun"/>
        <w:b/>
        <w:bCs/>
      </w:rPr>
    </w:tblStylePr>
    <w:tblStylePr w:type="lastCol">
      <w:rPr>
        <w:rFonts w:cstheme="majorBidi" w:ascii="Times New Roman" w:hAnsi="Times New Roman" w:eastAsia="SimSu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SimSu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eastAsia="SimSu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eastAsia="SimSun"/>
        <w:b/>
        <w:bCs/>
      </w:rPr>
    </w:tblStylePr>
    <w:tblStylePr w:type="lastCol">
      <w:rPr>
        <w:rFonts w:cstheme="majorBidi" w:ascii="Times New Roman" w:hAnsi="Times New Roman" w:eastAsia="SimSu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SimSu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eastAsia="SimSu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eastAsia="SimSun"/>
        <w:b/>
        <w:bCs/>
      </w:rPr>
    </w:tblStylePr>
    <w:tblStylePr w:type="lastCol">
      <w:rPr>
        <w:rFonts w:cstheme="majorBidi" w:ascii="Times New Roman" w:hAnsi="Times New Roman" w:eastAsia="SimSu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eastAsia="SimSu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eastAsia="SimSu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eastAsia="SimSu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eastAsia="SimSu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eastAsia="SimSu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eastAsia="SimSu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eastAsia="SimSu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eastAsia="SimSu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eastAsia="SimSu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eastAsia="SimSu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eastAsia="SimSu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eastAsia="SimSu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eastAsia="SimSu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eastAsia="SimSu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eastAsia="SimSu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eastAsia="SimSu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eastAsia="SimSu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eastAsia="SimSu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eastAsia="SimSu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eastAsia="SimSu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eastAsia="SimSu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widowControl/>
      <w:spacing w:line="240" w:lineRule="exact" w:after="0"/>
      <w:ind w:firstLine="0"/>
    </w:pPr>
    <w:rPr>
      <w:rFonts w:ascii="Times New Roman" w:hAnsi="Times New Roman" w:eastAsia="SimSun"/>
      <w:b w:val="0"/>
      <w:color w:val="000000"/>
      <w:sz w:val="18"/>
    </w:rPr>
  </w:style>
  <w:style w:type="character" w:customStyle="1" w:styleId="FootnoteReference">
    <w:name w:val="Footnote Reference"/>
    <w:rPr>
      <w:rFonts w:ascii="Times New Roman" w:hAnsi="Times New Roman" w:eastAsia="SimSun"/>
      <w:b w:val="0"/>
      <w:color w:val="000000"/>
      <w:sz w:val="18"/>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