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88"/>
        </w:rPr>
        <w:t>ecOS</w:t>
      </w:r>
    </w:p>
    <w:p>
      <w:pPr>
        <w:jc w:val="center"/>
      </w:pPr>
      <w:r>
        <w:rPr>
          <w:color w:val="4F81BD"/>
          <w:sz w:val="36"/>
        </w:rPr>
        <w:t>Endpoint Cognitive Operating Shell</w:t>
      </w:r>
    </w:p>
    <w:p>
      <w:pPr>
        <w:spacing w:before="360"/>
        <w:jc w:val="center"/>
      </w:pPr>
      <w:r>
        <w:rPr>
          <w:b/>
          <w:color w:val="2F5597"/>
          <w:sz w:val="48"/>
        </w:rPr>
        <w:t>CogPOSIX</w:t>
      </w:r>
    </w:p>
    <w:p>
      <w:pPr>
        <w:jc w:val="center"/>
      </w:pPr>
      <w:r>
        <w:rPr>
          <w:i/>
          <w:sz w:val="26"/>
        </w:rPr>
        <w:t>Open system interface for native AI computation</w:t>
      </w:r>
    </w:p>
    <w:p>
      <w:pPr>
        <w:spacing w:before="840"/>
        <w:jc w:val="center"/>
      </w:pPr>
      <w:r>
        <w:rPr>
          <w:b/>
          <w:sz w:val="26"/>
        </w:rPr>
        <w:t>Architecture, API, Runtime, Implementation Plan, Use Cases and Future Roadmap</w:t>
      </w:r>
    </w:p>
    <w:p>
      <w:pPr>
        <w:jc w:val="center"/>
      </w:pPr>
      <w:r>
        <w:rPr>
          <w:color w:val="646464"/>
          <w:sz w:val="20"/>
        </w:rPr>
        <w:t>Specification v0.1 — Working Draft — 11 September 2026</w:t>
      </w:r>
    </w:p>
    <w:p>
      <w:pPr>
        <w:spacing w:before="900"/>
      </w:pPr>
    </w:p>
    <w:tbl>
      <w:tblPr>
        <w:tblW w:type="auto" w:w="0"/>
        <w:jc w:val="center"/>
        <w:tblLayout w:type="fixed"/>
        <w:tblLook w:firstColumn="1" w:firstRow="1" w:lastColumn="0" w:lastRow="0" w:noHBand="0" w:noVBand="1" w:val="04A0"/>
      </w:tblPr>
      <w:tblGrid>
        <w:gridCol w:w="8928"/>
      </w:tblGrid>
      <w:tr>
        <w:tc>
          <w:tcPr>
            <w:tcW w:type="dxa" w:w="9878"/>
            <w:shd w:fill="FFF2CC"/>
            <w:tcMar>
              <w:top w:w="160" w:type="dxa"/>
              <w:start w:w="180" w:type="dxa"/>
              <w:bottom w:w="160" w:type="dxa"/>
              <w:end w:w="180" w:type="dxa"/>
            </w:tcMar>
          </w:tcPr>
          <w:p>
            <w:r>
              <w:rPr>
                <w:b/>
                <w:sz w:val="21"/>
              </w:rPr>
              <w:t>Naming status — important</w:t>
            </w:r>
          </w:p>
          <w:p>
            <w:pPr>
              <w:spacing w:after="0"/>
            </w:pPr>
            <w:r>
              <w:t>“OpenPosix/OpenPOSIX” is already associated with the Open POSIX Test Suite and should not be used as this project name. This specification therefore uses “CogPOSIX” as the working project name. The requested product name “ecOS” is retained, but an established open-source RTOS named “eCos” already exists; ecOS must therefore be treated as a working product name pending a formal trademark and branding review.</w:t>
            </w:r>
          </w:p>
        </w:tc>
      </w:tr>
    </w:tbl>
    <w:p>
      <w:r>
        <w:br w:type="page"/>
      </w:r>
    </w:p>
    <w:p>
      <w:pPr>
        <w:pStyle w:val="Heading1"/>
        <w:keepNext/>
      </w:pPr>
      <w:r>
        <w:t>Document map</w:t>
      </w:r>
    </w:p>
    <w:tbl>
      <w:tblPr>
        <w:tblStyle w:val="TableGrid"/>
        <w:tblW w:type="auto" w:w="0"/>
        <w:jc w:val="center"/>
        <w:tblLook w:firstColumn="1" w:firstRow="1" w:lastColumn="0" w:lastRow="0" w:noHBand="0" w:noVBand="1" w:val="04A0"/>
      </w:tblPr>
      <w:tblGrid>
        <w:gridCol w:w="4939"/>
        <w:gridCol w:w="4939"/>
      </w:tblGrid>
      <w:tr>
        <w:tc>
          <w:tcPr>
            <w:tcW w:type="dxa" w:w="4939"/>
            <w:shd w:fill="D9E2F3"/>
          </w:tcPr>
          <w:p>
            <w:r>
              <w:rPr>
                <w:b/>
              </w:rPr>
              <w:t>Section</w:t>
            </w:r>
          </w:p>
        </w:tc>
        <w:tc>
          <w:tcPr>
            <w:tcW w:type="dxa" w:w="4939"/>
            <w:shd w:fill="D9E2F3"/>
          </w:tcPr>
          <w:p>
            <w:r>
              <w:rPr>
                <w:b/>
              </w:rPr>
              <w:t>Purpose</w:t>
            </w:r>
          </w:p>
        </w:tc>
      </w:tr>
      <w:tr>
        <w:tc>
          <w:tcPr>
            <w:tcW w:type="dxa" w:w="4939"/>
          </w:tcPr>
          <w:p>
            <w:r>
              <w:t>Part I</w:t>
            </w:r>
          </w:p>
        </w:tc>
        <w:tc>
          <w:tcPr>
            <w:tcW w:type="dxa" w:w="4939"/>
          </w:tcPr>
          <w:p>
            <w:r>
              <w:t>Concept and scope</w:t>
            </w:r>
          </w:p>
        </w:tc>
      </w:tr>
      <w:tr>
        <w:tc>
          <w:tcPr>
            <w:tcW w:type="dxa" w:w="4939"/>
          </w:tcPr>
          <w:p>
            <w:r>
              <w:t>Part II</w:t>
            </w:r>
          </w:p>
        </w:tc>
        <w:tc>
          <w:tcPr>
            <w:tcW w:type="dxa" w:w="4939"/>
          </w:tcPr>
          <w:p>
            <w:r>
              <w:t>System architecture</w:t>
            </w:r>
          </w:p>
        </w:tc>
      </w:tr>
      <w:tr>
        <w:tc>
          <w:tcPr>
            <w:tcW w:type="dxa" w:w="4939"/>
          </w:tcPr>
          <w:p>
            <w:r>
              <w:t>Part III</w:t>
            </w:r>
          </w:p>
        </w:tc>
        <w:tc>
          <w:tcPr>
            <w:tcW w:type="dxa" w:w="4939"/>
          </w:tcPr>
          <w:p>
            <w:r>
              <w:t>CogPOSIX public interface and object model</w:t>
            </w:r>
          </w:p>
        </w:tc>
      </w:tr>
      <w:tr>
        <w:tc>
          <w:tcPr>
            <w:tcW w:type="dxa" w:w="4939"/>
          </w:tcPr>
          <w:p>
            <w:r>
              <w:t>Part IV</w:t>
            </w:r>
          </w:p>
        </w:tc>
        <w:tc>
          <w:tcPr>
            <w:tcW w:type="dxa" w:w="4939"/>
          </w:tcPr>
          <w:p>
            <w:r>
              <w:t>Runtime, scheduling, memory and backends</w:t>
            </w:r>
          </w:p>
        </w:tc>
      </w:tr>
      <w:tr>
        <w:tc>
          <w:tcPr>
            <w:tcW w:type="dxa" w:w="4939"/>
          </w:tcPr>
          <w:p>
            <w:r>
              <w:t>Part V</w:t>
            </w:r>
          </w:p>
        </w:tc>
        <w:tc>
          <w:tcPr>
            <w:tcW w:type="dxa" w:w="4939"/>
          </w:tcPr>
          <w:p>
            <w:r>
              <w:t>Security, isolation and observability</w:t>
            </w:r>
          </w:p>
        </w:tc>
      </w:tr>
      <w:tr>
        <w:tc>
          <w:tcPr>
            <w:tcW w:type="dxa" w:w="4939"/>
          </w:tcPr>
          <w:p>
            <w:r>
              <w:t>Part VI</w:t>
            </w:r>
          </w:p>
        </w:tc>
        <w:tc>
          <w:tcPr>
            <w:tcW w:type="dxa" w:w="4939"/>
          </w:tcPr>
          <w:p>
            <w:r>
              <w:t>Implementation plan and repository contract</w:t>
            </w:r>
          </w:p>
        </w:tc>
      </w:tr>
      <w:tr>
        <w:tc>
          <w:tcPr>
            <w:tcW w:type="dxa" w:w="4939"/>
          </w:tcPr>
          <w:p>
            <w:r>
              <w:t>Part VII</w:t>
            </w:r>
          </w:p>
        </w:tc>
        <w:tc>
          <w:tcPr>
            <w:tcW w:type="dxa" w:w="4939"/>
          </w:tcPr>
          <w:p>
            <w:r>
              <w:t>Reference use cases</w:t>
            </w:r>
          </w:p>
        </w:tc>
      </w:tr>
      <w:tr>
        <w:tc>
          <w:tcPr>
            <w:tcW w:type="dxa" w:w="4939"/>
          </w:tcPr>
          <w:p>
            <w:r>
              <w:t>Part VIII</w:t>
            </w:r>
          </w:p>
        </w:tc>
        <w:tc>
          <w:tcPr>
            <w:tcW w:type="dxa" w:w="4939"/>
          </w:tcPr>
          <w:p>
            <w:r>
              <w:t>Future development roadmap</w:t>
            </w:r>
          </w:p>
        </w:tc>
      </w:tr>
      <w:tr>
        <w:tc>
          <w:tcPr>
            <w:tcW w:type="dxa" w:w="4939"/>
          </w:tcPr>
          <w:p>
            <w:r>
              <w:t>Appendix A</w:t>
            </w:r>
          </w:p>
        </w:tc>
        <w:tc>
          <w:tcPr>
            <w:tcW w:type="dxa" w:w="4939"/>
          </w:tcPr>
          <w:p>
            <w:r>
              <w:t>Naming verification and external references</w:t>
            </w:r>
          </w:p>
        </w:tc>
      </w:tr>
      <w:tr>
        <w:tc>
          <w:tcPr>
            <w:tcW w:type="dxa" w:w="4939"/>
          </w:tcPr>
          <w:p>
            <w:r>
              <w:t>Appendix B</w:t>
            </w:r>
          </w:p>
        </w:tc>
        <w:tc>
          <w:tcPr>
            <w:tcW w:type="dxa" w:w="4939"/>
          </w:tcPr>
          <w:p>
            <w:r>
              <w:t>Implementation-model handoff instructions</w:t>
            </w:r>
          </w:p>
        </w:tc>
      </w:tr>
    </w:tbl>
    <w:p>
      <w:pPr>
        <w:pStyle w:val="Heading2"/>
        <w:keepNext/>
      </w:pPr>
      <w:r>
        <w:t>How to use this document</w:t>
      </w:r>
    </w:p>
    <w:p>
      <w:r>
        <w:t>This document is intentionally written as both an architectural specification and an implementation handoff. A software-engineering model should be able to ingest it and produce the initial repository, public headers, daemon skeleton, IPC protocol, mock backend, tests, and the first ONNX Runtime backend without inferring a different product concept.</w:t>
      </w:r>
    </w:p>
    <w:p>
      <w:pPr>
        <w:pStyle w:val="ListBullet"/>
      </w:pPr>
      <w:r>
        <w:t>Normative language: MUST, MUST NOT, SHOULD, SHOULD NOT and MAY are intentional implementation constraints.</w:t>
      </w:r>
    </w:p>
    <w:p>
      <w:pPr>
        <w:pStyle w:val="ListBullet"/>
      </w:pPr>
      <w:r>
        <w:t>The MVP scope is deliberately narrower than the long-term vision.</w:t>
      </w:r>
    </w:p>
    <w:p>
      <w:pPr>
        <w:pStyle w:val="ListBullet"/>
      </w:pPr>
      <w:r>
        <w:t>AI does not mean LLM. Language models are only one possible model class.</w:t>
      </w:r>
    </w:p>
    <w:p>
      <w:pPr>
        <w:pStyle w:val="ListBullet"/>
      </w:pPr>
      <w:r>
        <w:t>Agent frameworks are consumers of ecOS/CogPOSIX, not part of its core.</w:t>
      </w:r>
    </w:p>
    <w:p>
      <w:pPr>
        <w:pStyle w:val="ListBullet"/>
      </w:pPr>
      <w:r>
        <w:t>The project must prove operating-system resource management first; advanced AI orchestration comes later.</w:t>
      </w:r>
    </w:p>
    <w:p>
      <w:pPr>
        <w:pStyle w:val="Heading1"/>
        <w:keepNext/>
      </w:pPr>
      <w:r>
        <w:t>Part I — Concept and scope</w:t>
      </w:r>
    </w:p>
    <w:p>
      <w:pPr>
        <w:pStyle w:val="Heading2"/>
        <w:keepNext/>
      </w:pPr>
      <w:r>
        <w:t>1. Project definition</w:t>
      </w:r>
    </w:p>
    <w:p>
      <w:r>
        <w:t>ecOS (Endpoint Cognitive Operating Shell) is an operating environment in which AI inference is treated as a normal form of system computation rather than as an application-specific library feature. CogPOSIX is the open, POSIX-inspired system interface that defines how applications acquire, execute, compose, schedule, share, observe and release AI compute resources.</w:t>
      </w:r>
    </w:p>
    <w:p>
      <w:r>
        <w:t>The central thesis is simple: conventional operating systems standardized processes, memory, files, pipes, sockets, devices, permissions and scheduling; modern systems now require similarly stable abstractions for model execution, tensor memory, accelerator scheduling, dataflow and model lifecycle.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APPLICATIONS</w:t>
              <w:br/>
              <w:t xml:space="preserve">    |</w:t>
              <w:br/>
              <w:t xml:space="preserve">    v</w:t>
              <w:br/>
              <w:t>CogPOSIX API / ABI</w:t>
              <w:br/>
              <w:t xml:space="preserve">    |</w:t>
              <w:br/>
              <w:t xml:space="preserve">    v</w:t>
              <w:br/>
              <w:t>ecOS runtime</w:t>
              <w:br/>
              <w:t xml:space="preserve">    |-- model manager</w:t>
              <w:br/>
              <w:t xml:space="preserve">    |-- memory manager</w:t>
              <w:br/>
              <w:t xml:space="preserve">    |-- scheduler</w:t>
              <w:br/>
              <w:t xml:space="preserve">    |-- graph executor</w:t>
              <w:br/>
              <w:t xml:space="preserve">    |-- capability registry</w:t>
              <w:br/>
              <w:t xml:space="preserve">    |-- security / policy</w:t>
              <w:br/>
              <w:t xml:space="preserve">    |-- observability</w:t>
              <w:br/>
              <w:t xml:space="preserve">    v</w:t>
              <w:br/>
              <w:t>Execution backends</w:t>
              <w:br/>
              <w:t xml:space="preserve">    |</w:t>
              <w:br/>
              <w:t xml:space="preserve">    +-- CPU</w:t>
              <w:br/>
              <w:t xml:space="preserve">    +-- GPU</w:t>
              <w:br/>
              <w:t xml:space="preserve">    +-- NPU</w:t>
              <w:br/>
              <w:t xml:space="preserve">    +-- DSP / FPGA</w:t>
              <w:br/>
              <w:t xml:space="preserve">    +-- remote accelerator (future)</w:t>
            </w:r>
          </w:p>
        </w:tc>
      </w:tr>
    </w:tbl>
    <w:p>
      <w:pPr>
        <w:pStyle w:val="Heading2"/>
        <w:keepNext/>
      </w:pPr>
      <w:r>
        <w:t>2. Core thesis</w:t>
      </w:r>
    </w:p>
    <w:p>
      <w:r>
        <w:rPr>
          <w:b/>
        </w:rPr>
        <w:t>CogPOSIX is a system interface for treating AI inference as a native primitive of computing.</w:t>
      </w:r>
    </w:p>
    <w:p>
      <w:r>
        <w:t>The project is not primarily about making the operating system “intelligent.” It is about making AI computation manageable by the operating system. The distinction is fundamental.</w:t>
      </w:r>
    </w:p>
    <w:p>
      <w:pPr>
        <w:pStyle w:val="Heading2"/>
        <w:keepNext/>
      </w:pPr>
      <w:r>
        <w:t>3. What ecOS is not</w:t>
      </w:r>
    </w:p>
    <w:p>
      <w:pPr>
        <w:pStyle w:val="ListBullet"/>
      </w:pPr>
      <w:r>
        <w:t>Not an LLM operating system.</w:t>
      </w:r>
    </w:p>
    <w:p>
      <w:pPr>
        <w:pStyle w:val="ListBullet"/>
      </w:pPr>
      <w:r>
        <w:t>Not an agentic operating system.</w:t>
      </w:r>
    </w:p>
    <w:p>
      <w:pPr>
        <w:pStyle w:val="ListBullet"/>
      </w:pPr>
      <w:r>
        <w:t>Not an MCP replacement.</w:t>
      </w:r>
    </w:p>
    <w:p>
      <w:pPr>
        <w:pStyle w:val="ListBullet"/>
      </w:pPr>
      <w:r>
        <w:t>Not a chatbot shell.</w:t>
      </w:r>
    </w:p>
    <w:p>
      <w:pPr>
        <w:pStyle w:val="ListBullet"/>
      </w:pPr>
      <w:r>
        <w:t>Not a model-training framework in the MVP.</w:t>
      </w:r>
    </w:p>
    <w:p>
      <w:pPr>
        <w:pStyle w:val="ListBullet"/>
      </w:pPr>
      <w:r>
        <w:t>Not a new neural-network file format.</w:t>
      </w:r>
    </w:p>
    <w:p>
      <w:pPr>
        <w:pStyle w:val="ListBullet"/>
      </w:pPr>
      <w:r>
        <w:t>Not an ONNX Runtime wrapper.</w:t>
      </w:r>
    </w:p>
    <w:p>
      <w:pPr>
        <w:pStyle w:val="ListBullet"/>
      </w:pPr>
      <w:r>
        <w:t>Not initially a new kernel or Linux fork.</w:t>
      </w:r>
    </w:p>
    <w:p>
      <w:pPr>
        <w:pStyle w:val="ListBullet"/>
      </w:pPr>
      <w:r>
        <w:t>Not a model marketplace.</w:t>
      </w:r>
    </w:p>
    <w:p>
      <w:pPr>
        <w:pStyle w:val="ListBullet"/>
      </w:pPr>
      <w:r>
        <w:t>Not a Python-first framework.</w:t>
      </w:r>
    </w:p>
    <w:p>
      <w:pPr>
        <w:pStyle w:val="Heading2"/>
        <w:keepNext/>
      </w:pPr>
      <w:r>
        <w:t>4. Relationship to agents, MCP and higher-level systems</w:t>
      </w:r>
    </w:p>
    <w:p>
      <w:r>
        <w:t>MCP and agent frameworks operate at a higher semantic/application layer: they expose tools, resources, context and delegated actions. CogPOSIX is deliberately lower-level. It exposes compute, memory, scheduling, lifecycle and synchronization primitives. An MCP server, agent runtime, desktop assistant or robotic planner may use CogPOSIX, but none of them defines CogPOSIX.</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Agent framework / MCP / application</w:t>
              <w:br/>
              <w:t xml:space="preserve">             |</w:t>
              <w:br/>
              <w:t xml:space="preserve">             v</w:t>
              <w:br/>
              <w:t xml:space="preserve">          CogPOSIX</w:t>
              <w:br/>
              <w:t xml:space="preserve">             |</w:t>
              <w:br/>
              <w:t xml:space="preserve">             v</w:t>
              <w:br/>
              <w:t xml:space="preserve">            ecOS</w:t>
              <w:br/>
              <w:t xml:space="preserve">             |</w:t>
              <w:br/>
              <w:t xml:space="preserve">             v</w:t>
              <w:br/>
              <w:t>model runtime / accelerator</w:t>
            </w:r>
          </w:p>
        </w:tc>
      </w:tr>
    </w:tbl>
    <w:p>
      <w:pPr>
        <w:pStyle w:val="Heading2"/>
        <w:keepNext/>
      </w:pPr>
      <w:r>
        <w:t>5. Design principles</w:t>
      </w:r>
    </w:p>
    <w:p>
      <w:r>
        <w:rPr>
          <w:b/>
        </w:rPr>
        <w:t xml:space="preserve">AI models are compute resources: </w:t>
      </w:r>
      <w:r>
        <w:t>Models are acquired, executed, observed and released through stable system abstractions.</w:t>
      </w:r>
    </w:p>
    <w:p>
      <w:r>
        <w:rPr>
          <w:b/>
        </w:rPr>
        <w:t xml:space="preserve">Architecture-agnostic core: </w:t>
      </w:r>
      <w:r>
        <w:t>The core MUST NOT be designed around transformers, CNNs, diffusion, LLMs or any current neural architecture.</w:t>
      </w:r>
    </w:p>
    <w:p>
      <w:r>
        <w:rPr>
          <w:b/>
        </w:rPr>
        <w:t xml:space="preserve">Typed data over text-centric IPC: </w:t>
      </w:r>
      <w:r>
        <w:t>The native data plane uses buffers and tensor views; JSON/text is not the primary transport for model payloads.</w:t>
      </w:r>
    </w:p>
    <w:p>
      <w:r>
        <w:rPr>
          <w:b/>
        </w:rPr>
        <w:t xml:space="preserve">Zero-copy where technically possible: </w:t>
      </w:r>
      <w:r>
        <w:t>The architecture MUST permit shared and device-local memory paths that avoid mandatory host serialization.</w:t>
      </w:r>
    </w:p>
    <w:p>
      <w:r>
        <w:rPr>
          <w:b/>
        </w:rPr>
        <w:t xml:space="preserve">Application expresses requirements; runtime chooses placement: </w:t>
      </w:r>
      <w:r>
        <w:t>The system scheduler decides device and runtime placement unless the application explicitly requests a specific one.</w:t>
      </w:r>
    </w:p>
    <w:p>
      <w:r>
        <w:rPr>
          <w:b/>
        </w:rPr>
        <w:t xml:space="preserve">Stable interface, replaceable backend: </w:t>
      </w:r>
      <w:r>
        <w:t>Applications target CogPOSIX, not a specific inference runtime.</w:t>
      </w:r>
    </w:p>
    <w:p>
      <w:r>
        <w:rPr>
          <w:b/>
        </w:rPr>
        <w:t xml:space="preserve">Small core, extensible periphery: </w:t>
      </w:r>
      <w:r>
        <w:t>Core ABI remains conservative; vendor- or model-specific features are optional extensions.</w:t>
      </w:r>
    </w:p>
    <w:p>
      <w:r>
        <w:rPr>
          <w:b/>
        </w:rPr>
        <w:t xml:space="preserve">User-space first: </w:t>
      </w:r>
      <w:r>
        <w:t>The MVP proves the abstraction without requiring kernel modifications.</w:t>
      </w:r>
    </w:p>
    <w:p>
      <w:r>
        <w:rPr>
          <w:b/>
        </w:rPr>
        <w:t xml:space="preserve">Correctness before optimization: </w:t>
      </w:r>
      <w:r>
        <w:t>Mock execution and conformance precede GPU tuning and graph compilation.</w:t>
      </w:r>
    </w:p>
    <w:p>
      <w:r>
        <w:rPr>
          <w:b/>
        </w:rPr>
        <w:t xml:space="preserve">Global resource view: </w:t>
      </w:r>
      <w:r>
        <w:t>The runtime gains value by coordinating workloads across independent applications rather than optimizing one process in isolation.</w:t>
      </w:r>
    </w:p>
    <w:p>
      <w:pPr>
        <w:pStyle w:val="Heading2"/>
        <w:keepNext/>
      </w:pPr>
      <w:r>
        <w:t>6. Long-term system model</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Today</w:t>
              <w:br/>
              <w:t>APP A -&gt; model/runtime/GPU policy A</w:t>
              <w:br/>
              <w:t>APP B -&gt; model/runtime/GPU policy B</w:t>
              <w:br/>
              <w:t>APP C -&gt; model/runtime/GPU policy C</w:t>
              <w:br/>
              <w:br/>
              <w:t>Target</w:t>
              <w:br/>
              <w:t>APP A --+</w:t>
              <w:br/>
              <w:t>APP B --+--&gt; CogPOSIX/ecOS --&gt; shared models, memory, schedulers, accelerators</w:t>
              <w:br/>
              <w:t>APP C --+</w:t>
            </w:r>
          </w:p>
        </w:tc>
      </w:tr>
    </w:tbl>
    <w:p>
      <w:r>
        <w:t>The strategic shift is from application-owned AI stacks toward system-managed AI resources. This is the same class of abstraction shift that historically moved applications away from direct hardware management toward operating-system services.</w:t>
      </w:r>
    </w:p>
    <w:p>
      <w:pPr>
        <w:pStyle w:val="Heading1"/>
        <w:keepNext/>
      </w:pPr>
      <w:r>
        <w:t>Part II — System architecture</w:t>
      </w:r>
    </w:p>
    <w:p>
      <w:pPr>
        <w:pStyle w:val="Heading2"/>
        <w:keepNext/>
      </w:pPr>
      <w:r>
        <w:t>7. Reference architecture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w:t>
              <w:br/>
              <w:t>│ Applications / SDKs / shells / frameworks   │</w:t>
              <w:br/>
              <w:t>└──────────────────────┬──────────────────────┘</w:t>
              <w:br/>
              <w:t xml:space="preserve">                       │ stable public ABI</w:t>
              <w:br/>
              <w:t>┌──────────────────────▼──────────────────────┐</w:t>
              <w:br/>
              <w:t>│ libecos / libcogposix                       │</w:t>
              <w:br/>
              <w:t>│ handles, validation, IPC client             │</w:t>
              <w:br/>
              <w:t>└──────────────────────┬──────────────────────┘</w:t>
              <w:br/>
              <w:t xml:space="preserve">                       │ control plane</w:t>
              <w:br/>
              <w:t>┌──────────────────────▼──────────────────────┐</w:t>
              <w:br/>
              <w:t>│ ecosd                                       │</w:t>
              <w:br/>
              <w:t>│ model registry &amp; lifecycle                  │</w:t>
              <w:br/>
              <w:t>│ scheduler                                   │</w:t>
              <w:br/>
              <w:t>│ tensor/buffer memory manager                │</w:t>
              <w:br/>
              <w:t>│ graph executor                              │</w:t>
              <w:br/>
              <w:t>│ device manager                              │</w:t>
              <w:br/>
              <w:t>│ policy / isolation                          │</w:t>
              <w:br/>
              <w:t>│ metrics / tracing                           │</w:t>
              <w:br/>
              <w:t>└──────────────┬───────────────────┬──────────┘</w:t>
              <w:br/>
              <w:t xml:space="preserve">               │ backend ABI       │ data plane</w:t>
              <w:br/>
              <w:t xml:space="preserve">         ┌─────▼─────┐       ┌────▼─────────┐</w:t>
              <w:br/>
              <w:t xml:space="preserve">         │ ONNX RT   │       │ shared/device│</w:t>
              <w:br/>
              <w:t xml:space="preserve">         │ mock      │       │ memory       │</w:t>
              <w:br/>
              <w:t xml:space="preserve">         │ future... │       └────┬─────────┘</w:t>
              <w:br/>
              <w:t xml:space="preserve">         └─────┬─────┘            │</w:t>
              <w:br/>
              <w:t xml:space="preserve">               └────────────┬──────┘</w:t>
              <w:br/>
              <w:t xml:space="preserve">                            v</w:t>
              <w:br/>
              <w:t xml:space="preserve">                     CPU/GPU/NPU/etc.</w:t>
            </w:r>
          </w:p>
        </w:tc>
      </w:tr>
    </w:tbl>
    <w:p>
      <w:pPr>
        <w:pStyle w:val="Heading2"/>
        <w:keepNext/>
      </w:pPr>
      <w:r>
        <w:t>8. Component responsibilities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libcogposix</w:t>
            </w:r>
          </w:p>
        </w:tc>
        <w:tc>
          <w:tcPr>
            <w:tcW w:type="dxa" w:w="4939"/>
            <w:tcMar>
              <w:top w:w="80" w:type="dxa"/>
              <w:start w:w="100" w:type="dxa"/>
              <w:bottom w:w="80" w:type="dxa"/>
              <w:end w:w="100" w:type="dxa"/>
            </w:tcMar>
          </w:tcPr>
          <w:p>
            <w:r>
              <w:t>Stable C ABI client library. Validates arguments, owns client-side opaque handles, sends control messages and maps shared buffers.</w:t>
            </w:r>
          </w:p>
        </w:tc>
      </w:tr>
      <w:tr>
        <w:tc>
          <w:tcPr>
            <w:tcW w:type="dxa" w:w="4939"/>
            <w:tcMar>
              <w:top w:w="80" w:type="dxa"/>
              <w:start w:w="100" w:type="dxa"/>
              <w:bottom w:w="80" w:type="dxa"/>
              <w:end w:w="100" w:type="dxa"/>
            </w:tcMar>
          </w:tcPr>
          <w:p>
            <w:r>
              <w:t>ecosd</w:t>
            </w:r>
          </w:p>
        </w:tc>
        <w:tc>
          <w:tcPr>
            <w:tcW w:type="dxa" w:w="4939"/>
            <w:tcMar>
              <w:top w:w="80" w:type="dxa"/>
              <w:start w:w="100" w:type="dxa"/>
              <w:bottom w:w="80" w:type="dxa"/>
              <w:end w:w="100" w:type="dxa"/>
            </w:tcMar>
          </w:tcPr>
          <w:p>
            <w:r>
              <w:t>Central user-space system daemon for model lifecycle, device management, scheduling, memory ownership, job execution and cleanup.</w:t>
            </w:r>
          </w:p>
        </w:tc>
      </w:tr>
      <w:tr>
        <w:tc>
          <w:tcPr>
            <w:tcW w:type="dxa" w:w="4939"/>
            <w:tcMar>
              <w:top w:w="80" w:type="dxa"/>
              <w:start w:w="100" w:type="dxa"/>
              <w:bottom w:w="80" w:type="dxa"/>
              <w:end w:w="100" w:type="dxa"/>
            </w:tcMar>
          </w:tcPr>
          <w:p>
            <w:r>
              <w:t>Backend plugin</w:t>
            </w:r>
          </w:p>
        </w:tc>
        <w:tc>
          <w:tcPr>
            <w:tcW w:type="dxa" w:w="4939"/>
            <w:tcMar>
              <w:top w:w="80" w:type="dxa"/>
              <w:start w:w="100" w:type="dxa"/>
              <w:bottom w:w="80" w:type="dxa"/>
              <w:end w:w="100" w:type="dxa"/>
            </w:tcMar>
          </w:tcPr>
          <w:p>
            <w:r>
              <w:t>Adapter from the ecOS internal backend ABI to an actual execution runtime such as ONNX Runtime.</w:t>
            </w:r>
          </w:p>
        </w:tc>
      </w:tr>
      <w:tr>
        <w:tc>
          <w:tcPr>
            <w:tcW w:type="dxa" w:w="4939"/>
            <w:tcMar>
              <w:top w:w="80" w:type="dxa"/>
              <w:start w:w="100" w:type="dxa"/>
              <w:bottom w:w="80" w:type="dxa"/>
              <w:end w:w="100" w:type="dxa"/>
            </w:tcMar>
          </w:tcPr>
          <w:p>
            <w:r>
              <w:t>Model registry</w:t>
            </w:r>
          </w:p>
        </w:tc>
        <w:tc>
          <w:tcPr>
            <w:tcW w:type="dxa" w:w="4939"/>
            <w:tcMar>
              <w:top w:w="80" w:type="dxa"/>
              <w:start w:w="100" w:type="dxa"/>
              <w:bottom w:w="80" w:type="dxa"/>
              <w:end w:w="100" w:type="dxa"/>
            </w:tcMar>
          </w:tcPr>
          <w:p>
            <w:r>
              <w:t>Stores installed model packages, manifests, hashes, capabilities and artifacts.</w:t>
            </w:r>
          </w:p>
        </w:tc>
      </w:tr>
      <w:tr>
        <w:tc>
          <w:tcPr>
            <w:tcW w:type="dxa" w:w="4939"/>
            <w:tcMar>
              <w:top w:w="80" w:type="dxa"/>
              <w:start w:w="100" w:type="dxa"/>
              <w:bottom w:w="80" w:type="dxa"/>
              <w:end w:w="100" w:type="dxa"/>
            </w:tcMar>
          </w:tcPr>
          <w:p>
            <w:r>
              <w:t>Scheduler</w:t>
            </w:r>
          </w:p>
        </w:tc>
        <w:tc>
          <w:tcPr>
            <w:tcW w:type="dxa" w:w="4939"/>
            <w:tcMar>
              <w:top w:w="80" w:type="dxa"/>
              <w:start w:w="100" w:type="dxa"/>
              <w:bottom w:w="80" w:type="dxa"/>
              <w:end w:w="100" w:type="dxa"/>
            </w:tcMar>
          </w:tcPr>
          <w:p>
            <w:r>
              <w:t>Arbitrates concurrent inference work across clients and devices.</w:t>
            </w:r>
          </w:p>
        </w:tc>
      </w:tr>
      <w:tr>
        <w:tc>
          <w:tcPr>
            <w:tcW w:type="dxa" w:w="4939"/>
            <w:tcMar>
              <w:top w:w="80" w:type="dxa"/>
              <w:start w:w="100" w:type="dxa"/>
              <w:bottom w:w="80" w:type="dxa"/>
              <w:end w:w="100" w:type="dxa"/>
            </w:tcMar>
          </w:tcPr>
          <w:p>
            <w:r>
              <w:t>Memory manager</w:t>
            </w:r>
          </w:p>
        </w:tc>
        <w:tc>
          <w:tcPr>
            <w:tcW w:type="dxa" w:w="4939"/>
            <w:tcMar>
              <w:top w:w="80" w:type="dxa"/>
              <w:start w:w="100" w:type="dxa"/>
              <w:bottom w:w="80" w:type="dxa"/>
              <w:end w:w="100" w:type="dxa"/>
            </w:tcMar>
          </w:tcPr>
          <w:p>
            <w:r>
              <w:t>Owns shared buffers, tracks permissions/lifetimes, and later coordinates device-local memory.</w:t>
            </w:r>
          </w:p>
        </w:tc>
      </w:tr>
      <w:tr>
        <w:tc>
          <w:tcPr>
            <w:tcW w:type="dxa" w:w="4939"/>
            <w:tcMar>
              <w:top w:w="80" w:type="dxa"/>
              <w:start w:w="100" w:type="dxa"/>
              <w:bottom w:w="80" w:type="dxa"/>
              <w:end w:w="100" w:type="dxa"/>
            </w:tcMar>
          </w:tcPr>
          <w:p>
            <w:r>
              <w:t>Graph executor</w:t>
            </w:r>
          </w:p>
        </w:tc>
        <w:tc>
          <w:tcPr>
            <w:tcW w:type="dxa" w:w="4939"/>
            <w:tcMar>
              <w:top w:w="80" w:type="dxa"/>
              <w:start w:w="100" w:type="dxa"/>
              <w:bottom w:w="80" w:type="dxa"/>
              <w:end w:w="100" w:type="dxa"/>
            </w:tcMar>
          </w:tcPr>
          <w:p>
            <w:r>
              <w:t>Executes DAGs of model invocations connected by typed buffers.</w:t>
            </w:r>
          </w:p>
        </w:tc>
      </w:tr>
      <w:tr>
        <w:tc>
          <w:tcPr>
            <w:tcW w:type="dxa" w:w="4939"/>
            <w:tcMar>
              <w:top w:w="80" w:type="dxa"/>
              <w:start w:w="100" w:type="dxa"/>
              <w:bottom w:w="80" w:type="dxa"/>
              <w:end w:w="100" w:type="dxa"/>
            </w:tcMar>
          </w:tcPr>
          <w:p>
            <w:r>
              <w:t>Policy engine</w:t>
            </w:r>
          </w:p>
        </w:tc>
        <w:tc>
          <w:tcPr>
            <w:tcW w:type="dxa" w:w="4939"/>
            <w:tcMar>
              <w:top w:w="80" w:type="dxa"/>
              <w:start w:w="100" w:type="dxa"/>
              <w:bottom w:w="80" w:type="dxa"/>
              <w:end w:w="100" w:type="dxa"/>
            </w:tcMar>
          </w:tcPr>
          <w:p>
            <w:r>
              <w:t>Enforces ownership, permissions, quotas and execution constraints.</w:t>
            </w:r>
          </w:p>
        </w:tc>
      </w:tr>
      <w:tr>
        <w:tc>
          <w:tcPr>
            <w:tcW w:type="dxa" w:w="4939"/>
            <w:tcMar>
              <w:top w:w="80" w:type="dxa"/>
              <w:start w:w="100" w:type="dxa"/>
              <w:bottom w:w="80" w:type="dxa"/>
              <w:end w:w="100" w:type="dxa"/>
            </w:tcMar>
          </w:tcPr>
          <w:p>
            <w:r>
              <w:t>Observability service</w:t>
            </w:r>
          </w:p>
        </w:tc>
        <w:tc>
          <w:tcPr>
            <w:tcW w:type="dxa" w:w="4939"/>
            <w:tcMar>
              <w:top w:w="80" w:type="dxa"/>
              <w:start w:w="100" w:type="dxa"/>
              <w:bottom w:w="80" w:type="dxa"/>
              <w:end w:w="100" w:type="dxa"/>
            </w:tcMar>
          </w:tcPr>
          <w:p>
            <w:r>
              <w:t>Provides structured logs, metrics, traces and per-job diagnostics.</w:t>
            </w:r>
          </w:p>
        </w:tc>
      </w:tr>
    </w:tbl>
    <w:p>
      <w:pPr>
        <w:pStyle w:val="Heading2"/>
        <w:keepNext/>
      </w:pPr>
      <w:r>
        <w:t>9. Control plane vs data plane</w:t>
      </w:r>
    </w:p>
    <w:p>
      <w:r>
        <w:t>This separation is mandatory. Small control messages and large tensor payloads MUST follow different paths.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Control plane</w:t>
            </w:r>
          </w:p>
        </w:tc>
        <w:tc>
          <w:tcPr>
            <w:tcW w:type="dxa" w:w="4939"/>
            <w:tcMar>
              <w:top w:w="80" w:type="dxa"/>
              <w:start w:w="100" w:type="dxa"/>
              <w:bottom w:w="80" w:type="dxa"/>
              <w:end w:w="100" w:type="dxa"/>
            </w:tcMar>
          </w:tcPr>
          <w:p>
            <w:r>
              <w:t>Model open/close, buffer allocation, tensor creation, job submit/wait/cancel, device queries, graph operations, metadata and errors.</w:t>
            </w:r>
          </w:p>
        </w:tc>
      </w:tr>
      <w:tr>
        <w:tc>
          <w:tcPr>
            <w:tcW w:type="dxa" w:w="4939"/>
            <w:tcMar>
              <w:top w:w="80" w:type="dxa"/>
              <w:start w:w="100" w:type="dxa"/>
              <w:bottom w:w="80" w:type="dxa"/>
              <w:end w:w="100" w:type="dxa"/>
            </w:tcMar>
          </w:tcPr>
          <w:p>
            <w:r>
              <w:t>Initial transport</w:t>
            </w:r>
          </w:p>
        </w:tc>
        <w:tc>
          <w:tcPr>
            <w:tcW w:type="dxa" w:w="4939"/>
            <w:tcMar>
              <w:top w:w="80" w:type="dxa"/>
              <w:start w:w="100" w:type="dxa"/>
              <w:bottom w:w="80" w:type="dxa"/>
              <w:end w:w="100" w:type="dxa"/>
            </w:tcMar>
          </w:tcPr>
          <w:p>
            <w:r>
              <w:t>Unix domain socket.</w:t>
            </w:r>
          </w:p>
        </w:tc>
      </w:tr>
      <w:tr>
        <w:tc>
          <w:tcPr>
            <w:tcW w:type="dxa" w:w="4939"/>
            <w:tcMar>
              <w:top w:w="80" w:type="dxa"/>
              <w:start w:w="100" w:type="dxa"/>
              <w:bottom w:w="80" w:type="dxa"/>
              <w:end w:w="100" w:type="dxa"/>
            </w:tcMar>
          </w:tcPr>
          <w:p>
            <w:r>
              <w:t>Data plane</w:t>
            </w:r>
          </w:p>
        </w:tc>
        <w:tc>
          <w:tcPr>
            <w:tcW w:type="dxa" w:w="4939"/>
            <w:tcMar>
              <w:top w:w="80" w:type="dxa"/>
              <w:start w:w="100" w:type="dxa"/>
              <w:bottom w:w="80" w:type="dxa"/>
              <w:end w:w="100" w:type="dxa"/>
            </w:tcMar>
          </w:tcPr>
          <w:p>
            <w:r>
              <w:t>Images, audio, embeddings, tensors, video frames, intermediate outputs and other potentially large payloads.</w:t>
            </w:r>
          </w:p>
        </w:tc>
      </w:tr>
      <w:tr>
        <w:tc>
          <w:tcPr>
            <w:tcW w:type="dxa" w:w="4939"/>
            <w:tcMar>
              <w:top w:w="80" w:type="dxa"/>
              <w:start w:w="100" w:type="dxa"/>
              <w:bottom w:w="80" w:type="dxa"/>
              <w:end w:w="100" w:type="dxa"/>
            </w:tcMar>
          </w:tcPr>
          <w:p>
            <w:r>
              <w:t>Initial transport</w:t>
            </w:r>
          </w:p>
        </w:tc>
        <w:tc>
          <w:tcPr>
            <w:tcW w:type="dxa" w:w="4939"/>
            <w:tcMar>
              <w:top w:w="80" w:type="dxa"/>
              <w:start w:w="100" w:type="dxa"/>
              <w:bottom w:w="80" w:type="dxa"/>
              <w:end w:w="100" w:type="dxa"/>
            </w:tcMar>
          </w:tcPr>
          <w:p>
            <w:r>
              <w:t>memfd_create + mmap + SCM_RIGHTS file-descriptor passing on Linux.</w:t>
            </w:r>
          </w:p>
        </w:tc>
      </w:tr>
      <w:tr>
        <w:tc>
          <w:tcPr>
            <w:tcW w:type="dxa" w:w="4939"/>
            <w:tcMar>
              <w:top w:w="80" w:type="dxa"/>
              <w:start w:w="100" w:type="dxa"/>
              <w:bottom w:w="80" w:type="dxa"/>
              <w:end w:w="100" w:type="dxa"/>
            </w:tcMar>
          </w:tcPr>
          <w:p>
            <w:r>
              <w:t>Future data transports</w:t>
            </w:r>
          </w:p>
        </w:tc>
        <w:tc>
          <w:tcPr>
            <w:tcW w:type="dxa" w:w="4939"/>
            <w:tcMar>
              <w:top w:w="80" w:type="dxa"/>
              <w:start w:w="100" w:type="dxa"/>
              <w:bottom w:w="80" w:type="dxa"/>
              <w:end w:w="100" w:type="dxa"/>
            </w:tcMar>
          </w:tcPr>
          <w:p>
            <w:r>
              <w:t>DMA-BUF, CUDA/ROCm IPC, Vulkan external memory, vendor NPU handles and other zero-copy mechanisms.</w:t>
            </w:r>
          </w:p>
        </w:tc>
      </w:tr>
    </w:tbl>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Application --control messages--&gt; Unix socket --&gt; ecosd</w:t>
              <w:br/>
              <w:t>Application --------tensor data via shared memory--------&gt; backend/device</w:t>
            </w:r>
          </w:p>
        </w:tc>
      </w:tr>
    </w:tbl>
    <w:p>
      <w:pPr>
        <w:pStyle w:val="Heading2"/>
        <w:keepNext/>
      </w:pPr>
      <w:r>
        <w:t>10. Why a daemon</w:t>
      </w:r>
    </w:p>
    <w:p>
      <w:pPr>
        <w:pStyle w:val="ListBullet"/>
      </w:pPr>
      <w:r>
        <w:t>Provides a global view of concurrent AI workloads.</w:t>
      </w:r>
    </w:p>
    <w:p>
      <w:pPr>
        <w:pStyle w:val="ListBullet"/>
      </w:pPr>
      <w:r>
        <w:t>Allows shared model residency and future weight deduplication.</w:t>
      </w:r>
    </w:p>
    <w:p>
      <w:pPr>
        <w:pStyle w:val="ListBullet"/>
      </w:pPr>
      <w:r>
        <w:t>Centralizes policy, quotas, scheduling and accounting.</w:t>
      </w:r>
    </w:p>
    <w:p>
      <w:pPr>
        <w:pStyle w:val="ListBullet"/>
      </w:pPr>
      <w:r>
        <w:t>Allows backends to become replaceable system services.</w:t>
      </w:r>
    </w:p>
    <w:p>
      <w:pPr>
        <w:pStyle w:val="ListBullet"/>
      </w:pPr>
      <w:r>
        <w:t>Provides deterministic cleanup after client crashes.</w:t>
      </w:r>
    </w:p>
    <w:p>
      <w:pPr>
        <w:pStyle w:val="ListBullet"/>
      </w:pPr>
      <w:r>
        <w:t>Makes resource arbitration observable and enforceable across processes.</w:t>
      </w:r>
    </w:p>
    <w:p>
      <w:pPr>
        <w:pStyle w:val="Heading1"/>
        <w:keepNext/>
      </w:pPr>
      <w:r>
        <w:t>Part III — CogPOSIX public interface and object model</w:t>
      </w:r>
    </w:p>
    <w:p>
      <w:pPr>
        <w:pStyle w:val="Heading2"/>
        <w:keepNext/>
      </w:pPr>
      <w:r>
        <w:t>11. Public ABI strategy</w:t>
      </w:r>
    </w:p>
    <w:p>
      <w:r>
        <w:t>The canonical ABI MUST be C. C provides a stable binary boundary, straightforward FFI for Rust/C++/Python, minimal runtime assumptions and a POSIX-compatible systems style. The daemon SHOULD be implemented in Rust.</w:t>
      </w:r>
    </w:p>
    <w:p>
      <w:pPr>
        <w:pStyle w:val="Heading2"/>
        <w:keepNext/>
      </w:pPr>
      <w:r>
        <w:t>12. Opaque handle model</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typedef uint64_t cog_handle_t;</w:t>
              <w:br/>
              <w:br/>
              <w:t>typedef cog_handle_t cog_context_t;</w:t>
              <w:br/>
              <w:t>typedef cog_handle_t cog_model_t;</w:t>
              <w:br/>
              <w:t>typedef cog_handle_t cog_buffer_t;</w:t>
              <w:br/>
              <w:t>typedef cog_handle_t cog_tensor_t;</w:t>
              <w:br/>
              <w:t>typedef cog_handle_t cog_job_t;</w:t>
              <w:br/>
              <w:t>typedef cog_handle_t cog_stream_t;</w:t>
              <w:br/>
              <w:t>typedef cog_handle_t cog_event_t;</w:t>
              <w:br/>
              <w:t>typedef cog_handle_t cog_graph_t;</w:t>
            </w:r>
          </w:p>
        </w:tc>
      </w:tr>
    </w:tbl>
    <w:p>
      <w:r>
        <w:t>Raw pointers MUST NOT cross process boundaries. The daemon owns a per-client handle table that associates object type, permissions, ownership, reference count and backend state with an opaque 64-bit identifier.</w:t>
      </w:r>
    </w:p>
    <w:p>
      <w:pPr>
        <w:pStyle w:val="Heading2"/>
        <w:keepNext/>
      </w:pPr>
      <w:r>
        <w:t>13. Core object model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Context</w:t>
            </w:r>
          </w:p>
        </w:tc>
        <w:tc>
          <w:tcPr>
            <w:tcW w:type="dxa" w:w="4939"/>
            <w:tcMar>
              <w:top w:w="80" w:type="dxa"/>
              <w:start w:w="100" w:type="dxa"/>
              <w:bottom w:w="80" w:type="dxa"/>
              <w:end w:w="100" w:type="dxa"/>
            </w:tcMar>
          </w:tcPr>
          <w:p>
            <w:r>
              <w:t>Client session and connection to ecOS.</w:t>
            </w:r>
          </w:p>
        </w:tc>
      </w:tr>
      <w:tr>
        <w:tc>
          <w:tcPr>
            <w:tcW w:type="dxa" w:w="4939"/>
            <w:tcMar>
              <w:top w:w="80" w:type="dxa"/>
              <w:start w:w="100" w:type="dxa"/>
              <w:bottom w:w="80" w:type="dxa"/>
              <w:end w:w="100" w:type="dxa"/>
            </w:tcMar>
          </w:tcPr>
          <w:p>
            <w:r>
              <w:t>Model</w:t>
            </w:r>
          </w:p>
        </w:tc>
        <w:tc>
          <w:tcPr>
            <w:tcW w:type="dxa" w:w="4939"/>
            <w:tcMar>
              <w:top w:w="80" w:type="dxa"/>
              <w:start w:w="100" w:type="dxa"/>
              <w:bottom w:w="80" w:type="dxa"/>
              <w:end w:w="100" w:type="dxa"/>
            </w:tcMar>
          </w:tcPr>
          <w:p>
            <w:r>
              <w:t>Reference to an executable model resource. It may be registered, loaded, resident, evicted or failed.</w:t>
            </w:r>
          </w:p>
        </w:tc>
      </w:tr>
      <w:tr>
        <w:tc>
          <w:tcPr>
            <w:tcW w:type="dxa" w:w="4939"/>
            <w:tcMar>
              <w:top w:w="80" w:type="dxa"/>
              <w:start w:w="100" w:type="dxa"/>
              <w:bottom w:w="80" w:type="dxa"/>
              <w:end w:w="100" w:type="dxa"/>
            </w:tcMar>
          </w:tcPr>
          <w:p>
            <w:r>
              <w:t>Buffer</w:t>
            </w:r>
          </w:p>
        </w:tc>
        <w:tc>
          <w:tcPr>
            <w:tcW w:type="dxa" w:w="4939"/>
            <w:tcMar>
              <w:top w:w="80" w:type="dxa"/>
              <w:start w:w="100" w:type="dxa"/>
              <w:bottom w:w="80" w:type="dxa"/>
              <w:end w:w="100" w:type="dxa"/>
            </w:tcMar>
          </w:tcPr>
          <w:p>
            <w:r>
              <w:t>Owned block of raw memory with location, size, alignment, permissions and lifecycle.</w:t>
            </w:r>
          </w:p>
        </w:tc>
      </w:tr>
      <w:tr>
        <w:tc>
          <w:tcPr>
            <w:tcW w:type="dxa" w:w="4939"/>
            <w:tcMar>
              <w:top w:w="80" w:type="dxa"/>
              <w:start w:w="100" w:type="dxa"/>
              <w:bottom w:w="80" w:type="dxa"/>
              <w:end w:w="100" w:type="dxa"/>
            </w:tcMar>
          </w:tcPr>
          <w:p>
            <w:r>
              <w:t>Tensor</w:t>
            </w:r>
          </w:p>
        </w:tc>
        <w:tc>
          <w:tcPr>
            <w:tcW w:type="dxa" w:w="4939"/>
            <w:tcMar>
              <w:top w:w="80" w:type="dxa"/>
              <w:start w:w="100" w:type="dxa"/>
              <w:bottom w:w="80" w:type="dxa"/>
              <w:end w:w="100" w:type="dxa"/>
            </w:tcMar>
          </w:tcPr>
          <w:p>
            <w:r>
              <w:t>Typed multidimensional view over a buffer; carries dtype, rank, shape, strides and byte offset.</w:t>
            </w:r>
          </w:p>
        </w:tc>
      </w:tr>
      <w:tr>
        <w:tc>
          <w:tcPr>
            <w:tcW w:type="dxa" w:w="4939"/>
            <w:tcMar>
              <w:top w:w="80" w:type="dxa"/>
              <w:start w:w="100" w:type="dxa"/>
              <w:bottom w:w="80" w:type="dxa"/>
              <w:end w:w="100" w:type="dxa"/>
            </w:tcMar>
          </w:tcPr>
          <w:p>
            <w:r>
              <w:t>Job</w:t>
            </w:r>
          </w:p>
        </w:tc>
        <w:tc>
          <w:tcPr>
            <w:tcW w:type="dxa" w:w="4939"/>
            <w:tcMar>
              <w:top w:w="80" w:type="dxa"/>
              <w:start w:w="100" w:type="dxa"/>
              <w:bottom w:w="80" w:type="dxa"/>
              <w:end w:w="100" w:type="dxa"/>
            </w:tcMar>
          </w:tcPr>
          <w:p>
            <w:r>
              <w:t>One submitted computation with lifecycle, status, priority, timing and diagnostics.</w:t>
            </w:r>
          </w:p>
        </w:tc>
      </w:tr>
      <w:tr>
        <w:tc>
          <w:tcPr>
            <w:tcW w:type="dxa" w:w="4939"/>
            <w:tcMar>
              <w:top w:w="80" w:type="dxa"/>
              <w:start w:w="100" w:type="dxa"/>
              <w:bottom w:w="80" w:type="dxa"/>
              <w:end w:w="100" w:type="dxa"/>
            </w:tcMar>
          </w:tcPr>
          <w:p>
            <w:r>
              <w:t>Stream</w:t>
            </w:r>
          </w:p>
        </w:tc>
        <w:tc>
          <w:tcPr>
            <w:tcW w:type="dxa" w:w="4939"/>
            <w:tcMar>
              <w:top w:w="80" w:type="dxa"/>
              <w:start w:w="100" w:type="dxa"/>
              <w:bottom w:w="80" w:type="dxa"/>
              <w:end w:w="100" w:type="dxa"/>
            </w:tcMar>
          </w:tcPr>
          <w:p>
            <w:r>
              <w:t>Ordered asynchronous execution queue used for realtime or streaming workloads.</w:t>
            </w:r>
          </w:p>
        </w:tc>
      </w:tr>
      <w:tr>
        <w:tc>
          <w:tcPr>
            <w:tcW w:type="dxa" w:w="4939"/>
            <w:tcMar>
              <w:top w:w="80" w:type="dxa"/>
              <w:start w:w="100" w:type="dxa"/>
              <w:bottom w:w="80" w:type="dxa"/>
              <w:end w:w="100" w:type="dxa"/>
            </w:tcMar>
          </w:tcPr>
          <w:p>
            <w:r>
              <w:t>Event</w:t>
            </w:r>
          </w:p>
        </w:tc>
        <w:tc>
          <w:tcPr>
            <w:tcW w:type="dxa" w:w="4939"/>
            <w:tcMar>
              <w:top w:w="80" w:type="dxa"/>
              <w:start w:w="100" w:type="dxa"/>
              <w:bottom w:w="80" w:type="dxa"/>
              <w:end w:w="100" w:type="dxa"/>
            </w:tcMar>
          </w:tcPr>
          <w:p>
            <w:r>
              <w:t>Synchronization primitive for polling/waiting/signaling execution dependencies.</w:t>
            </w:r>
          </w:p>
        </w:tc>
      </w:tr>
      <w:tr>
        <w:tc>
          <w:tcPr>
            <w:tcW w:type="dxa" w:w="4939"/>
            <w:tcMar>
              <w:top w:w="80" w:type="dxa"/>
              <w:start w:w="100" w:type="dxa"/>
              <w:bottom w:w="80" w:type="dxa"/>
              <w:end w:w="100" w:type="dxa"/>
            </w:tcMar>
          </w:tcPr>
          <w:p>
            <w:r>
              <w:t>Graph</w:t>
            </w:r>
          </w:p>
        </w:tc>
        <w:tc>
          <w:tcPr>
            <w:tcW w:type="dxa" w:w="4939"/>
            <w:tcMar>
              <w:top w:w="80" w:type="dxa"/>
              <w:start w:w="100" w:type="dxa"/>
              <w:bottom w:w="80" w:type="dxa"/>
              <w:end w:w="100" w:type="dxa"/>
            </w:tcMar>
          </w:tcPr>
          <w:p>
            <w:r>
              <w:t>Directed acyclic graph of model nodes connected by typed buffer/tensor edges.</w:t>
            </w:r>
          </w:p>
        </w:tc>
      </w:tr>
      <w:tr>
        <w:tc>
          <w:tcPr>
            <w:tcW w:type="dxa" w:w="4939"/>
            <w:tcMar>
              <w:top w:w="80" w:type="dxa"/>
              <w:start w:w="100" w:type="dxa"/>
              <w:bottom w:w="80" w:type="dxa"/>
              <w:end w:w="100" w:type="dxa"/>
            </w:tcMar>
          </w:tcPr>
          <w:p>
            <w:r>
              <w:t>Device</w:t>
            </w:r>
          </w:p>
        </w:tc>
        <w:tc>
          <w:tcPr>
            <w:tcW w:type="dxa" w:w="4939"/>
            <w:tcMar>
              <w:top w:w="80" w:type="dxa"/>
              <w:start w:w="100" w:type="dxa"/>
              <w:bottom w:w="80" w:type="dxa"/>
              <w:end w:w="100" w:type="dxa"/>
            </w:tcMar>
          </w:tcPr>
          <w:p>
            <w:r>
              <w:t>Logical compute resource such as CPU, GPU, NPU, DSP, FPGA or remote accelerator.</w:t>
            </w:r>
          </w:p>
        </w:tc>
      </w:tr>
    </w:tbl>
    <w:p>
      <w:pPr>
        <w:pStyle w:val="Heading2"/>
        <w:keepNext/>
      </w:pPr>
      <w:r>
        <w:t>14. Context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cog_status_t cog_context_create(</w:t>
              <w:br/>
              <w:t xml:space="preserve">    const cog_context_options_t *options,</w:t>
              <w:br/>
              <w:t xml:space="preserve">    cog_context_t *out_context);</w:t>
              <w:br/>
              <w:br/>
              <w:t>cog_status_t cog_context_destroy(cog_context_t context);</w:t>
            </w:r>
          </w:p>
        </w:tc>
      </w:tr>
    </w:tbl>
    <w:p>
      <w:pPr>
        <w:pStyle w:val="Heading2"/>
        <w:keepNext/>
      </w:pPr>
      <w:r>
        <w:t>15. Model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typedef struct {</w:t>
              <w:br/>
              <w:t xml:space="preserve">    const char *uri;</w:t>
              <w:br/>
              <w:t xml:space="preserve">    const char *backend;   /* optional */</w:t>
              <w:br/>
              <w:t xml:space="preserve">    uint32_t flags;</w:t>
              <w:br/>
              <w:t>} cog_model_spec_t;</w:t>
              <w:br/>
              <w:br/>
              <w:t>cog_status_t cog_model_open(</w:t>
              <w:br/>
              <w:t xml:space="preserve">    cog_context_t ctx,</w:t>
              <w:br/>
              <w:t xml:space="preserve">    const cog_model_spec_t *spec,</w:t>
              <w:br/>
              <w:t xml:space="preserve">    cog_model_t *out_model);</w:t>
              <w:br/>
              <w:br/>
              <w:t>cog_status_t cog_model_close(cog_model_t model);</w:t>
              <w:br/>
              <w:t>cog_status_t cog_model_info(cog_model_t model, cog_model_info_t *info);</w:t>
            </w:r>
          </w:p>
        </w:tc>
      </w:tr>
    </w:tbl>
    <w:p>
      <w:r>
        <w:t>The MVP MUST support explicit model selection by artifact/package identifier. Capability-based model resolution is deferred until execution, lifecycle and scheduling are stable.</w:t>
      </w:r>
    </w:p>
    <w:p>
      <w:pPr>
        <w:pStyle w:val="Heading2"/>
        <w:keepNext/>
      </w:pPr>
      <w:r>
        <w:t>16. Capability-based discovery (post-MVP)</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cog_status_t cog_model_resolve(</w:t>
              <w:br/>
              <w:t xml:space="preserve">    cog_context_t ctx,</w:t>
              <w:br/>
              <w:t xml:space="preserve">    const cog_capability_query_t *query,</w:t>
              <w:br/>
              <w:t xml:space="preserve">    cog_model_t *out_model);</w:t>
            </w:r>
          </w:p>
        </w:tc>
      </w:tr>
    </w:tbl>
    <w:p>
      <w:r>
        <w:t>A capability query may later express semantic capability plus constraints such as local-only execution, maximum latency, device class, power mode or accuracy profile. Capability names SHOULD be namespaced strings rather than a permanently closed enum.</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vision.object_detection</w:t>
              <w:br/>
              <w:t>vision.segmentation</w:t>
              <w:br/>
              <w:t>audio.speech_recognition</w:t>
              <w:br/>
              <w:t>audio.noise_suppression</w:t>
              <w:br/>
              <w:t>language.embedding</w:t>
              <w:br/>
              <w:t>language.generation</w:t>
              <w:br/>
              <w:t>image.super_resolution</w:t>
              <w:br/>
              <w:t>timeseries.forecasting</w:t>
              <w:br/>
              <w:t>control.policy</w:t>
              <w:br/>
              <w:t>org.vendor.special_capability</w:t>
            </w:r>
          </w:p>
        </w:tc>
      </w:tr>
    </w:tbl>
    <w:p>
      <w:pPr>
        <w:pStyle w:val="Heading2"/>
        <w:keepNext/>
      </w:pPr>
      <w:r>
        <w:t>17. Buffer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typedef struct {</w:t>
              <w:br/>
              <w:t xml:space="preserve">    uint64_t size;</w:t>
              <w:br/>
              <w:t xml:space="preserve">    cog_memory_type_t memory_type;</w:t>
              <w:br/>
              <w:t xml:space="preserve">    uint32_t alignment;</w:t>
              <w:br/>
              <w:t xml:space="preserve">    uint32_t flags;</w:t>
              <w:br/>
              <w:t>} cog_buffer_desc_t;</w:t>
              <w:br/>
              <w:br/>
              <w:t>cog_status_t cog_buffer_alloc(</w:t>
              <w:br/>
              <w:t xml:space="preserve">    cog_context_t ctx,</w:t>
              <w:br/>
              <w:t xml:space="preserve">    const cog_buffer_desc_t *desc,</w:t>
              <w:br/>
              <w:t xml:space="preserve">    cog_buffer_t *out_buffer);</w:t>
              <w:br/>
              <w:br/>
              <w:t>cog_status_t cog_buffer_map(cog_buffer_t buffer, void **ptr);</w:t>
              <w:br/>
              <w:t>cog_status_t cog_buffer_unmap(cog_buffer_t buffer);</w:t>
              <w:br/>
              <w:t>cog_status_t cog_buffer_free(cog_buffer_t buffer);</w:t>
            </w:r>
          </w:p>
        </w:tc>
      </w:tr>
    </w:tbl>
    <w:p>
      <w:pPr>
        <w:pStyle w:val="ListBullet"/>
      </w:pPr>
      <w:r>
        <w:t>Initial memory classes: HOST and SHARED.</w:t>
      </w:r>
    </w:p>
    <w:p>
      <w:pPr>
        <w:pStyle w:val="ListBullet"/>
      </w:pPr>
      <w:r>
        <w:t>Planned classes: HOST_PINNED, DEVICE, UNIFIED and REMOTE.</w:t>
      </w:r>
    </w:p>
    <w:p>
      <w:pPr>
        <w:pStyle w:val="ListBullet"/>
      </w:pPr>
      <w:r>
        <w:t>Buffer ownership and permissions MUST be enforced by ecosd.</w:t>
      </w:r>
    </w:p>
    <w:p>
      <w:pPr>
        <w:pStyle w:val="ListBullet"/>
      </w:pPr>
      <w:r>
        <w:t>Multiple tensor views MAY reference one underlying buffer.</w:t>
      </w:r>
    </w:p>
    <w:p>
      <w:pPr>
        <w:pStyle w:val="Heading2"/>
        <w:keepNext/>
      </w:pPr>
      <w:r>
        <w:t>18. Tensor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typedef struct {</w:t>
              <w:br/>
              <w:t xml:space="preserve">    cog_dtype_t dtype;</w:t>
              <w:br/>
              <w:t xml:space="preserve">    uint32_t rank;</w:t>
              <w:br/>
              <w:t xml:space="preserve">    uint64_t shape[COG_MAX_RANK];</w:t>
              <w:br/>
              <w:t xml:space="preserve">    int64_t strides[COG_MAX_RANK];</w:t>
              <w:br/>
              <w:t xml:space="preserve">    uint64_t byte_offset;</w:t>
              <w:br/>
              <w:t>} cog_tensor_desc_t;</w:t>
              <w:br/>
              <w:br/>
              <w:t>cog_status_t cog_tensor_create(</w:t>
              <w:br/>
              <w:t xml:space="preserve">    cog_buffer_t buffer,</w:t>
              <w:br/>
              <w:t xml:space="preserve">    const cog_tensor_desc_t *desc,</w:t>
              <w:br/>
              <w:t xml:space="preserve">    cog_tensor_t *out_tensor);</w:t>
            </w:r>
          </w:p>
        </w:tc>
      </w:tr>
    </w:tbl>
    <w:p>
      <w:r>
        <w:t>Initial dtypes: BOOL, UINT8, INT8, INT16, INT32, INT64, FLOAT16, FLOAT32, FLOAT64 and BFLOAT16. Future extension may include FP8, INT4 and opaque/quantized types without breaking the base ABI.</w:t>
      </w:r>
    </w:p>
    <w:p>
      <w:pPr>
        <w:pStyle w:val="Heading2"/>
        <w:keepNext/>
      </w:pPr>
      <w:r>
        <w:t>19. Job and inference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cog_status_t cog_infer(</w:t>
              <w:br/>
              <w:t xml:space="preserve">    cog_model_t model,</w:t>
              <w:br/>
              <w:t xml:space="preserve">    const cog_tensor_t *inputs,</w:t>
              <w:br/>
              <w:t xml:space="preserve">    size_t input_count,</w:t>
              <w:br/>
              <w:t xml:space="preserve">    cog_tensor_t *outputs,</w:t>
              <w:br/>
              <w:t xml:space="preserve">    size_t output_count);</w:t>
              <w:br/>
              <w:br/>
              <w:t>cog_status_t cog_infer_submit(</w:t>
              <w:br/>
              <w:t xml:space="preserve">    cog_model_t model,</w:t>
              <w:br/>
              <w:t xml:space="preserve">    cog_stream_t stream,</w:t>
              <w:br/>
              <w:t xml:space="preserve">    const cog_tensor_t *inputs,</w:t>
              <w:br/>
              <w:t xml:space="preserve">    size_t input_count,</w:t>
              <w:br/>
              <w:t xml:space="preserve">    cog_tensor_t *outputs,</w:t>
              <w:br/>
              <w:t xml:space="preserve">    size_t output_count,</w:t>
              <w:br/>
              <w:t xml:space="preserve">    const cog_infer_options_t *options,</w:t>
              <w:br/>
              <w:t xml:space="preserve">    cog_job_t *out_job);</w:t>
              <w:br/>
              <w:br/>
              <w:t>cog_status_t cog_job_wait(cog_job_t job, uint64_t timeout_ns);</w:t>
              <w:br/>
              <w:t>cog_status_t cog_job_status(cog_job_t job, cog_job_status_t *status);</w:t>
              <w:br/>
              <w:t>cog_status_t cog_job_cancel(cog_job_t job);</w:t>
            </w:r>
          </w:p>
        </w:tc>
      </w:tr>
    </w:tbl>
    <w:p>
      <w:r>
        <w:t>Asynchronous submission is the canonical architecture. Synchronous inference is only a convenience wrapper around submit + wait.</w:t>
      </w:r>
    </w:p>
    <w:p>
      <w:pPr>
        <w:pStyle w:val="Heading2"/>
        <w:keepNext/>
      </w:pPr>
      <w:r>
        <w:t>20. Job lifecycle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QUEUED</w:t>
              <w:br/>
              <w:t xml:space="preserve">  |</w:t>
              <w:br/>
              <w:t xml:space="preserve">  +--&gt; WAITING_INPUT</w:t>
              <w:br/>
              <w:t xml:space="preserve">  |</w:t>
              <w:br/>
              <w:t xml:space="preserve">  +--&gt; RUNNING</w:t>
              <w:br/>
              <w:t xml:space="preserve">         |---&gt; COMPLETED</w:t>
              <w:br/>
              <w:t xml:space="preserve">         |---&gt; FAILED</w:t>
              <w:br/>
              <w:t xml:space="preserve">         +---&gt; CANCELLED</w:t>
            </w:r>
          </w:p>
        </w:tc>
      </w:tr>
    </w:tbl>
    <w:p>
      <w:pPr>
        <w:pStyle w:val="Heading2"/>
        <w:keepNext/>
      </w:pPr>
      <w:r>
        <w:t>21. Streaming</w:t>
      </w:r>
    </w:p>
    <w:p>
      <w:r>
        <w:t>Streams MUST be data-type agnostic. They are not “LLM token streams.” They provide ordered asynchronous execution and are suitable for video, audio, sensor processing, generation and autoregressive workloads.</w:t>
      </w:r>
    </w:p>
    <w:p>
      <w:pPr>
        <w:pStyle w:val="Heading2"/>
        <w:keepNext/>
      </w:pPr>
      <w:r>
        <w:t>22. Typed AI pipes and graphs</w:t>
      </w:r>
    </w:p>
    <w:p>
      <w:r>
        <w:t>The conceptual successor to a Unix byte pipe is a typed dataflow edge connecting model execution nodes. The runtime is not required to understand the semantic meaning of every tensor. It must understand ownership, type metadata, dependencies, placement and lifetime.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camera frame</w:t>
              <w:br/>
              <w:t xml:space="preserve">    |</w:t>
              <w:br/>
              <w:t xml:space="preserve">    v</w:t>
              <w:br/>
              <w:t>object detector</w:t>
              <w:br/>
              <w:t xml:space="preserve">    | Tensor&lt;detections&gt;</w:t>
              <w:br/>
              <w:t xml:space="preserve">    v</w:t>
              <w:br/>
              <w:t>tracker</w:t>
              <w:br/>
              <w:t xml:space="preserve">    | Tensor&lt;tracks&gt;</w:t>
              <w:br/>
              <w:t xml:space="preserve">    v</w:t>
              <w:br/>
              <w:t>motion predictor</w:t>
              <w:br/>
              <w:t xml:space="preserve">    |</w:t>
              <w:br/>
              <w:t xml:space="preserve">    v</w:t>
              <w:br/>
              <w:t>application</w:t>
            </w:r>
          </w:p>
        </w:tc>
      </w:tr>
    </w:tbl>
    <w:p>
      <w:pPr>
        <w:pStyle w:val="Heading2"/>
        <w:keepNext/>
      </w:pPr>
      <w:r>
        <w:t>23. Graph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cog_graph_create(...);</w:t>
              <w:br/>
              <w:t>cog_graph_add_model(...);</w:t>
              <w:br/>
              <w:t>cog_graph_connect(...);</w:t>
              <w:br/>
              <w:t>cog_graph_compile(...);</w:t>
              <w:br/>
              <w:t>cog_graph_run(...);</w:t>
              <w:br/>
              <w:t>cog_graph_destroy(...);</w:t>
            </w:r>
          </w:p>
        </w:tc>
      </w:tr>
    </w:tbl>
    <w:p>
      <w:r>
        <w:t>v0.1 MAY implement only a minimal two-node static graph. Graph compilation should initially validate connectivity and memory compatibility; sophisticated fusion and placement optimization are post-MVP.</w:t>
      </w:r>
    </w:p>
    <w:p>
      <w:pPr>
        <w:pStyle w:val="Heading2"/>
        <w:keepNext/>
      </w:pPr>
      <w:r>
        <w:t>24. Device API</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cog_device_enumerate(...);</w:t>
              <w:br/>
              <w:t>cog_device_info(...);</w:t>
            </w:r>
          </w:p>
        </w:tc>
      </w:tr>
    </w:tbl>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Device types</w:t>
            </w:r>
          </w:p>
        </w:tc>
        <w:tc>
          <w:tcPr>
            <w:tcW w:type="dxa" w:w="4939"/>
            <w:tcMar>
              <w:top w:w="80" w:type="dxa"/>
              <w:start w:w="100" w:type="dxa"/>
              <w:bottom w:w="80" w:type="dxa"/>
              <w:end w:w="100" w:type="dxa"/>
            </w:tcMar>
          </w:tcPr>
          <w:p>
            <w:r>
              <w:t>CPU, GPU, NPU, DSP, FPGA, REMOTE, OTHER.</w:t>
            </w:r>
          </w:p>
        </w:tc>
      </w:tr>
      <w:tr>
        <w:tc>
          <w:tcPr>
            <w:tcW w:type="dxa" w:w="4939"/>
            <w:tcMar>
              <w:top w:w="80" w:type="dxa"/>
              <w:start w:w="100" w:type="dxa"/>
              <w:bottom w:w="80" w:type="dxa"/>
              <w:end w:w="100" w:type="dxa"/>
            </w:tcMar>
          </w:tcPr>
          <w:p>
            <w:r>
              <w:t>Metadata</w:t>
            </w:r>
          </w:p>
        </w:tc>
        <w:tc>
          <w:tcPr>
            <w:tcW w:type="dxa" w:w="4939"/>
            <w:tcMar>
              <w:top w:w="80" w:type="dxa"/>
              <w:start w:w="100" w:type="dxa"/>
              <w:bottom w:w="80" w:type="dxa"/>
              <w:end w:w="100" w:type="dxa"/>
            </w:tcMar>
          </w:tcPr>
          <w:p>
            <w:r>
              <w:t>device ID, vendor, name, total/available memory, supported dtypes, backend, compute capability and optional power characteristics.</w:t>
            </w:r>
          </w:p>
        </w:tc>
      </w:tr>
      <w:tr>
        <w:tc>
          <w:tcPr>
            <w:tcW w:type="dxa" w:w="4939"/>
            <w:tcMar>
              <w:top w:w="80" w:type="dxa"/>
              <w:start w:w="100" w:type="dxa"/>
              <w:bottom w:w="80" w:type="dxa"/>
              <w:end w:w="100" w:type="dxa"/>
            </w:tcMar>
          </w:tcPr>
          <w:p>
            <w:r>
              <w:t>Application behavior</w:t>
            </w:r>
          </w:p>
        </w:tc>
        <w:tc>
          <w:tcPr>
            <w:tcW w:type="dxa" w:w="4939"/>
            <w:tcMar>
              <w:top w:w="80" w:type="dxa"/>
              <w:start w:w="100" w:type="dxa"/>
              <w:bottom w:w="80" w:type="dxa"/>
              <w:end w:w="100" w:type="dxa"/>
            </w:tcMar>
          </w:tcPr>
          <w:p>
            <w:r>
              <w:t>Applications MAY request a specific device but SHOULD normally express constraints and allow ecOS to place work.</w:t>
            </w:r>
          </w:p>
        </w:tc>
      </w:tr>
    </w:tbl>
    <w:p>
      <w:pPr>
        <w:pStyle w:val="Heading2"/>
        <w:keepNext/>
      </w:pPr>
      <w:r>
        <w:t>25. Stable error model</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COG_OK</w:t>
              <w:br/>
              <w:t>COG_EINVAL</w:t>
              <w:br/>
              <w:t>COG_ENOMEM</w:t>
              <w:br/>
              <w:t>COG_ENODEV</w:t>
              <w:br/>
              <w:t>COG_ENOMODEL</w:t>
              <w:br/>
              <w:t>COG_EBUSY</w:t>
              <w:br/>
              <w:t>COG_ETIMEOUT</w:t>
              <w:br/>
              <w:t>COG_ECANCELLED</w:t>
              <w:br/>
              <w:t>COG_EPERM</w:t>
              <w:br/>
              <w:t>COG_EBACKEND</w:t>
              <w:br/>
              <w:t>COG_EIO</w:t>
              <w:br/>
              <w:t>COG_EUNSUPPORTED</w:t>
            </w:r>
          </w:p>
        </w:tc>
      </w:tr>
    </w:tbl>
    <w:p>
      <w:r>
        <w:t>Backend-specific errors MAY be included in diagnostics, but applications MUST NOT need to parse vendor log strings for ordinary control flow.</w:t>
      </w:r>
    </w:p>
    <w:p>
      <w:pPr>
        <w:pStyle w:val="Heading1"/>
        <w:keepNext/>
      </w:pPr>
      <w:r>
        <w:t>Part IV — Runtime, scheduling, memory and backends</w:t>
      </w:r>
    </w:p>
    <w:p>
      <w:pPr>
        <w:pStyle w:val="Heading2"/>
        <w:keepNext/>
      </w:pPr>
      <w:r>
        <w:t>26. ecosd responsibilities</w:t>
      </w:r>
    </w:p>
    <w:p>
      <w:pPr>
        <w:pStyle w:val="ListNumber"/>
      </w:pPr>
      <w:r>
        <w:t>Maintain authenticated local client connections.</w:t>
      </w:r>
    </w:p>
    <w:p>
      <w:pPr>
        <w:pStyle w:val="ListNumber"/>
      </w:pPr>
      <w:r>
        <w:t>Own the authoritative handle/object registry.</w:t>
      </w:r>
    </w:p>
    <w:p>
      <w:pPr>
        <w:pStyle w:val="ListNumber"/>
      </w:pPr>
      <w:r>
        <w:t>Load, reference-count and unload models.</w:t>
      </w:r>
    </w:p>
    <w:p>
      <w:pPr>
        <w:pStyle w:val="ListNumber"/>
      </w:pPr>
      <w:r>
        <w:t>Allocate and track system-visible AI buffers.</w:t>
      </w:r>
    </w:p>
    <w:p>
      <w:pPr>
        <w:pStyle w:val="ListNumber"/>
      </w:pPr>
      <w:r>
        <w:t>Create, queue, dispatch and cancel jobs.</w:t>
      </w:r>
    </w:p>
    <w:p>
      <w:pPr>
        <w:pStyle w:val="ListNumber"/>
      </w:pPr>
      <w:r>
        <w:t>Maintain device inventory and availability.</w:t>
      </w:r>
    </w:p>
    <w:p>
      <w:pPr>
        <w:pStyle w:val="ListNumber"/>
      </w:pPr>
      <w:r>
        <w:t>Run the scheduler across independent clients.</w:t>
      </w:r>
    </w:p>
    <w:p>
      <w:pPr>
        <w:pStyle w:val="ListNumber"/>
      </w:pPr>
      <w:r>
        <w:t>Dispatch work through backend plugins.</w:t>
      </w:r>
    </w:p>
    <w:p>
      <w:pPr>
        <w:pStyle w:val="ListNumber"/>
      </w:pPr>
      <w:r>
        <w:t>Collect timing, transfer and failure telemetry.</w:t>
      </w:r>
    </w:p>
    <w:p>
      <w:pPr>
        <w:pStyle w:val="ListNumber"/>
      </w:pPr>
      <w:r>
        <w:t>Reclaim resources when clients disconnect or crash.</w:t>
      </w:r>
    </w:p>
    <w:p>
      <w:pPr>
        <w:pStyle w:val="Heading2"/>
        <w:keepNext/>
      </w:pPr>
      <w:r>
        <w:t>27. Backend ABI</w:t>
      </w:r>
    </w:p>
    <w:p>
      <w:r>
        <w:t>CogPOSIX MUST NOT define its public ABI in terms of ONNX Runtime, TensorRT, OpenVINO or any other vendor/runtime API. A separate internal backend ABI performs adaptation.</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struct cog_backend_vtable {</w:t>
              <w:br/>
              <w:t xml:space="preserve">    backend_init;</w:t>
              <w:br/>
              <w:t xml:space="preserve">    backend_shutdown;</w:t>
              <w:br/>
              <w:t xml:space="preserve">    enumerate_devices;</w:t>
              <w:br/>
              <w:t xml:space="preserve">    model_load;</w:t>
              <w:br/>
              <w:t xml:space="preserve">    model_unload;</w:t>
              <w:br/>
              <w:t xml:space="preserve">    infer_submit;</w:t>
              <w:br/>
              <w:t xml:space="preserve">    infer_cancel;</w:t>
              <w:br/>
              <w:t xml:space="preserve">    buffer_import;</w:t>
              <w:br/>
              <w:t xml:space="preserve">    buffer_export;</w:t>
              <w:br/>
              <w:t>};</w:t>
            </w:r>
          </w:p>
        </w:tc>
      </w:tr>
    </w:tbl>
    <w:p>
      <w:pPr>
        <w:pStyle w:val="ListBullet"/>
      </w:pPr>
      <w:r>
        <w:t>First deterministic backend: mock backend.</w:t>
      </w:r>
    </w:p>
    <w:p>
      <w:pPr>
        <w:pStyle w:val="ListBullet"/>
      </w:pPr>
      <w:r>
        <w:t>First real backend: ONNX Runtime CPU execution.</w:t>
      </w:r>
    </w:p>
    <w:p>
      <w:pPr>
        <w:pStyle w:val="ListBullet"/>
      </w:pPr>
      <w:r>
        <w:t>Future adapters: OpenVINO, TensorRT, llama.cpp, ExecuTorch, CoreML, vendor NPU runtimes and remote execution services.</w:t>
      </w:r>
    </w:p>
    <w:p>
      <w:pPr>
        <w:pStyle w:val="ListBullet"/>
      </w:pPr>
      <w:r>
        <w:t>Backend plugins SHOULD eventually run in isolated worker processes rather than in the main daemon address space.</w:t>
      </w:r>
    </w:p>
    <w:p>
      <w:pPr>
        <w:pStyle w:val="Heading2"/>
        <w:keepNext/>
      </w:pPr>
      <w:r>
        <w:t>28. Why ONNX Runtime is the first real backend</w:t>
      </w:r>
    </w:p>
    <w:p>
      <w:r>
        <w:t>ONNX Runtime already provides a mature abstraction over heterogeneous execution providers. ecOS should reuse that capability as a backend bridge rather than recreating operator kernels or vendor integration. CogPOSIX remains independent of ONNX at the public boundary.</w:t>
      </w:r>
    </w:p>
    <w:p>
      <w:pPr>
        <w:pStyle w:val="Heading2"/>
        <w:keepNext/>
      </w:pPr>
      <w:r>
        <w:t>29. Model lifecycle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REGISTERED</w:t>
              <w:br/>
              <w:t xml:space="preserve">   |</w:t>
              <w:br/>
              <w:t>LOADED_HOST</w:t>
              <w:br/>
              <w:t xml:space="preserve">   |</w:t>
              <w:br/>
              <w:t>LOADED_DEVICE</w:t>
              <w:br/>
              <w:t xml:space="preserve">   |</w:t>
              <w:br/>
              <w:t>ACTIVE &lt;--&gt; IDLE</w:t>
              <w:br/>
              <w:t xml:space="preserve">   |</w:t>
              <w:br/>
              <w:t>EVICTED_DEVICE</w:t>
              <w:br/>
              <w:t xml:space="preserve">   |</w:t>
              <w:br/>
              <w:t>UNLOADED</w:t>
            </w:r>
          </w:p>
        </w:tc>
      </w:tr>
    </w:tbl>
    <w:p>
      <w:r>
        <w:t>The v0.1 implementation may require explicit open/close and backend-managed residency. Automatic eviction, prefetch and shared immutable weight residency are later optimizations.</w:t>
      </w:r>
    </w:p>
    <w:p>
      <w:pPr>
        <w:pStyle w:val="Heading2"/>
        <w:keepNext/>
      </w:pPr>
      <w:r>
        <w:t>30. Scheduler</w:t>
      </w:r>
    </w:p>
    <w:p>
      <w:r>
        <w:t>Scheduling is a primary differentiator between ecOS and an inference library. Every submitted job SHOULD carry scheduling metadata even if the first scheduler uses only a subset.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Priority</w:t>
            </w:r>
          </w:p>
        </w:tc>
        <w:tc>
          <w:tcPr>
            <w:tcW w:type="dxa" w:w="4939"/>
            <w:tcMar>
              <w:top w:w="80" w:type="dxa"/>
              <w:start w:w="100" w:type="dxa"/>
              <w:bottom w:w="80" w:type="dxa"/>
              <w:end w:w="100" w:type="dxa"/>
            </w:tcMar>
          </w:tcPr>
          <w:p>
            <w:r>
              <w:t>REALTIME, INTERACTIVE, NORMAL, BACKGROUND.</w:t>
            </w:r>
          </w:p>
        </w:tc>
      </w:tr>
      <w:tr>
        <w:tc>
          <w:tcPr>
            <w:tcW w:type="dxa" w:w="4939"/>
            <w:tcMar>
              <w:top w:w="80" w:type="dxa"/>
              <w:start w:w="100" w:type="dxa"/>
              <w:bottom w:w="80" w:type="dxa"/>
              <w:end w:w="100" w:type="dxa"/>
            </w:tcMar>
          </w:tcPr>
          <w:p>
            <w:r>
              <w:t>Potential constraints</w:t>
            </w:r>
          </w:p>
        </w:tc>
        <w:tc>
          <w:tcPr>
            <w:tcW w:type="dxa" w:w="4939"/>
            <w:tcMar>
              <w:top w:w="80" w:type="dxa"/>
              <w:start w:w="100" w:type="dxa"/>
              <w:bottom w:w="80" w:type="dxa"/>
              <w:end w:w="100" w:type="dxa"/>
            </w:tcMar>
          </w:tcPr>
          <w:p>
            <w:r>
              <w:t>deadline, latency target, throughput target, memory limit, power preference, device preference, privacy mode, preemptibility.</w:t>
            </w:r>
          </w:p>
        </w:tc>
      </w:tr>
      <w:tr>
        <w:tc>
          <w:tcPr>
            <w:tcW w:type="dxa" w:w="4939"/>
            <w:tcMar>
              <w:top w:w="80" w:type="dxa"/>
              <w:start w:w="100" w:type="dxa"/>
              <w:bottom w:w="80" w:type="dxa"/>
              <w:end w:w="100" w:type="dxa"/>
            </w:tcMar>
          </w:tcPr>
          <w:p>
            <w:r>
              <w:t>v0.1 algorithm</w:t>
            </w:r>
          </w:p>
        </w:tc>
        <w:tc>
          <w:tcPr>
            <w:tcW w:type="dxa" w:w="4939"/>
            <w:tcMar>
              <w:top w:w="80" w:type="dxa"/>
              <w:start w:w="100" w:type="dxa"/>
              <w:bottom w:w="80" w:type="dxa"/>
              <w:end w:w="100" w:type="dxa"/>
            </w:tcMar>
          </w:tcPr>
          <w:p>
            <w:r>
              <w:t>FIFO within priority queues.</w:t>
            </w:r>
          </w:p>
        </w:tc>
      </w:tr>
      <w:tr>
        <w:tc>
          <w:tcPr>
            <w:tcW w:type="dxa" w:w="4939"/>
            <w:tcMar>
              <w:top w:w="80" w:type="dxa"/>
              <w:start w:w="100" w:type="dxa"/>
              <w:bottom w:w="80" w:type="dxa"/>
              <w:end w:w="100" w:type="dxa"/>
            </w:tcMar>
          </w:tcPr>
          <w:p>
            <w:r>
              <w:t>Later algorithms</w:t>
            </w:r>
          </w:p>
        </w:tc>
        <w:tc>
          <w:tcPr>
            <w:tcW w:type="dxa" w:w="4939"/>
            <w:tcMar>
              <w:top w:w="80" w:type="dxa"/>
              <w:start w:w="100" w:type="dxa"/>
              <w:bottom w:w="80" w:type="dxa"/>
              <w:end w:w="100" w:type="dxa"/>
            </w:tcMar>
          </w:tcPr>
          <w:p>
            <w:r>
              <w:t>deadline-aware, device-aware, power/thermal-aware, memory-aware and cost-aware scheduling.</w:t>
            </w:r>
          </w:p>
        </w:tc>
      </w:tr>
    </w:tbl>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100 BACKGROUND jobs queued</w:t>
              <w:br/>
              <w:t xml:space="preserve">             +</w:t>
              <w:br/>
              <w:t>1 REALTIME job arrives</w:t>
              <w:br/>
              <w:t xml:space="preserve">             |</w:t>
              <w:br/>
              <w:t xml:space="preserve">             v</w:t>
              <w:br/>
              <w:t>REALTIME job is selected before queued background work</w:t>
            </w:r>
          </w:p>
        </w:tc>
      </w:tr>
    </w:tbl>
    <w:p>
      <w:pPr>
        <w:pStyle w:val="Heading2"/>
        <w:keepNext/>
      </w:pPr>
      <w:r>
        <w:t>31. Memory management</w:t>
      </w:r>
    </w:p>
    <w:p>
      <w:r>
        <w:t>Buffer management is at least as important as model dispatch. A successful system must minimize transfers, track ownership and support explicit sharing.</w:t>
      </w:r>
    </w:p>
    <w:p>
      <w:pPr>
        <w:pStyle w:val="ListBullet"/>
      </w:pPr>
      <w:r>
        <w:t>Every buffer has an owner and explicit lifetime.</w:t>
      </w:r>
    </w:p>
    <w:p>
      <w:pPr>
        <w:pStyle w:val="ListBullet"/>
      </w:pPr>
      <w:r>
        <w:t>Tensor bounds MUST be validated against the backing buffer.</w:t>
      </w:r>
    </w:p>
    <w:p>
      <w:pPr>
        <w:pStyle w:val="ListBullet"/>
      </w:pPr>
      <w:r>
        <w:t>Clients MUST NOT access another client’s private buffers.</w:t>
      </w:r>
    </w:p>
    <w:p>
      <w:pPr>
        <w:pStyle w:val="ListBullet"/>
      </w:pPr>
      <w:r>
        <w:t>v0.1 shared host memory uses Linux memfd_create + mmap.</w:t>
      </w:r>
    </w:p>
    <w:p>
      <w:pPr>
        <w:pStyle w:val="ListBullet"/>
      </w:pPr>
      <w:r>
        <w:t>Unix socket SCM_RIGHTS is used to transfer shared-memory file descriptors.</w:t>
      </w:r>
    </w:p>
    <w:p>
      <w:pPr>
        <w:pStyle w:val="ListBullet"/>
      </w:pPr>
      <w:r>
        <w:t>Future zero-copy paths include DMA-BUF and accelerator-native IPC mechanisms.</w:t>
      </w:r>
    </w:p>
    <w:p>
      <w:pPr>
        <w:pStyle w:val="Heading2"/>
        <w:keepNext/>
      </w:pPr>
      <w:r>
        <w:t>32. Model package and manifest</w:t>
      </w:r>
    </w:p>
    <w:p>
      <w:r>
        <w:t>CogPOSIX should not invent a new neural graph format. It defines a manifest that wraps existing model artifacts and supplies system-level metadata.</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cogposix: 1</w:t>
              <w:br/>
              <w:t>model:</w:t>
              <w:br/>
              <w:t xml:space="preserve">  id: org.example.detector</w:t>
              <w:br/>
              <w:t xml:space="preserve">  version: 1.0.0</w:t>
              <w:br/>
              <w:t>artifact:</w:t>
              <w:br/>
              <w:t xml:space="preserve">  format: onnx</w:t>
              <w:br/>
              <w:t xml:space="preserve">  path: model.onnx</w:t>
              <w:br/>
              <w:t xml:space="preserve">  sha256: "..."</w:t>
              <w:br/>
              <w:t>capabilities:</w:t>
              <w:br/>
              <w:t xml:space="preserve">  - vision.object_detection</w:t>
              <w:br/>
              <w:t>inputs:</w:t>
              <w:br/>
              <w:t xml:space="preserve">  - name: image</w:t>
              <w:br/>
              <w:t xml:space="preserve">    dtype: float32</w:t>
              <w:br/>
              <w:t xml:space="preserve">    shape: [1, 3, 640, 640]</w:t>
              <w:br/>
              <w:t>outputs:</w:t>
              <w:br/>
              <w:t xml:space="preserve">  - name: detections</w:t>
              <w:br/>
              <w:t xml:space="preserve">    dtype: float32</w:t>
              <w:br/>
              <w:t xml:space="preserve">    shape: [1, null, 6]</w:t>
              <w:br/>
              <w:t>resources:</w:t>
              <w:br/>
              <w:t xml:space="preserve">  ram: 512MiB</w:t>
              <w:br/>
              <w:t xml:space="preserve">  vram: 1024MiB</w:t>
              <w:br/>
              <w:t>execution:</w:t>
              <w:br/>
              <w:t xml:space="preserve">  preferred_devices: [GPU, CPU]</w:t>
            </w:r>
          </w:p>
        </w:tc>
      </w:tr>
    </w:tbl>
    <w:p>
      <w:pPr>
        <w:pStyle w:val="Heading2"/>
        <w:keepNext/>
      </w:pPr>
      <w:r>
        <w:t>33. Model registry</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/var/lib/ecos/models/</w:t>
              <w:br/>
              <w:br/>
              <w:t>cog model install ./model-package/</w:t>
              <w:br/>
              <w:t>cog model list</w:t>
              <w:br/>
              <w:t>cog model info org.example.detector</w:t>
              <w:br/>
              <w:t>cog model remove org.example.detector</w:t>
            </w:r>
          </w:p>
        </w:tc>
      </w:tr>
    </w:tbl>
    <w:p>
      <w:r>
        <w:t>The initial registry is local-only. Remote registries, signatures, SBOMs and distribution policy are later features.</w:t>
      </w:r>
    </w:p>
    <w:p>
      <w:pPr>
        <w:pStyle w:val="Heading2"/>
        <w:keepNext/>
      </w:pPr>
      <w:r>
        <w:t>34. Intermediate representation policy</w:t>
      </w:r>
    </w:p>
    <w:p>
      <w:r>
        <w:t>Do not create a custom compiler IR in the MVP. MLIR should be evaluated for future graph compilation because it already provides extensible dialect infrastructure and tensor/memory abstractions. Any MLIR usage MUST remain internal and MUST NOT become part of the stable public ABI.</w:t>
      </w:r>
    </w:p>
    <w:p>
      <w:pPr>
        <w:pStyle w:val="Heading1"/>
        <w:keepNext/>
      </w:pPr>
      <w:r>
        <w:t>Part V — Security, isolation and observability</w:t>
      </w:r>
    </w:p>
    <w:p>
      <w:pPr>
        <w:pStyle w:val="Heading2"/>
        <w:keepNext/>
      </w:pPr>
      <w:r>
        <w:t>35. Security model</w:t>
      </w:r>
    </w:p>
    <w:p>
      <w:r>
        <w:t>Models, model metadata and vendor runtimes MUST be treated as potentially untrusted executable inputs. ecOS is a privileged coordinator and must be defensive by default.</w:t>
      </w:r>
    </w:p>
    <w:p>
      <w:pPr>
        <w:pStyle w:val="ListBullet"/>
      </w:pPr>
      <w:r>
        <w:t>Validate model manifests, hashes and tensor metadata.</w:t>
      </w:r>
    </w:p>
    <w:p>
      <w:pPr>
        <w:pStyle w:val="ListBullet"/>
      </w:pPr>
      <w:r>
        <w:t>Enforce client ownership for every handle.</w:t>
      </w:r>
    </w:p>
    <w:p>
      <w:pPr>
        <w:pStyle w:val="ListBullet"/>
      </w:pPr>
      <w:r>
        <w:t>Enforce buffer bounds and permissions.</w:t>
      </w:r>
    </w:p>
    <w:p>
      <w:pPr>
        <w:pStyle w:val="ListBullet"/>
      </w:pPr>
      <w:r>
        <w:t>Apply per-client memory and job quotas.</w:t>
      </w:r>
    </w:p>
    <w:p>
      <w:pPr>
        <w:pStyle w:val="ListBullet"/>
      </w:pPr>
      <w:r>
        <w:t>Apply inference timeouts where feasible.</w:t>
      </w:r>
    </w:p>
    <w:p>
      <w:pPr>
        <w:pStyle w:val="ListBullet"/>
      </w:pPr>
      <w:r>
        <w:t>Reclaim leaked resources on disconnect.</w:t>
      </w:r>
    </w:p>
    <w:p>
      <w:pPr>
        <w:pStyle w:val="ListBullet"/>
      </w:pPr>
      <w:r>
        <w:t>Do not expose arbitrary host paths through model manifests.</w:t>
      </w:r>
    </w:p>
    <w:p>
      <w:pPr>
        <w:pStyle w:val="ListBullet"/>
      </w:pPr>
      <w:r>
        <w:t>Plan for isolated backend worker processes so a vendor runtime crash cannot terminate ecosd.</w:t>
      </w:r>
    </w:p>
    <w:p>
      <w:pPr>
        <w:pStyle w:val="Heading2"/>
        <w:keepNext/>
      </w:pPr>
      <w:r>
        <w:t>36. Permission model</w:t>
      </w:r>
    </w:p>
    <w:p>
      <w:r>
        <w:t>Initial implementation: Unix user identity plus simple daemon ACLs. A future capability system may control permissions such as model.load, model.execute, model.register, device.gpu, device.npu, buffer.share and remote.execute. Avoid creating an elaborate policy language before the core runtime works.</w:t>
      </w:r>
    </w:p>
    <w:p>
      <w:pPr>
        <w:pStyle w:val="Heading2"/>
        <w:keepNext/>
      </w:pPr>
      <w:r>
        <w:t>37. Backend isolation</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ecosd</w:t>
              <w:br/>
              <w:t xml:space="preserve">  |</w:t>
              <w:br/>
              <w:t xml:space="preserve">  +-- worker: ONNX</w:t>
              <w:br/>
              <w:t xml:space="preserve">  +-- worker: vendor NPU</w:t>
              <w:br/>
              <w:t xml:space="preserve">  +-- worker: generative runtime</w:t>
              <w:br/>
              <w:br/>
              <w:t>worker crash =&gt; affected jobs return COG_EBACKEND</w:t>
              <w:br/>
              <w:t xml:space="preserve">                ecosd remains alive</w:t>
            </w:r>
          </w:p>
        </w:tc>
      </w:tr>
    </w:tbl>
    <w:p>
      <w:pPr>
        <w:pStyle w:val="Heading2"/>
        <w:keepNext/>
      </w:pPr>
      <w:r>
        <w:t>38. Observability</w:t>
      </w:r>
    </w:p>
    <w:p>
      <w:pPr>
        <w:pStyle w:val="ListBullet"/>
      </w:pPr>
      <w:r>
        <w:t>Per job: queue time, execution time, backend, device, memory, transfer bytes, status and error.</w:t>
      </w:r>
    </w:p>
    <w:p>
      <w:pPr>
        <w:pStyle w:val="ListBullet"/>
      </w:pPr>
      <w:r>
        <w:t>Aggregate: jobs/sec, P50/P95/P99 latency, device utilization, model load time, cache hits and evictions.</w:t>
      </w:r>
    </w:p>
    <w:p>
      <w:pPr>
        <w:pStyle w:val="ListBullet"/>
      </w:pPr>
      <w:r>
        <w:t>Structured logs: timestamp, client, job, model, backend, device, event, duration and status.</w:t>
      </w:r>
    </w:p>
    <w:p>
      <w:pPr>
        <w:pStyle w:val="ListBullet"/>
      </w:pPr>
      <w:r>
        <w:t>Tracing must be considered early because heterogeneous execution is difficult to debug after the fact.</w:t>
      </w:r>
    </w:p>
    <w:p>
      <w:pPr>
        <w:pStyle w:val="Heading1"/>
        <w:keepNext/>
      </w:pPr>
      <w:r>
        <w:t>Part VI — Implementation plan and repository contract</w:t>
      </w:r>
    </w:p>
    <w:p>
      <w:pPr>
        <w:pStyle w:val="Heading2"/>
        <w:keepNext/>
      </w:pPr>
      <w:r>
        <w:t>39. Implementation languages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ecosd</w:t>
            </w:r>
          </w:p>
        </w:tc>
        <w:tc>
          <w:tcPr>
            <w:tcW w:type="dxa" w:w="4939"/>
            <w:tcMar>
              <w:top w:w="80" w:type="dxa"/>
              <w:start w:w="100" w:type="dxa"/>
              <w:bottom w:w="80" w:type="dxa"/>
              <w:end w:w="100" w:type="dxa"/>
            </w:tcMar>
          </w:tcPr>
          <w:p>
            <w:r>
              <w:t>Rust.</w:t>
            </w:r>
          </w:p>
        </w:tc>
      </w:tr>
      <w:tr>
        <w:tc>
          <w:tcPr>
            <w:tcW w:type="dxa" w:w="4939"/>
            <w:tcMar>
              <w:top w:w="80" w:type="dxa"/>
              <w:start w:w="100" w:type="dxa"/>
              <w:bottom w:w="80" w:type="dxa"/>
              <w:end w:w="100" w:type="dxa"/>
            </w:tcMar>
          </w:tcPr>
          <w:p>
            <w:r>
              <w:t>Public ABI</w:t>
            </w:r>
          </w:p>
        </w:tc>
        <w:tc>
          <w:tcPr>
            <w:tcW w:type="dxa" w:w="4939"/>
            <w:tcMar>
              <w:top w:w="80" w:type="dxa"/>
              <w:start w:w="100" w:type="dxa"/>
              <w:bottom w:w="80" w:type="dxa"/>
              <w:end w:w="100" w:type="dxa"/>
            </w:tcMar>
          </w:tcPr>
          <w:p>
            <w:r>
              <w:t>C headers + shared library.</w:t>
            </w:r>
          </w:p>
        </w:tc>
      </w:tr>
      <w:tr>
        <w:tc>
          <w:tcPr>
            <w:tcW w:type="dxa" w:w="4939"/>
            <w:tcMar>
              <w:top w:w="80" w:type="dxa"/>
              <w:start w:w="100" w:type="dxa"/>
              <w:bottom w:w="80" w:type="dxa"/>
              <w:end w:w="100" w:type="dxa"/>
            </w:tcMar>
          </w:tcPr>
          <w:p>
            <w:r>
              <w:t>CLI</w:t>
            </w:r>
          </w:p>
        </w:tc>
        <w:tc>
          <w:tcPr>
            <w:tcW w:type="dxa" w:w="4939"/>
            <w:tcMar>
              <w:top w:w="80" w:type="dxa"/>
              <w:start w:w="100" w:type="dxa"/>
              <w:bottom w:w="80" w:type="dxa"/>
              <w:end w:w="100" w:type="dxa"/>
            </w:tcMar>
          </w:tcPr>
          <w:p>
            <w:r>
              <w:t>Rust.</w:t>
            </w:r>
          </w:p>
        </w:tc>
      </w:tr>
      <w:tr>
        <w:tc>
          <w:tcPr>
            <w:tcW w:type="dxa" w:w="4939"/>
            <w:tcMar>
              <w:top w:w="80" w:type="dxa"/>
              <w:start w:w="100" w:type="dxa"/>
              <w:bottom w:w="80" w:type="dxa"/>
              <w:end w:w="100" w:type="dxa"/>
            </w:tcMar>
          </w:tcPr>
          <w:p>
            <w:r>
              <w:t>Backend adapters</w:t>
            </w:r>
          </w:p>
        </w:tc>
        <w:tc>
          <w:tcPr>
            <w:tcW w:type="dxa" w:w="4939"/>
            <w:tcMar>
              <w:top w:w="80" w:type="dxa"/>
              <w:start w:w="100" w:type="dxa"/>
              <w:bottom w:w="80" w:type="dxa"/>
              <w:end w:w="100" w:type="dxa"/>
            </w:tcMar>
          </w:tcPr>
          <w:p>
            <w:r>
              <w:t>Rust with C/C++ FFI where needed.</w:t>
            </w:r>
          </w:p>
        </w:tc>
      </w:tr>
      <w:tr>
        <w:tc>
          <w:tcPr>
            <w:tcW w:type="dxa" w:w="4939"/>
            <w:tcMar>
              <w:top w:w="80" w:type="dxa"/>
              <w:start w:w="100" w:type="dxa"/>
              <w:bottom w:w="80" w:type="dxa"/>
              <w:end w:w="100" w:type="dxa"/>
            </w:tcMar>
          </w:tcPr>
          <w:p>
            <w:r>
              <w:t>Python bindings</w:t>
            </w:r>
          </w:p>
        </w:tc>
        <w:tc>
          <w:tcPr>
            <w:tcW w:type="dxa" w:w="4939"/>
            <w:tcMar>
              <w:top w:w="80" w:type="dxa"/>
              <w:start w:w="100" w:type="dxa"/>
              <w:bottom w:w="80" w:type="dxa"/>
              <w:end w:w="100" w:type="dxa"/>
            </w:tcMar>
          </w:tcPr>
          <w:p>
            <w:r>
              <w:t>PyO3 or thin binding over the C ABI.</w:t>
            </w:r>
          </w:p>
        </w:tc>
      </w:tr>
      <w:tr>
        <w:tc>
          <w:tcPr>
            <w:tcW w:type="dxa" w:w="4939"/>
            <w:tcMar>
              <w:top w:w="80" w:type="dxa"/>
              <w:start w:w="100" w:type="dxa"/>
              <w:bottom w:w="80" w:type="dxa"/>
              <w:end w:w="100" w:type="dxa"/>
            </w:tcMar>
          </w:tcPr>
          <w:p>
            <w:r>
              <w:t>Tests</w:t>
            </w:r>
          </w:p>
        </w:tc>
        <w:tc>
          <w:tcPr>
            <w:tcW w:type="dxa" w:w="4939"/>
            <w:tcMar>
              <w:top w:w="80" w:type="dxa"/>
              <w:start w:w="100" w:type="dxa"/>
              <w:bottom w:w="80" w:type="dxa"/>
              <w:end w:w="100" w:type="dxa"/>
            </w:tcMar>
          </w:tcPr>
          <w:p>
            <w:r>
              <w:t>Rust/C/Python depending on layer; conformance behavior is language-neutral.</w:t>
            </w:r>
          </w:p>
        </w:tc>
      </w:tr>
    </w:tbl>
    <w:p>
      <w:pPr>
        <w:pStyle w:val="Heading2"/>
        <w:keepNext/>
      </w:pPr>
      <w:r>
        <w:t>40. Initial repository layout</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ecos/</w:t>
              <w:br/>
              <w:t>├── README.md</w:t>
              <w:br/>
              <w:t>├── LICENSE</w:t>
              <w:br/>
              <w:t>├── SPEC.md</w:t>
              <w:br/>
              <w:t>├── Cargo.toml</w:t>
              <w:br/>
              <w:t>├── include/</w:t>
              <w:br/>
              <w:t>│   └── cogposix/</w:t>
              <w:br/>
              <w:t>│       ├── cog.h</w:t>
              <w:br/>
              <w:t>│       ├── context.h</w:t>
              <w:br/>
              <w:t>│       ├── model.h</w:t>
              <w:br/>
              <w:t>│       ├── buffer.h</w:t>
              <w:br/>
              <w:t>│       ├── tensor.h</w:t>
              <w:br/>
              <w:t>│       ├── job.h</w:t>
              <w:br/>
              <w:t>│       ├── graph.h</w:t>
              <w:br/>
              <w:t>│       └── errors.h</w:t>
              <w:br/>
              <w:t>├── crates/</w:t>
              <w:br/>
              <w:t>│   ├── cog-core/</w:t>
              <w:br/>
              <w:t>│   ├── cog-protocol/</w:t>
              <w:br/>
              <w:t>│   ├── ecos-daemon/</w:t>
              <w:br/>
              <w:t>│   ├── cog-client/</w:t>
              <w:br/>
              <w:t>│   ├── cog-backend-api/</w:t>
              <w:br/>
              <w:t>│   ├── cog-backend-mock/</w:t>
              <w:br/>
              <w:t>│   ├── cog-backend-onnx/</w:t>
              <w:br/>
              <w:t>│   └── cog-cli/</w:t>
              <w:br/>
              <w:t>├── bindings/</w:t>
              <w:br/>
              <w:t>│   ├── python/</w:t>
              <w:br/>
              <w:t>│   └── rust/</w:t>
              <w:br/>
              <w:t>├── examples/</w:t>
              <w:br/>
              <w:t>│   ├── classify/</w:t>
              <w:br/>
              <w:t>│   ├── async-infer/</w:t>
              <w:br/>
              <w:t>│   └── shared-buffer/</w:t>
              <w:br/>
              <w:t>├── tests/</w:t>
              <w:br/>
              <w:t>│   ├── integration/</w:t>
              <w:br/>
              <w:t>│   ├── stress/</w:t>
              <w:br/>
              <w:t>│   └── conformance/</w:t>
              <w:br/>
              <w:t>└── docs/</w:t>
              <w:br/>
              <w:t xml:space="preserve">    ├── architecture.md</w:t>
              <w:br/>
              <w:t xml:space="preserve">    ├── protocol.md</w:t>
              <w:br/>
              <w:t xml:space="preserve">    ├── backend-api.md</w:t>
              <w:br/>
              <w:t xml:space="preserve">    ├── memory.md</w:t>
              <w:br/>
              <w:t xml:space="preserve">    └── security.md</w:t>
            </w:r>
          </w:p>
        </w:tc>
      </w:tr>
    </w:tbl>
    <w:p>
      <w:pPr>
        <w:pStyle w:val="Heading2"/>
        <w:keepNext/>
      </w:pPr>
      <w:r>
        <w:t>41. IPC protocol</w:t>
      </w:r>
    </w:p>
    <w:p>
      <w:r>
        <w:t>The initial IPC protocol MUST be local, versioned and compact. Unix domain sockets are the initial transport. Core tensor payloads MUST NOT be serialized through the control channel when shared memory is available.</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Envelope:</w:t>
              <w:br/>
              <w:t xml:space="preserve">  protocol_major</w:t>
              <w:br/>
              <w:t xml:space="preserve">  protocol_minor</w:t>
              <w:br/>
              <w:t xml:space="preserve">  request_id</w:t>
              <w:br/>
              <w:t xml:space="preserve">  opcode</w:t>
              <w:br/>
              <w:t xml:space="preserve">  flags</w:t>
              <w:br/>
              <w:t xml:space="preserve">  payload_length</w:t>
              <w:br/>
              <w:br/>
              <w:t>Initial opcodes:</w:t>
              <w:br/>
              <w:t xml:space="preserve">  HELLO</w:t>
              <w:br/>
              <w:t xml:space="preserve">  DEVICE_LIST</w:t>
              <w:br/>
              <w:t xml:space="preserve">  MODEL_OPEN</w:t>
              <w:br/>
              <w:t xml:space="preserve">  MODEL_CLOSE</w:t>
              <w:br/>
              <w:t xml:space="preserve">  BUFFER_ALLOC</w:t>
              <w:br/>
              <w:t xml:space="preserve">  BUFFER_IMPORT</w:t>
              <w:br/>
              <w:t xml:space="preserve">  BUFFER_FREE</w:t>
              <w:br/>
              <w:t xml:space="preserve">  TENSOR_CREATE</w:t>
              <w:br/>
              <w:t xml:space="preserve">  INFER_SUBMIT</w:t>
              <w:br/>
              <w:t xml:space="preserve">  JOB_STATUS</w:t>
              <w:br/>
              <w:t xml:space="preserve">  JOB_WAIT</w:t>
              <w:br/>
              <w:t xml:space="preserve">  JOB_CANCEL</w:t>
            </w:r>
          </w:p>
        </w:tc>
      </w:tr>
    </w:tbl>
    <w:p>
      <w:r>
        <w:t>Use Protobuf or a compact explicitly versioned binary schema for v0.1. Do not use JSON as the core IPC protocol.</w:t>
      </w:r>
    </w:p>
    <w:p>
      <w:pPr>
        <w:pStyle w:val="Heading2"/>
        <w:keepNext/>
      </w:pPr>
      <w:r>
        <w:t>42. MVP question</w:t>
      </w:r>
    </w:p>
    <w:p>
      <w:r>
        <w:rPr>
          <w:b/>
        </w:rPr>
        <w:t>Can two independent Linux applications use a stable OS-like API to execute models through one central runtime while sharing scheduling and memory abstractions?</w:t>
      </w:r>
    </w:p>
    <w:p>
      <w:r>
        <w:t>If the prototype proves this, the architectural hypothesis is validated. The MVP does not need to solve all accelerator or graph-compiler problems.</w:t>
      </w:r>
    </w:p>
    <w:p>
      <w:pPr>
        <w:pStyle w:val="Heading2"/>
        <w:keepNext/>
      </w:pPr>
      <w:r>
        <w:t>43. Exact MVP scope</w:t>
      </w:r>
    </w:p>
    <w:p>
      <w:pPr>
        <w:pStyle w:val="ListNumber"/>
      </w:pPr>
      <w:r>
        <w:t>Linux x86-64.</w:t>
      </w:r>
    </w:p>
    <w:p>
      <w:pPr>
        <w:pStyle w:val="ListNumber"/>
      </w:pPr>
      <w:r>
        <w:t>User-space ecosd daemon.</w:t>
      </w:r>
    </w:p>
    <w:p>
      <w:pPr>
        <w:pStyle w:val="ListNumber"/>
      </w:pPr>
      <w:r>
        <w:t>Unix domain socket control plane.</w:t>
      </w:r>
    </w:p>
    <w:p>
      <w:pPr>
        <w:pStyle w:val="ListNumber"/>
      </w:pPr>
      <w:r>
        <w:t>Stable C ABI draft.</w:t>
      </w:r>
    </w:p>
    <w:p>
      <w:pPr>
        <w:pStyle w:val="ListNumber"/>
      </w:pPr>
      <w:r>
        <w:t>Rust daemon implementation.</w:t>
      </w:r>
    </w:p>
    <w:p>
      <w:pPr>
        <w:pStyle w:val="ListNumber"/>
      </w:pPr>
      <w:r>
        <w:t>CPU execution.</w:t>
      </w:r>
    </w:p>
    <w:p>
      <w:pPr>
        <w:pStyle w:val="ListNumber"/>
      </w:pPr>
      <w:r>
        <w:t>Deterministic mock backend.</w:t>
      </w:r>
    </w:p>
    <w:p>
      <w:pPr>
        <w:pStyle w:val="ListNumber"/>
      </w:pPr>
      <w:r>
        <w:t>ONNX Runtime backend.</w:t>
      </w:r>
    </w:p>
    <w:p>
      <w:pPr>
        <w:pStyle w:val="ListNumber"/>
      </w:pPr>
      <w:r>
        <w:t>Explicit model loading by package/artifact.</w:t>
      </w:r>
    </w:p>
    <w:p>
      <w:pPr>
        <w:pStyle w:val="ListNumber"/>
      </w:pPr>
      <w:r>
        <w:t>Host shared memory through memfd/mmap.</w:t>
      </w:r>
    </w:p>
    <w:p>
      <w:pPr>
        <w:pStyle w:val="ListNumber"/>
      </w:pPr>
      <w:r>
        <w:t>Buffer and tensor abstractions.</w:t>
      </w:r>
    </w:p>
    <w:p>
      <w:pPr>
        <w:pStyle w:val="ListNumber"/>
      </w:pPr>
      <w:r>
        <w:t>Asynchronous job submission and cancellation.</w:t>
      </w:r>
    </w:p>
    <w:p>
      <w:pPr>
        <w:pStyle w:val="ListNumber"/>
      </w:pPr>
      <w:r>
        <w:t>FIFO + priority scheduler.</w:t>
      </w:r>
    </w:p>
    <w:p>
      <w:pPr>
        <w:pStyle w:val="ListNumber"/>
      </w:pPr>
      <w:r>
        <w:t>Device enumeration.</w:t>
      </w:r>
    </w:p>
    <w:p>
      <w:pPr>
        <w:pStyle w:val="ListNumber"/>
      </w:pPr>
      <w:r>
        <w:t>Command-line client.</w:t>
      </w:r>
    </w:p>
    <w:p>
      <w:pPr>
        <w:pStyle w:val="ListNumber"/>
      </w:pPr>
      <w:r>
        <w:t>Python binding.</w:t>
      </w:r>
    </w:p>
    <w:p>
      <w:pPr>
        <w:pStyle w:val="ListNumber"/>
      </w:pPr>
      <w:r>
        <w:t>Conformance/integration tests.</w:t>
      </w:r>
    </w:p>
    <w:p>
      <w:pPr>
        <w:pStyle w:val="Heading2"/>
        <w:keepNext/>
      </w:pPr>
      <w:r>
        <w:t>44. Explicit non-goals for v0.1</w:t>
      </w:r>
    </w:p>
    <w:p>
      <w:pPr>
        <w:pStyle w:val="ListBullet"/>
      </w:pPr>
      <w:r>
        <w:t>Kernel patches or new kernel.</w:t>
      </w:r>
    </w:p>
    <w:p>
      <w:pPr>
        <w:pStyle w:val="ListBullet"/>
      </w:pPr>
      <w:r>
        <w:t>Cloud/remote execution.</w:t>
      </w:r>
    </w:p>
    <w:p>
      <w:pPr>
        <w:pStyle w:val="ListBullet"/>
      </w:pPr>
      <w:r>
        <w:t>Agent orchestration.</w:t>
      </w:r>
    </w:p>
    <w:p>
      <w:pPr>
        <w:pStyle w:val="ListBullet"/>
      </w:pPr>
      <w:r>
        <w:t>LLM-specific public APIs.</w:t>
      </w:r>
    </w:p>
    <w:p>
      <w:pPr>
        <w:pStyle w:val="ListBullet"/>
      </w:pPr>
      <w:r>
        <w:t>Training APIs.</w:t>
      </w:r>
    </w:p>
    <w:p>
      <w:pPr>
        <w:pStyle w:val="ListBullet"/>
      </w:pPr>
      <w:r>
        <w:t>Distributed inference.</w:t>
      </w:r>
    </w:p>
    <w:p>
      <w:pPr>
        <w:pStyle w:val="ListBullet"/>
      </w:pPr>
      <w:r>
        <w:t>Automatic graph optimizer/compiler.</w:t>
      </w:r>
    </w:p>
    <w:p>
      <w:pPr>
        <w:pStyle w:val="ListBullet"/>
      </w:pPr>
      <w:r>
        <w:t>Capability-based model selection.</w:t>
      </w:r>
    </w:p>
    <w:p>
      <w:pPr>
        <w:pStyle w:val="ListBullet"/>
      </w:pPr>
      <w:r>
        <w:t>Remote model registry.</w:t>
      </w:r>
    </w:p>
    <w:p>
      <w:pPr>
        <w:pStyle w:val="ListBullet"/>
      </w:pPr>
      <w:r>
        <w:t>GPU preemption.</w:t>
      </w:r>
    </w:p>
    <w:p>
      <w:pPr>
        <w:pStyle w:val="ListBullet"/>
      </w:pPr>
      <w:r>
        <w:t>MLIR compiler implementation.</w:t>
      </w:r>
    </w:p>
    <w:p>
      <w:pPr>
        <w:pStyle w:val="ListBullet"/>
      </w:pPr>
      <w:r>
        <w:t>Multi-machine scheduling.</w:t>
      </w:r>
    </w:p>
    <w:p>
      <w:pPr>
        <w:pStyle w:val="ListBullet"/>
      </w:pPr>
      <w:r>
        <w:t>AI-specific shell language.</w:t>
      </w:r>
    </w:p>
    <w:p>
      <w:pPr>
        <w:pStyle w:val="Heading2"/>
        <w:keepNext/>
      </w:pPr>
      <w:r>
        <w:t>45. Implementation phases</w:t>
      </w:r>
    </w:p>
    <w:p>
      <w:r>
        <w:rPr>
          <w:b/>
        </w:rPr>
        <w:t xml:space="preserve">Phase 0 — specification freeze: </w:t>
      </w:r>
      <w:r>
        <w:t>Produce SPEC.md, C headers, backend ABI, IPC schema and state machines. Do not begin expensive hardware integration before these are coherent.</w:t>
      </w:r>
    </w:p>
    <w:p>
      <w:r>
        <w:rPr>
          <w:b/>
        </w:rPr>
        <w:t xml:space="preserve">Phase 1 — mock runtime: </w:t>
      </w:r>
      <w:r>
        <w:t>Client -&gt; Unix socket -&gt; ecosd -&gt; deterministic mock backend. Validate concurrent clients, ownership, cancellation, errors and crash cleanup.</w:t>
      </w:r>
    </w:p>
    <w:p>
      <w:r>
        <w:rPr>
          <w:b/>
        </w:rPr>
        <w:t xml:space="preserve">Phase 2 — shared memory: </w:t>
      </w:r>
      <w:r>
        <w:t>Add memfd_create, mmap and SCM_RIGHTS. Acceptance criterion: tensor payloads do not traverse the socket as copied byte blobs.</w:t>
      </w:r>
    </w:p>
    <w:p>
      <w:r>
        <w:rPr>
          <w:b/>
        </w:rPr>
        <w:t xml:space="preserve">Phase 3 — ONNX CPU backend: </w:t>
      </w:r>
      <w:r>
        <w:t>Execute a small deterministic ONNX model and compare output against direct ONNX Runtime reference execution.</w:t>
      </w:r>
    </w:p>
    <w:p>
      <w:r>
        <w:rPr>
          <w:b/>
        </w:rPr>
        <w:t xml:space="preserve">Phase 4 — scheduler: </w:t>
      </w:r>
      <w:r>
        <w:t>Add REALTIME/INTERACTIVE/NORMAL/BACKGROUND queues and prove a realtime job overtakes queued background work.</w:t>
      </w:r>
    </w:p>
    <w:p>
      <w:r>
        <w:rPr>
          <w:b/>
        </w:rPr>
        <w:t xml:space="preserve">Phase 5 — model registry: </w:t>
      </w:r>
      <w:r>
        <w:t>Install/list/info/remove local packages and validate manifests/hashes.</w:t>
      </w:r>
    </w:p>
    <w:p>
      <w:r>
        <w:rPr>
          <w:b/>
        </w:rPr>
        <w:t xml:space="preserve">Phase 6 — graph prototype: </w:t>
      </w:r>
      <w:r>
        <w:t>Execute a static two-model pipeline where the intermediate output remains in a runtime-managed buffer.</w:t>
      </w:r>
    </w:p>
    <w:p>
      <w:r>
        <w:rPr>
          <w:b/>
        </w:rPr>
        <w:t xml:space="preserve">Phase 7 — hardware acceleration: </w:t>
      </w:r>
      <w:r>
        <w:t>Only after conformance and CPU behavior are stable, add GPU/NPU paths behind the existing backend interface.</w:t>
      </w:r>
    </w:p>
    <w:p>
      <w:pPr>
        <w:pStyle w:val="Heading2"/>
        <w:keepNext/>
      </w:pPr>
      <w:r>
        <w:t>46. Acceptance demonstrations</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Demo 1: model execution</w:t>
              <w:br/>
              <w:t>Terminal A: ecosd</w:t>
              <w:br/>
              <w:t>Terminal B: cog model install models/mnist/</w:t>
              <w:br/>
              <w:t>Terminal C: cog run org.demo.mnist --input digit.tensor</w:t>
              <w:br/>
              <w:br/>
              <w:t>Path:</w:t>
              <w:br/>
              <w:t>CLI -&gt; libcogposix -&gt; Unix socket -&gt; ecosd -&gt; scheduler -&gt; ONNX backend -&gt; CPU</w:t>
            </w:r>
          </w:p>
        </w:tc>
      </w:tr>
    </w:tbl>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Demo 2: composition</w:t>
              <w:br/>
              <w:t>image -&gt; model A -&gt; shared tensor -&gt; model B -&gt; result</w:t>
              <w:br/>
              <w:br/>
              <w:t>Requirement: intermediate tensor is runtime-managed; application does not serialize it.</w:t>
            </w:r>
          </w:p>
        </w:tc>
      </w:tr>
    </w:tbl>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Demo 3: scheduling</w:t>
              <w:br/>
              <w:t>background workload is active</w:t>
              <w:br/>
              <w:t>+ realtime job is submitted</w:t>
              <w:br/>
              <w:t>=&gt; realtime job receives priority according to policy</w:t>
            </w:r>
          </w:p>
        </w:tc>
      </w:tr>
    </w:tbl>
    <w:p>
      <w:pPr>
        <w:pStyle w:val="Heading2"/>
        <w:keepNext/>
      </w:pPr>
      <w:r>
        <w:t>47. Conformance suite</w:t>
      </w:r>
    </w:p>
    <w:p>
      <w:pPr>
        <w:pStyle w:val="ListBullet"/>
      </w:pPr>
      <w:r>
        <w:t>Invalid handles return stable errors.</w:t>
      </w:r>
    </w:p>
    <w:p>
      <w:pPr>
        <w:pStyle w:val="ListBullet"/>
      </w:pPr>
      <w:r>
        <w:t>Client A cannot access Client B private buffers.</w:t>
      </w:r>
    </w:p>
    <w:p>
      <w:pPr>
        <w:pStyle w:val="ListBullet"/>
      </w:pPr>
      <w:r>
        <w:t>Daemon cleans objects after abnormal client termination.</w:t>
      </w:r>
    </w:p>
    <w:p>
      <w:pPr>
        <w:pStyle w:val="ListBullet"/>
      </w:pPr>
      <w:r>
        <w:t>Cancelled jobs reach a terminal cancelled state or a documented non-cancellable backend result.</w:t>
      </w:r>
    </w:p>
    <w:p>
      <w:pPr>
        <w:pStyle w:val="ListBullet"/>
      </w:pPr>
      <w:r>
        <w:t>Tensor extents never exceed backing buffers.</w:t>
      </w:r>
    </w:p>
    <w:p>
      <w:pPr>
        <w:pStyle w:val="ListBullet"/>
      </w:pPr>
      <w:r>
        <w:t>Backend crashes/errors map to COG_EBACKEND without corrupting daemon state.</w:t>
      </w:r>
    </w:p>
    <w:p>
      <w:pPr>
        <w:pStyle w:val="ListBullet"/>
      </w:pPr>
      <w:r>
        <w:t>Mock and ONNX backends obey the same public lifecycle semantics.</w:t>
      </w:r>
    </w:p>
    <w:p>
      <w:pPr>
        <w:pStyle w:val="ListBullet"/>
      </w:pPr>
      <w:r>
        <w:t>ABI/version negotiation is tested explicitly.</w:t>
      </w:r>
    </w:p>
    <w:p>
      <w:pPr>
        <w:pStyle w:val="Heading2"/>
        <w:keepNext/>
      </w:pPr>
      <w:r>
        <w:t>48. Performance benchmarks</w:t>
      </w:r>
    </w:p>
    <w:p>
      <w:pPr>
        <w:pStyle w:val="ListBullet"/>
      </w:pPr>
      <w:r>
        <w:t>IPC request latency.</w:t>
      </w:r>
    </w:p>
    <w:p>
      <w:pPr>
        <w:pStyle w:val="ListBullet"/>
      </w:pPr>
      <w:r>
        <w:t>Job submission overhead.</w:t>
      </w:r>
    </w:p>
    <w:p>
      <w:pPr>
        <w:pStyle w:val="ListBullet"/>
      </w:pPr>
      <w:r>
        <w:t>Number and volume of host copies.</w:t>
      </w:r>
    </w:p>
    <w:p>
      <w:pPr>
        <w:pStyle w:val="ListBullet"/>
      </w:pPr>
      <w:r>
        <w:t>Model load latency.</w:t>
      </w:r>
    </w:p>
    <w:p>
      <w:pPr>
        <w:pStyle w:val="ListBullet"/>
      </w:pPr>
      <w:r>
        <w:t>Inference overhead relative to direct runtime use.</w:t>
      </w:r>
    </w:p>
    <w:p>
      <w:pPr>
        <w:pStyle w:val="ListBullet"/>
      </w:pPr>
      <w:r>
        <w:t>Memory overhead per client/model/job.</w:t>
      </w:r>
    </w:p>
    <w:p>
      <w:pPr>
        <w:pStyle w:val="ListBullet"/>
      </w:pPr>
      <w:r>
        <w:t>Scheduler overhead.</w:t>
      </w:r>
    </w:p>
    <w:p>
      <w:pPr>
        <w:pStyle w:val="ListBullet"/>
      </w:pPr>
      <w:r>
        <w:t>Shared-memory mapping overhead.</w:t>
      </w:r>
    </w:p>
    <w:p>
      <w:r>
        <w:t>The system overhead must be measured rather than assumed. For very small inference workloads, daemon and IPC overhead may dominate; this must be visible in benchmarks.</w:t>
      </w:r>
    </w:p>
    <w:p>
      <w:pPr>
        <w:pStyle w:val="Heading2"/>
        <w:keepNext/>
      </w:pPr>
      <w:r>
        <w:t>49. Implementation rules for a coding model</w:t>
      </w:r>
    </w:p>
    <w:p>
      <w:pPr>
        <w:pStyle w:val="ListNumber"/>
      </w:pPr>
      <w:r>
        <w:t>Do not redesign the architecture silently; document any necessary deviation.</w:t>
      </w:r>
    </w:p>
    <w:p>
      <w:pPr>
        <w:pStyle w:val="ListNumber"/>
      </w:pPr>
      <w:r>
        <w:t>Do not introduce agent concepts into the core.</w:t>
      </w:r>
    </w:p>
    <w:p>
      <w:pPr>
        <w:pStyle w:val="ListNumber"/>
      </w:pPr>
      <w:r>
        <w:t>Do not introduce LLM-specific semantics into generic APIs.</w:t>
      </w:r>
    </w:p>
    <w:p>
      <w:pPr>
        <w:pStyle w:val="ListNumber"/>
      </w:pPr>
      <w:r>
        <w:t>Do not implement model kernels from scratch.</w:t>
      </w:r>
    </w:p>
    <w:p>
      <w:pPr>
        <w:pStyle w:val="ListNumber"/>
      </w:pPr>
      <w:r>
        <w:t>Do not patch the Linux kernel for MVP.</w:t>
      </w:r>
    </w:p>
    <w:p>
      <w:pPr>
        <w:pStyle w:val="ListNumber"/>
      </w:pPr>
      <w:r>
        <w:t>Do not create a custom compiler IR for MVP.</w:t>
      </w:r>
    </w:p>
    <w:p>
      <w:pPr>
        <w:pStyle w:val="ListNumber"/>
      </w:pPr>
      <w:r>
        <w:t>Keep all public handles opaque.</w:t>
      </w:r>
    </w:p>
    <w:p>
      <w:pPr>
        <w:pStyle w:val="ListNumber"/>
      </w:pPr>
      <w:r>
        <w:t>Keep the C ABI small and versioned.</w:t>
      </w:r>
    </w:p>
    <w:p>
      <w:pPr>
        <w:pStyle w:val="ListNumber"/>
      </w:pPr>
      <w:r>
        <w:t>Separate control plane from data plane.</w:t>
      </w:r>
    </w:p>
    <w:p>
      <w:pPr>
        <w:pStyle w:val="ListNumber"/>
      </w:pPr>
      <w:r>
        <w:t>Test every lifecycle state and ownership boundary.</w:t>
      </w:r>
    </w:p>
    <w:p>
      <w:pPr>
        <w:pStyle w:val="ListNumber"/>
      </w:pPr>
      <w:r>
        <w:t>Build the deterministic mock backend before the ONNX backend.</w:t>
      </w:r>
    </w:p>
    <w:p>
      <w:pPr>
        <w:pStyle w:val="ListNumber"/>
      </w:pPr>
      <w:r>
        <w:t>All IPC messages are explicitly versioned.</w:t>
      </w:r>
    </w:p>
    <w:p>
      <w:pPr>
        <w:pStyle w:val="ListNumber"/>
      </w:pPr>
      <w:r>
        <w:t>Treat model files and backend runtimes as untrusted.</w:t>
      </w:r>
    </w:p>
    <w:p>
      <w:pPr>
        <w:pStyle w:val="ListNumber"/>
      </w:pPr>
      <w:r>
        <w:t>Every daemon allocation must have an owner and deterministic cleanup path.</w:t>
      </w:r>
    </w:p>
    <w:p>
      <w:pPr>
        <w:pStyle w:val="ListNumber"/>
      </w:pPr>
      <w:r>
        <w:t>Any performance optimization must be justified by benchmark evidence.</w:t>
      </w:r>
    </w:p>
    <w:p>
      <w:pPr>
        <w:pStyle w:val="Heading1"/>
        <w:keepNext/>
      </w:pPr>
      <w:r>
        <w:t>Part VII — Reference use cases</w:t>
      </w:r>
    </w:p>
    <w:p>
      <w:pPr>
        <w:pStyle w:val="Heading2"/>
        <w:keepNext/>
      </w:pPr>
      <w:r>
        <w:t>50. Multi-application desktop AI</w:t>
      </w:r>
    </w:p>
    <w:p>
      <w:r>
        <w:t>Video conferencing performs noise suppression, a photo editor performs segmentation, an IDE computes embeddings and a browser translates content. ecOS sees all workloads and can coordinate device memory, scheduling and model residency globally.</w:t>
      </w:r>
    </w:p>
    <w:p>
      <w:pPr>
        <w:pStyle w:val="Heading2"/>
        <w:keepNext/>
      </w:pPr>
      <w:r>
        <w:t>51. Realtime computer vision</w:t>
      </w:r>
    </w:p>
    <w:p>
      <w:r>
        <w:t>Camera -&gt; object detection -&gt; tracking -&gt; pose/depth/prediction. The graph can pass tensor buffers without repeatedly serializing large frames through application protocols.</w:t>
      </w:r>
    </w:p>
    <w:p>
      <w:pPr>
        <w:pStyle w:val="Heading2"/>
        <w:keepNext/>
      </w:pPr>
      <w:r>
        <w:t>52. Audio processing</w:t>
      </w:r>
    </w:p>
    <w:p>
      <w:r>
        <w:t>Microphone -&gt; denoiser -&gt; speaker separation -&gt; speech recognition -&gt; translation -&gt; speech synthesis. No LLM is required; the runtime simply manages typed model computation.</w:t>
      </w:r>
    </w:p>
    <w:p>
      <w:pPr>
        <w:pStyle w:val="Heading2"/>
        <w:keepNext/>
      </w:pPr>
      <w:r>
        <w:t>53. Robotics and embedded control</w:t>
      </w:r>
    </w:p>
    <w:p>
      <w:r>
        <w:t>Camera and IMU inputs feed perception/sensor-fusion/policy models with hard latency constraints and local-only execution. This validates the AI-OS concept outside language models.</w:t>
      </w:r>
    </w:p>
    <w:p>
      <w:pPr>
        <w:pStyle w:val="Heading2"/>
        <w:keepNext/>
      </w:pPr>
      <w:r>
        <w:t>54. Generative media</w:t>
      </w:r>
    </w:p>
    <w:p>
      <w:r>
        <w:t>Text/image encoders, diffusion/generative models and decoders run as background work while interactive/realtime workloads receive higher priority.</w:t>
      </w:r>
    </w:p>
    <w:p>
      <w:pPr>
        <w:pStyle w:val="Heading2"/>
        <w:keepNext/>
      </w:pPr>
      <w:r>
        <w:t>55. Scientific AI</w:t>
      </w:r>
    </w:p>
    <w:p>
      <w:r>
        <w:t>Simulation output -&gt; surrogate model -&gt; forecast -&gt; uncertainty estimator. Exact model versioning and deterministic execution become important.</w:t>
      </w:r>
    </w:p>
    <w:p>
      <w:pPr>
        <w:pStyle w:val="Heading2"/>
        <w:keepNext/>
      </w:pPr>
      <w:r>
        <w:t>56. Language models</w:t>
      </w:r>
    </w:p>
    <w:p>
      <w:r>
        <w:t>An LLM is simply another model class. Token/KV-cache/continuous-batching extensions may exist later but MUST remain optional specialized extensions to the generic execution substrate.</w:t>
      </w:r>
    </w:p>
    <w:p>
      <w:pPr>
        <w:pStyle w:val="Heading2"/>
        <w:keepNext/>
      </w:pPr>
      <w:r>
        <w:t>57. Agent systems</w:t>
      </w:r>
    </w:p>
    <w:p>
      <w:r>
        <w:t>An agent runtime may resolve models, schedule perception/reasoning/generation and use external tools. It is built above CogPOSIX and proves why the OS foundation should not itself be agent-centric.</w:t>
      </w:r>
    </w:p>
    <w:p>
      <w:pPr>
        <w:pStyle w:val="Heading1"/>
        <w:keepNext/>
      </w:pPr>
      <w:r>
        <w:t>Part VIII — Future development roadmap</w:t>
      </w:r>
    </w:p>
    <w:p>
      <w:pPr>
        <w:pStyle w:val="Heading2"/>
        <w:keepNext/>
      </w:pPr>
      <w:r>
        <w:t>58. Shared model residency</w:t>
      </w:r>
    </w:p>
    <w:p>
      <w:r>
        <w:t>Multiple applications using the same immutable model weights should be able to share residency while retaining isolated execution state.</w:t>
      </w:r>
    </w:p>
    <w:p>
      <w:pPr>
        <w:pStyle w:val="Heading2"/>
        <w:keepNext/>
      </w:pPr>
      <w:r>
        <w:t>59. Automatic model eviction and prefetch</w:t>
      </w:r>
    </w:p>
    <w:p>
      <w:r>
        <w:t>The runtime may evict low-priority idle models under memory pressure and prefetch models according to workload history or graph requirements.</w:t>
      </w:r>
    </w:p>
    <w:p>
      <w:pPr>
        <w:pStyle w:val="Heading2"/>
        <w:keepNext/>
      </w:pPr>
      <w:r>
        <w:t>60. Continuous/dynamic batching</w:t>
      </w:r>
    </w:p>
    <w:p>
      <w:r>
        <w:t>Compatible requests may be combined transparently to improve throughput, especially for generative/server workloads.</w:t>
      </w:r>
    </w:p>
    <w:p>
      <w:pPr>
        <w:pStyle w:val="Heading2"/>
        <w:keepNext/>
      </w:pPr>
      <w:r>
        <w:t>61. Advanced heterogeneous scheduling</w:t>
      </w:r>
    </w:p>
    <w:p>
      <w:r>
        <w:t>Place work according to latency, throughput, energy, thermal state, memory pressure, cost, privacy and deadlines.</w:t>
      </w:r>
    </w:p>
    <w:p>
      <w:pPr>
        <w:pStyle w:val="Heading2"/>
        <w:keepNext/>
      </w:pPr>
      <w:r>
        <w:t>62. Capability resolution</w:t>
      </w:r>
    </w:p>
    <w:p>
      <w:r>
        <w:t>Applications request an AI capability plus constraints; ecOS selects an installed model and device. Exact model selection remains available for reproducibility.</w:t>
      </w:r>
    </w:p>
    <w:p>
      <w:pPr>
        <w:pStyle w:val="Heading2"/>
        <w:keepNext/>
      </w:pPr>
      <w:r>
        <w:t>63. Accuracy-aware placement</w:t>
      </w:r>
    </w:p>
    <w:p>
      <w:r>
        <w:t>Model manifests may carry benchmark/quality profiles so the resolver can choose a model satisfying both timing and quality requirements.</w:t>
      </w:r>
    </w:p>
    <w:p>
      <w:pPr>
        <w:pStyle w:val="Heading2"/>
        <w:keepNext/>
      </w:pPr>
      <w:r>
        <w:t>64. Semantic type extensions</w:t>
      </w:r>
    </w:p>
    <w:p>
      <w:r>
        <w:t>Standard optional structures such as Detection, BoundingBox, Mask, Pose, Embedding, TokenSequence, AudioFrame or Trajectory can improve interoperability, but the core must still function with opaque tensors.</w:t>
      </w:r>
    </w:p>
    <w:p>
      <w:pPr>
        <w:pStyle w:val="Heading2"/>
        <w:keepNext/>
      </w:pPr>
      <w:r>
        <w:t>65. Graph compiler</w:t>
      </w:r>
    </w:p>
    <w:p>
      <w:r>
        <w:t>A future compiler may perform device placement, buffer reuse, fusion, batching and transfer minimization. MLIR is a candidate internal foundation, not a public API dependency.</w:t>
      </w:r>
    </w:p>
    <w:p>
      <w:pPr>
        <w:pStyle w:val="Heading2"/>
        <w:keepNext/>
      </w:pPr>
      <w:r>
        <w:t>66. Accelerator-native zero-copy</w:t>
      </w:r>
    </w:p>
    <w:p>
      <w:r>
        <w:t>DMA-BUF, CUDA IPC, ROCm IPC, Vulkan external memory and vendor-specific mechanisms should eliminate unnecessary host transfers.</w:t>
      </w:r>
    </w:p>
    <w:p>
      <w:pPr>
        <w:pStyle w:val="Heading2"/>
        <w:keepNext/>
      </w:pPr>
      <w:r>
        <w:t>67. Kernel integration research</w:t>
      </w:r>
    </w:p>
    <w:p>
      <w:r>
        <w:t>Only after user-space value is proven: accelerator scheduling hooks, AI-aware cgroups, device-memory accounting, QoS and system accounting may justify kernel integration.</w:t>
      </w:r>
    </w:p>
    <w:p>
      <w:pPr>
        <w:pStyle w:val="Heading2"/>
        <w:keepNext/>
      </w:pPr>
      <w:r>
        <w:t>68. AI cgroups</w:t>
      </w:r>
    </w:p>
    <w:p>
      <w:r>
        <w:t>Future quotas may include accelerator time, VRAM, AI host memory, permitted devices, execution priority, power budgets and remote-execution policy.</w:t>
      </w:r>
    </w:p>
    <w:p>
      <w:pPr>
        <w:pStyle w:val="Heading2"/>
        <w:keepNext/>
      </w:pPr>
      <w:r>
        <w:t>69. Remote/distributed accelerators</w:t>
      </w:r>
    </w:p>
    <w:p>
      <w:r>
        <w:t>Remote resources may appear as explicit device classes, but privacy, identity, cost and latency policies must prevent silent off-device execution.</w:t>
      </w:r>
    </w:p>
    <w:p>
      <w:pPr>
        <w:pStyle w:val="Heading2"/>
        <w:keepNext/>
      </w:pPr>
      <w:r>
        <w:t>70. Energy-aware scheduling</w:t>
      </w:r>
    </w:p>
    <w:p>
      <w:r>
        <w:t>The runtime may select smaller NPU models during constrained battery/thermal conditions while respecting application quality requirements.</w:t>
      </w:r>
    </w:p>
    <w:p>
      <w:pPr>
        <w:pStyle w:val="Heading2"/>
        <w:keepNext/>
      </w:pPr>
      <w:r>
        <w:t>71. Determinism profiles</w:t>
      </w:r>
    </w:p>
    <w:p>
      <w:r>
        <w:t>Scientific/safety-sensitive software may pin model hashes, runtime versions, numerical modes, device classes and deterministic execution guarantees.</w:t>
      </w:r>
    </w:p>
    <w:p>
      <w:pPr>
        <w:pStyle w:val="Heading2"/>
        <w:keepNext/>
      </w:pPr>
      <w:r>
        <w:t>72. Training extensions</w:t>
      </w:r>
    </w:p>
    <w:p>
      <w:r>
        <w:t>Training is outside MVP. Later work may add forward/backward/optimizer/checkpoint/distributed-gradient primitives if inference abstractions prove general enough.</w:t>
      </w:r>
    </w:p>
    <w:p>
      <w:pPr>
        <w:pStyle w:val="Heading2"/>
        <w:keepNext/>
      </w:pPr>
      <w:r>
        <w:t>73. AI pipeline shell</w:t>
      </w:r>
    </w:p>
    <w:p>
      <w:r>
        <w:t>Only after graph semantics stabilize, a shell syntax could compile expressions such as camera | cog.run vision.detector | cog.run vision.tracker into a typed runtime graph.</w:t>
      </w:r>
    </w:p>
    <w:p>
      <w:pPr>
        <w:pStyle w:val="Heading2"/>
        <w:keepNext/>
      </w:pPr>
      <w:r>
        <w:t>74. Potential future OS abstraction</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Conventional system resources        Cognitive system resources</w:t>
              <w:br/>
              <w:t>-----------------------------        --------------------------</w:t>
              <w:br/>
              <w:t>process / thread                  &lt;-&gt; model execution context / job</w:t>
              <w:br/>
              <w:t>file descriptor                  &lt;-&gt; opaque CogPOSIX handle</w:t>
              <w:br/>
              <w:t>shared memory                    &lt;-&gt; tensor buffer</w:t>
              <w:br/>
              <w:t>pipe                             &lt;-&gt; typed dataflow edge</w:t>
              <w:br/>
              <w:t>scheduler                        &lt;-&gt; heterogeneous AI scheduler</w:t>
              <w:br/>
              <w:t>device                           &lt;-&gt; CPU/GPU/NPU/accelerator</w:t>
              <w:br/>
              <w:t>priority                         &lt;-&gt; inference priority/deadline</w:t>
              <w:br/>
              <w:t>/proc accounting                 &lt;-&gt; AI workload accounting</w:t>
            </w:r>
          </w:p>
        </w:tc>
      </w:tr>
    </w:tbl>
    <w:p>
      <w:r>
        <w:t>These are conceptual correspondences, not requirements for identical POSIX semantics.</w:t>
      </w:r>
    </w:p>
    <w:p>
      <w:pPr>
        <w:pStyle w:val="Heading2"/>
        <w:keepNext/>
      </w:pPr>
      <w:r>
        <w:t>75. Architectural success criteria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b/>
              </w:rPr>
              <w:t>Field</w:t>
            </w:r>
          </w:p>
        </w:tc>
        <w:tc>
          <w:tcPr>
            <w:tcW w:type="dxa" w:w="4939"/>
            <w:shd w:fill="D9E2F3"/>
            <w:vAlign w:val="center"/>
          </w:tcPr>
          <w:p>
            <w:r>
              <w:rPr>
                <w:b/>
              </w:rPr>
              <w:t>Definition</w:t>
            </w:r>
          </w:p>
        </w:tc>
      </w:tr>
      <w:tr>
        <w:tc>
          <w:tcPr>
            <w:tcW w:type="dxa" w:w="4939"/>
            <w:tcMar>
              <w:top w:w="80" w:type="dxa"/>
              <w:start w:w="100" w:type="dxa"/>
              <w:bottom w:w="80" w:type="dxa"/>
              <w:end w:w="100" w:type="dxa"/>
            </w:tcMar>
          </w:tcPr>
          <w:p>
            <w:r>
              <w:t>Portability</w:t>
            </w:r>
          </w:p>
        </w:tc>
        <w:tc>
          <w:tcPr>
            <w:tcW w:type="dxa" w:w="4939"/>
            <w:tcMar>
              <w:top w:w="80" w:type="dxa"/>
              <w:start w:w="100" w:type="dxa"/>
              <w:bottom w:w="80" w:type="dxa"/>
              <w:end w:w="100" w:type="dxa"/>
            </w:tcMar>
          </w:tcPr>
          <w:p>
            <w:r>
              <w:t>One application can change backend without changing its fundamental API.</w:t>
            </w:r>
          </w:p>
        </w:tc>
      </w:tr>
      <w:tr>
        <w:tc>
          <w:tcPr>
            <w:tcW w:type="dxa" w:w="4939"/>
            <w:tcMar>
              <w:top w:w="80" w:type="dxa"/>
              <w:start w:w="100" w:type="dxa"/>
              <w:bottom w:w="80" w:type="dxa"/>
              <w:end w:w="100" w:type="dxa"/>
            </w:tcMar>
          </w:tcPr>
          <w:p>
            <w:r>
              <w:t>Sharing</w:t>
            </w:r>
          </w:p>
        </w:tc>
        <w:tc>
          <w:tcPr>
            <w:tcW w:type="dxa" w:w="4939"/>
            <w:tcMar>
              <w:top w:w="80" w:type="dxa"/>
              <w:start w:w="100" w:type="dxa"/>
              <w:bottom w:w="80" w:type="dxa"/>
              <w:end w:w="100" w:type="dxa"/>
            </w:tcMar>
          </w:tcPr>
          <w:p>
            <w:r>
              <w:t>Multiple applications can use one runtime concurrently.</w:t>
            </w:r>
          </w:p>
        </w:tc>
      </w:tr>
      <w:tr>
        <w:tc>
          <w:tcPr>
            <w:tcW w:type="dxa" w:w="4939"/>
            <w:tcMar>
              <w:top w:w="80" w:type="dxa"/>
              <w:start w:w="100" w:type="dxa"/>
              <w:bottom w:w="80" w:type="dxa"/>
              <w:end w:w="100" w:type="dxa"/>
            </w:tcMar>
          </w:tcPr>
          <w:p>
            <w:r>
              <w:t>Isolation</w:t>
            </w:r>
          </w:p>
        </w:tc>
        <w:tc>
          <w:tcPr>
            <w:tcW w:type="dxa" w:w="4939"/>
            <w:tcMar>
              <w:top w:w="80" w:type="dxa"/>
              <w:start w:w="100" w:type="dxa"/>
              <w:bottom w:w="80" w:type="dxa"/>
              <w:end w:w="100" w:type="dxa"/>
            </w:tcMar>
          </w:tcPr>
          <w:p>
            <w:r>
              <w:t>Private model/buffer/job resources remain process/client isolated.</w:t>
            </w:r>
          </w:p>
        </w:tc>
      </w:tr>
      <w:tr>
        <w:tc>
          <w:tcPr>
            <w:tcW w:type="dxa" w:w="4939"/>
            <w:tcMar>
              <w:top w:w="80" w:type="dxa"/>
              <w:start w:w="100" w:type="dxa"/>
              <w:bottom w:w="80" w:type="dxa"/>
              <w:end w:w="100" w:type="dxa"/>
            </w:tcMar>
          </w:tcPr>
          <w:p>
            <w:r>
              <w:t>Scheduling</w:t>
            </w:r>
          </w:p>
        </w:tc>
        <w:tc>
          <w:tcPr>
            <w:tcW w:type="dxa" w:w="4939"/>
            <w:tcMar>
              <w:top w:w="80" w:type="dxa"/>
              <w:start w:w="100" w:type="dxa"/>
              <w:bottom w:w="80" w:type="dxa"/>
              <w:end w:w="100" w:type="dxa"/>
            </w:tcMar>
          </w:tcPr>
          <w:p>
            <w:r>
              <w:t>The runtime demonstrably arbitrates workloads rather than acting as a thin call-through library.</w:t>
            </w:r>
          </w:p>
        </w:tc>
      </w:tr>
      <w:tr>
        <w:tc>
          <w:tcPr>
            <w:tcW w:type="dxa" w:w="4939"/>
            <w:tcMar>
              <w:top w:w="80" w:type="dxa"/>
              <w:start w:w="100" w:type="dxa"/>
              <w:bottom w:w="80" w:type="dxa"/>
              <w:end w:w="100" w:type="dxa"/>
            </w:tcMar>
          </w:tcPr>
          <w:p>
            <w:r>
              <w:t>Memory</w:t>
            </w:r>
          </w:p>
        </w:tc>
        <w:tc>
          <w:tcPr>
            <w:tcW w:type="dxa" w:w="4939"/>
            <w:tcMar>
              <w:top w:w="80" w:type="dxa"/>
              <w:start w:w="100" w:type="dxa"/>
              <w:bottom w:w="80" w:type="dxa"/>
              <w:end w:w="100" w:type="dxa"/>
            </w:tcMar>
          </w:tcPr>
          <w:p>
            <w:r>
              <w:t>Large tensor data need not be serialized through control messages.</w:t>
            </w:r>
          </w:p>
        </w:tc>
      </w:tr>
      <w:tr>
        <w:tc>
          <w:tcPr>
            <w:tcW w:type="dxa" w:w="4939"/>
            <w:tcMar>
              <w:top w:w="80" w:type="dxa"/>
              <w:start w:w="100" w:type="dxa"/>
              <w:bottom w:w="80" w:type="dxa"/>
              <w:end w:w="100" w:type="dxa"/>
            </w:tcMar>
          </w:tcPr>
          <w:p>
            <w:r>
              <w:t>Composability</w:t>
            </w:r>
          </w:p>
        </w:tc>
        <w:tc>
          <w:tcPr>
            <w:tcW w:type="dxa" w:w="4939"/>
            <w:tcMar>
              <w:top w:w="80" w:type="dxa"/>
              <w:start w:w="100" w:type="dxa"/>
              <w:bottom w:w="80" w:type="dxa"/>
              <w:end w:w="100" w:type="dxa"/>
            </w:tcMar>
          </w:tcPr>
          <w:p>
            <w:r>
              <w:t>Model outputs can feed later model inputs through runtime-managed dataflow.</w:t>
            </w:r>
          </w:p>
        </w:tc>
      </w:tr>
      <w:tr>
        <w:tc>
          <w:tcPr>
            <w:tcW w:type="dxa" w:w="4939"/>
            <w:tcMar>
              <w:top w:w="80" w:type="dxa"/>
              <w:start w:w="100" w:type="dxa"/>
              <w:bottom w:w="80" w:type="dxa"/>
              <w:end w:w="100" w:type="dxa"/>
            </w:tcMar>
          </w:tcPr>
          <w:p>
            <w:r>
              <w:t>Backend neutrality</w:t>
            </w:r>
          </w:p>
        </w:tc>
        <w:tc>
          <w:tcPr>
            <w:tcW w:type="dxa" w:w="4939"/>
            <w:tcMar>
              <w:top w:w="80" w:type="dxa"/>
              <w:start w:w="100" w:type="dxa"/>
              <w:bottom w:w="80" w:type="dxa"/>
              <w:end w:w="100" w:type="dxa"/>
            </w:tcMar>
          </w:tcPr>
          <w:p>
            <w:r>
              <w:t>Backend-specific implementation details do not leak into the core ABI.</w:t>
            </w:r>
          </w:p>
        </w:tc>
      </w:tr>
      <w:tr>
        <w:tc>
          <w:tcPr>
            <w:tcW w:type="dxa" w:w="4939"/>
            <w:tcMar>
              <w:top w:w="80" w:type="dxa"/>
              <w:start w:w="100" w:type="dxa"/>
              <w:bottom w:w="80" w:type="dxa"/>
              <w:end w:w="100" w:type="dxa"/>
            </w:tcMar>
          </w:tcPr>
          <w:p>
            <w:r>
              <w:t>Recoverability</w:t>
            </w:r>
          </w:p>
        </w:tc>
        <w:tc>
          <w:tcPr>
            <w:tcW w:type="dxa" w:w="4939"/>
            <w:tcMar>
              <w:top w:w="80" w:type="dxa"/>
              <w:start w:w="100" w:type="dxa"/>
              <w:bottom w:w="80" w:type="dxa"/>
              <w:end w:w="100" w:type="dxa"/>
            </w:tcMar>
          </w:tcPr>
          <w:p>
            <w:r>
              <w:t>Client/backend failures are contained and resources are reclaimed.</w:t>
            </w:r>
          </w:p>
        </w:tc>
      </w:tr>
    </w:tbl>
    <w:p>
      <w:pPr>
        <w:pStyle w:val="Heading2"/>
        <w:keepNext/>
      </w:pPr>
      <w:r>
        <w:t>76. Architectural failure indicators</w:t>
      </w:r>
    </w:p>
    <w:p>
      <w:r>
        <w:t>The project has drifted if its center of gravity becomes any of the following:</w:t>
      </w:r>
    </w:p>
    <w:p>
      <w:pPr>
        <w:pStyle w:val="ListBullet"/>
      </w:pPr>
      <w:r>
        <w:t>LLM launcher</w:t>
      </w:r>
    </w:p>
    <w:p>
      <w:pPr>
        <w:pStyle w:val="ListBullet"/>
      </w:pPr>
      <w:r>
        <w:t>agent orchestrator</w:t>
      </w:r>
    </w:p>
    <w:p>
      <w:pPr>
        <w:pStyle w:val="ListBullet"/>
      </w:pPr>
      <w:r>
        <w:t>MCP server</w:t>
      </w:r>
    </w:p>
    <w:p>
      <w:pPr>
        <w:pStyle w:val="ListBullet"/>
      </w:pPr>
      <w:r>
        <w:t>ONNX wrapper</w:t>
      </w:r>
    </w:p>
    <w:p>
      <w:pPr>
        <w:pStyle w:val="ListBullet"/>
      </w:pPr>
      <w:r>
        <w:t>model marketplace</w:t>
      </w:r>
    </w:p>
    <w:p>
      <w:pPr>
        <w:pStyle w:val="ListBullet"/>
      </w:pPr>
      <w:r>
        <w:t>Python-only framework</w:t>
      </w:r>
    </w:p>
    <w:p>
      <w:pPr>
        <w:pStyle w:val="ListBullet"/>
      </w:pPr>
      <w:r>
        <w:t>chatbot shell</w:t>
      </w:r>
    </w:p>
    <w:p>
      <w:r>
        <w:t>Any of these can be valid software built on ecOS; none of them is the ecOS/CogPOSIX core.</w:t>
      </w:r>
    </w:p>
    <w:p>
      <w:pPr>
        <w:pStyle w:val="Heading2"/>
        <w:keepNext/>
      </w:pPr>
      <w:r>
        <w:t>77. Final long-term statement</w:t>
      </w:r>
    </w:p>
    <w:p>
      <w:r>
        <w:rPr>
          <w:b/>
        </w:rPr>
        <w:t>The goal is not to put AI inside an operating system. The goal is to define what an operating system should mean when artificial intelligence is a normal form of computation.</w:t>
      </w:r>
    </w:p>
    <w:p>
      <w:pPr>
        <w:pStyle w:val="Heading1"/>
        <w:keepNext/>
      </w:pPr>
      <w:r>
        <w:t>Appendix A — Naming verification and external references</w:t>
      </w:r>
    </w:p>
    <w:p>
      <w:pPr>
        <w:pStyle w:val="Heading2"/>
        <w:keepNext/>
      </w:pPr>
      <w:r>
        <w:t>A.1 OpenPosix naming result</w:t>
      </w:r>
    </w:p>
    <w:p>
      <w:r>
        <w:t>The requested project name “OpenPosix” should be rejected. The name Open POSIX Test Suite/OpenPOSIX is already in established use for POSIX conformance testing, including current mirrors/forks and Linux Test Project references. In addition, POSIX is a registered IEEE trademark. For this working specification the replacement name is CogPOSIX, which produced no obvious direct software-project collision in the targeted web search performed on 11 September 2026. This is not a legal trademark clearance.</w:t>
      </w:r>
    </w:p>
    <w:p>
      <w:pPr>
        <w:pStyle w:val="Heading2"/>
        <w:keepNext/>
      </w:pPr>
      <w:r>
        <w:t>A.2 ecOS naming risk</w:t>
      </w:r>
    </w:p>
    <w:p>
      <w:r>
        <w:t>The requested operating-system name ecOS is retained because it is part of the project brief. However, eCos (“embedded Configurable operating system”) is an established open-source real-time operating system dating from the late 1990s and remains documented/available. The similarity is substantial enough that a formal naming/trademark review is recommended before public release.</w:t>
      </w:r>
    </w:p>
    <w:p>
      <w:pPr>
        <w:pStyle w:val="Heading2"/>
        <w:keepNext/>
      </w:pPr>
      <w:r>
        <w:t>A.3 Technical references used for architectural positioning</w:t>
      </w:r>
    </w:p>
    <w:p>
      <w:pPr>
        <w:pStyle w:val="ListBullet"/>
      </w:pPr>
      <w:r>
        <w:rPr>
          <w:b/>
        </w:rPr>
        <w:t xml:space="preserve">IEEE / The Open Group POSIX base specification: </w:t>
      </w:r>
      <w:r>
        <w:t>https://standards.ieee.org/ieee/1003.1/1389/</w:t>
      </w:r>
    </w:p>
    <w:p>
      <w:pPr>
        <w:pStyle w:val="ListBullet"/>
      </w:pPr>
      <w:r>
        <w:rPr>
          <w:b/>
        </w:rPr>
        <w:t xml:space="preserve">Open POSIX Test Suite fork — Bytecode Alliance: </w:t>
      </w:r>
      <w:r>
        <w:t>https://github.com/bytecodealliance/open-posix-test-suite</w:t>
      </w:r>
    </w:p>
    <w:p>
      <w:pPr>
        <w:pStyle w:val="ListBullet"/>
      </w:pPr>
      <w:r>
        <w:rPr>
          <w:b/>
        </w:rPr>
        <w:t xml:space="preserve">eCos project overview: </w:t>
      </w:r>
      <w:r>
        <w:t>https://ecos.sourceware.org/</w:t>
      </w:r>
    </w:p>
    <w:p>
      <w:pPr>
        <w:pStyle w:val="ListBullet"/>
      </w:pPr>
      <w:r>
        <w:rPr>
          <w:b/>
        </w:rPr>
        <w:t xml:space="preserve">ONNX Runtime Execution Providers: </w:t>
      </w:r>
      <w:r>
        <w:t>https://onnxruntime.ai/docs/execution-providers/</w:t>
      </w:r>
    </w:p>
    <w:p>
      <w:pPr>
        <w:pStyle w:val="ListBullet"/>
      </w:pPr>
      <w:r>
        <w:rPr>
          <w:b/>
        </w:rPr>
        <w:t xml:space="preserve">MLIR Tensor dialect: </w:t>
      </w:r>
      <w:r>
        <w:t>https://mlir.llvm.org/docs/Dialects/TensorOps/</w:t>
      </w:r>
    </w:p>
    <w:p>
      <w:pPr>
        <w:pStyle w:val="Heading1"/>
        <w:keepNext/>
      </w:pPr>
      <w:r>
        <w:t>Appendix B — Implementation-model handoff instructions</w:t>
      </w:r>
    </w:p>
    <w:p>
      <w:r>
        <w:t>When this document is provided to a high-capability coding model, use the following execution contract.</w:t>
      </w:r>
    </w:p>
    <w:p>
      <w:pPr>
        <w:pStyle w:val="ListNumber"/>
      </w:pPr>
      <w:r>
        <w:t>Read the full specification before generating repository code.</w:t>
      </w:r>
    </w:p>
    <w:p>
      <w:pPr>
        <w:pStyle w:val="ListNumber"/>
      </w:pPr>
      <w:r>
        <w:t>Begin by producing a concise architecture confirmation listing the components and invariants you will implement. Do not propose an alternative product unless a contradiction prevents implementation.</w:t>
      </w:r>
    </w:p>
    <w:p>
      <w:pPr>
        <w:pStyle w:val="ListNumber"/>
      </w:pPr>
      <w:r>
        <w:t>Generate Phase 0 artifacts first: SPEC.md, C header draft, IPC schema, backend ABI and lifecycle/state diagrams.</w:t>
      </w:r>
    </w:p>
    <w:p>
      <w:pPr>
        <w:pStyle w:val="ListNumber"/>
      </w:pPr>
      <w:r>
        <w:t>Implement the mock runtime and conformance harness before integrating ONNX Runtime.</w:t>
      </w:r>
    </w:p>
    <w:p>
      <w:pPr>
        <w:pStyle w:val="ListNumber"/>
      </w:pPr>
      <w:r>
        <w:t>Keep every deliverable runnable and testable at the end of each phase.</w:t>
      </w:r>
    </w:p>
    <w:p>
      <w:pPr>
        <w:pStyle w:val="ListNumber"/>
      </w:pPr>
      <w:r>
        <w:t>Do not add GPU, agent, cloud, LLM-specialized or distributed functionality unless explicitly requested after the MVP passes.</w:t>
      </w:r>
    </w:p>
    <w:p>
      <w:pPr>
        <w:pStyle w:val="ListNumber"/>
      </w:pPr>
      <w:r>
        <w:t>For every deviation from this specification, record the reason, compatibility impact and whether it is temporary.</w:t>
      </w:r>
    </w:p>
    <w:p>
      <w:pPr>
        <w:pStyle w:val="ListNumber"/>
      </w:pPr>
      <w:r>
        <w:t>Prefer boring, inspectable system code over abstractions that obscure ownership, IPC or lifecycle.</w:t>
      </w:r>
    </w:p>
    <w:p>
      <w:pPr>
        <w:pStyle w:val="ListNumber"/>
      </w:pPr>
      <w:r>
        <w:t>Measure copies, latency and memory overhead; do not claim zero-copy unless verified by the implementation.</w:t>
      </w:r>
    </w:p>
    <w:p>
      <w:pPr>
        <w:pStyle w:val="ListNumber"/>
      </w:pPr>
      <w:r>
        <w:t>Treat the names ecOS and CogPOSIX as working names until naming review is complete.</w:t>
      </w:r>
    </w:p>
    <w:p>
      <w:pPr>
        <w:pStyle w:val="Heading2"/>
        <w:keepNext/>
      </w:pPr>
      <w:r>
        <w:t>B.1 First coding prompt derived from this specification</w:t>
      </w:r>
    </w:p>
    <w:tbl>
      <w:tblPr>
        <w:tblW w:type="auto" w:w="0"/>
        <w:jc w:val="center"/>
        <w:tblLayout w:type="autofit"/>
        <w:tblLook w:firstColumn="1" w:firstRow="1" w:lastColumn="0" w:lastRow="0" w:noHBand="0" w:noVBand="1" w:val="04A0"/>
      </w:tblPr>
      <w:tblGrid>
        <w:gridCol w:w="9878"/>
      </w:tblGrid>
      <w:tr>
        <w:tc>
          <w:tcPr>
            <w:tcW w:type="dxa" w:w="9878"/>
            <w:shd w:fill="F2F4F7"/>
            <w:tcMar>
              <w:top w:w="110" w:type="dxa"/>
              <w:start w:w="150" w:type="dxa"/>
              <w:bottom w:w="110" w:type="dxa"/>
              <w:end w:w="150" w:type="dxa"/>
            </w:tcMar>
          </w:tcPr>
          <w:p>
            <w:pPr>
              <w:keepLines/>
              <w:spacing w:after="0"/>
            </w:pPr>
            <w:r>
              <w:rPr>
                <w:rFonts w:ascii="Liberation Mono" w:hAnsi="Liberation Mono"/>
                <w:sz w:val="17"/>
              </w:rPr>
              <w:t>Implement Phase 0 and Phase 1 only.</w:t>
              <w:br/>
              <w:br/>
              <w:t>Deliver:</w:t>
              <w:br/>
              <w:t>1. Rust workspace using the repository structure in this specification.</w:t>
              <w:br/>
              <w:t>2. Draft stable C ABI headers for context, handles, buffers, tensors, models, jobs and errors.</w:t>
              <w:br/>
              <w:t>3. Versioned Unix-domain-socket control protocol.</w:t>
              <w:br/>
              <w:t>4. ecosd daemon with per-client handle ownership and deterministic cleanup.</w:t>
              <w:br/>
              <w:t>5. libcogposix client library sufficient to connect, allocate mock objects and submit jobs.</w:t>
              <w:br/>
              <w:t>6. Deterministic mock backend that transforms input tensor bytes in a documented reproducible way.</w:t>
              <w:br/>
              <w:t>7. Async job lifecycle with submit/status/wait/cancel.</w:t>
              <w:br/>
              <w:t>8. Integration and conformance tests covering two concurrent clients, invalid handles, isolation, client crash cleanup and cancellation.</w:t>
              <w:br/>
              <w:t>9. README containing build/run/test instructions.</w:t>
              <w:br/>
              <w:br/>
              <w:t>Do NOT implement ONNX Runtime, GPU support, graph compilation, agents, MCP, LLM-specific APIs, model capability resolution, cloud execution or kernel modifications in this phase.</w:t>
              <w:br/>
              <w:br/>
              <w:t>Stop after all Phase 1 acceptance tests pass and report the exact test results and any specification ambiguities encountered.</w:t>
            </w:r>
          </w:p>
        </w:tc>
      </w:tr>
    </w:tbl>
    <w:p>
      <w:pPr>
        <w:spacing w:before="360"/>
        <w:jc w:val="center"/>
      </w:pPr>
      <w:r>
        <w:rPr>
          <w:b/>
          <w:color w:val="17365D"/>
        </w:rPr>
        <w:t>END OF SPECIFICATION v0.1</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Working Draft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ecOS / CogPOSIX — Architecture &amp; Implementation Specification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after="40"/>
    </w:pPr>
    <w:rPr>
      <w:rFonts w:ascii="Aptos" w:hAnsi="Aptos"/>
      <w:b/>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