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28"/>
        </w:rPr>
        <w:t>Remote Sensing Project – Interim Progress Report</w:t>
      </w:r>
    </w:p>
    <w:p>
      <w:pPr>
        <w:spacing w:after="200" w:before="0"/>
        <w:jc w:val="center"/>
      </w:pPr>
      <w:r>
        <w:rPr>
          <w:rFonts w:ascii="Times New Roman" w:hAnsi="Times New Roman"/>
          <w:b/>
          <w:i w:val="0"/>
          <w:sz w:val="24"/>
        </w:rPr>
        <w:t>Mars Global Mosaic: Mapping Lava Flows, Fluvial Channels, and Impact Craters in Visible and Infrared</w:t>
      </w:r>
    </w:p>
    <w:p>
      <w:pPr>
        <w:spacing w:after="40" w:before="0"/>
        <w:jc w:val="center"/>
      </w:pPr>
      <w:r>
        <w:rPr>
          <w:rFonts w:ascii="Times New Roman" w:hAnsi="Times New Roman"/>
          <w:b w:val="0"/>
          <w:i w:val="0"/>
          <w:sz w:val="22"/>
        </w:rPr>
        <w:t>Logan Edwards</w:t>
      </w:r>
    </w:p>
    <w:p>
      <w:pPr>
        <w:spacing w:after="40" w:before="0"/>
        <w:jc w:val="center"/>
      </w:pPr>
      <w:r>
        <w:rPr>
          <w:rFonts w:ascii="Times New Roman" w:hAnsi="Times New Roman"/>
          <w:b w:val="0"/>
          <w:i w:val="0"/>
          <w:sz w:val="22"/>
        </w:rPr>
        <w:t>REMOTE SENSING 2026 OCN 4704</w:t>
      </w:r>
    </w:p>
    <w:p>
      <w:pPr>
        <w:spacing w:after="40" w:before="0"/>
        <w:jc w:val="center"/>
      </w:pPr>
      <w:r>
        <w:rPr>
          <w:rFonts w:ascii="Times New Roman" w:hAnsi="Times New Roman"/>
          <w:b w:val="0"/>
          <w:i w:val="0"/>
          <w:sz w:val="22"/>
        </w:rPr>
        <w:t>Fall 2026</w:t>
      </w:r>
    </w:p>
    <w:p>
      <w:pPr>
        <w:spacing w:after="120" w:before="0"/>
      </w:pPr>
    </w:p>
    <w:p>
      <w:pPr>
        <w:keepNext/>
        <w:spacing w:after="120" w:before="240"/>
      </w:pPr>
      <w:r>
        <w:rPr>
          <w:rFonts w:ascii="Times New Roman" w:hAnsi="Times New Roman"/>
          <w:b/>
          <w:i w:val="0"/>
          <w:sz w:val="24"/>
        </w:rPr>
        <w:t>Project goals</w:t>
      </w:r>
    </w:p>
    <w:p>
      <w:pPr>
        <w:spacing w:after="120" w:before="0"/>
      </w:pPr>
      <w:r>
        <w:rPr>
          <w:rFonts w:ascii="Times New Roman" w:hAnsi="Times New Roman"/>
          <w:b w:val="0"/>
          <w:i w:val="0"/>
          <w:sz w:val="24"/>
        </w:rPr>
        <w:t>Assemble a co-registered global visible and thermal-infrared mosaic of Mars in ArcGIS Pro from three existing global products, and use it to map and classify three landform families — volcanic flow units, fluvial channels and valley networks, and impact craters — producing one internally consistent global landform inventory.</w:t>
      </w:r>
    </w:p>
    <w:p>
      <w:pPr>
        <w:pStyle w:val="ListBullet"/>
        <w:spacing w:after="80"/>
      </w:pPr>
      <w:r>
        <w:rPr>
          <w:rFonts w:ascii="Times New Roman" w:hAnsi="Times New Roman"/>
          <w:sz w:val="24"/>
        </w:rPr>
        <w:t>Build one co-registered global visible + thermal-infrared mosaic of Mars in ArcGIS Pro.</w:t>
      </w:r>
    </w:p>
    <w:p>
      <w:pPr>
        <w:pStyle w:val="ListBullet"/>
        <w:spacing w:after="80"/>
      </w:pPr>
      <w:r>
        <w:rPr>
          <w:rFonts w:ascii="Times New Roman" w:hAnsi="Times New Roman"/>
          <w:sz w:val="24"/>
        </w:rPr>
        <w:t>Map and classify lava flow units, fluvial channels, and impact craters from it.</w:t>
      </w:r>
    </w:p>
    <w:p>
      <w:pPr>
        <w:pStyle w:val="ListBullet"/>
        <w:spacing w:after="80"/>
      </w:pPr>
      <w:r>
        <w:rPr>
          <w:rFonts w:ascii="Times New Roman" w:hAnsi="Times New Roman"/>
          <w:sz w:val="24"/>
        </w:rPr>
        <w:t>Test whether thermal infrared recovers flow boundaries that visible imagery misses under dust mantle.</w:t>
      </w:r>
    </w:p>
    <w:p>
      <w:pPr>
        <w:pStyle w:val="ListBullet"/>
        <w:spacing w:after="80"/>
      </w:pPr>
      <w:r>
        <w:rPr>
          <w:rFonts w:ascii="Times New Roman" w:hAnsi="Times New Roman"/>
          <w:sz w:val="24"/>
        </w:rPr>
        <w:t>Assess accuracy against the published USGS global geologic map and the IAU crater gazetteer — the only independent references available.</w:t>
      </w:r>
    </w:p>
    <w:p>
      <w:pPr>
        <w:keepNext/>
        <w:spacing w:after="120" w:before="240"/>
      </w:pPr>
      <w:r>
        <w:rPr>
          <w:rFonts w:ascii="Times New Roman" w:hAnsi="Times New Roman"/>
          <w:b/>
          <w:i w:val="0"/>
          <w:sz w:val="24"/>
        </w:rPr>
        <w:t>List of project tasks and percent complete</w:t>
      </w:r>
    </w:p>
    <w:p>
      <w:pPr>
        <w:spacing w:after="120" w:before="0"/>
      </w:pPr>
      <w:r>
        <w:rPr>
          <w:rFonts w:ascii="Times New Roman" w:hAnsi="Times New Roman"/>
          <w:b w:val="0"/>
          <w:i w:val="0"/>
          <w:sz w:val="24"/>
        </w:rPr>
        <w:t>Overall completion stands at approximately 42%. The base mosaic and its derived rasters are the gating tasks: classification, digitizing, and crater counting all wait on them, which is why the lower half of the table is still in single and low double digits.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535"/>
            <w:shd w:val="clear" w:fill="DCDCDC"/>
          </w:tcPr>
          <w:p>
            <w:pPr>
              <w:spacing w:after="40"/>
            </w:pPr>
            <w:r>
              <w:rPr>
                <w:rFonts w:ascii="Times New Roman" w:hAnsi="Times New Roman"/>
                <w:b/>
                <w:sz w:val="22"/>
              </w:rPr>
              <w:t>#</w:t>
            </w:r>
          </w:p>
        </w:tc>
        <w:tc>
          <w:tcPr>
            <w:tcW w:type="dxa" w:w="7221"/>
            <w:shd w:val="clear" w:fill="DCDCDC"/>
          </w:tcPr>
          <w:p>
            <w:pPr>
              <w:spacing w:after="40"/>
            </w:pPr>
            <w:r>
              <w:rPr>
                <w:rFonts w:ascii="Times New Roman" w:hAnsi="Times New Roman"/>
                <w:b/>
                <w:sz w:val="22"/>
              </w:rPr>
              <w:t>Task</w:t>
            </w:r>
          </w:p>
        </w:tc>
        <w:tc>
          <w:tcPr>
            <w:tcW w:type="dxa" w:w="1605"/>
            <w:shd w:val="clear" w:fill="DCDCDC"/>
          </w:tcPr>
          <w:p>
            <w:pPr>
              <w:spacing w:after="40"/>
            </w:pPr>
            <w:r>
              <w:rPr>
                <w:rFonts w:ascii="Times New Roman" w:hAnsi="Times New Roman"/>
                <w:b/>
                <w:sz w:val="22"/>
              </w:rPr>
              <w:t>Percent complete</w:t>
            </w:r>
          </w:p>
        </w:tc>
      </w:tr>
      <w:tr>
        <w:trPr>
          <w:cantSplit/>
        </w:trPr>
        <w:tc>
          <w:tcPr>
            <w:tcW w:type="dxa" w:w="535"/>
          </w:tcPr>
          <w:p>
            <w:pPr>
              <w:spacing w:after="40"/>
            </w:pPr>
            <w:r>
              <w:rPr>
                <w:rFonts w:ascii="Times New Roman" w:hAnsi="Times New Roman"/>
                <w:sz w:val="22"/>
              </w:rPr>
              <w:t>1</w:t>
            </w:r>
          </w:p>
        </w:tc>
        <w:tc>
          <w:tcPr>
            <w:tcW w:type="dxa" w:w="7221"/>
          </w:tcPr>
          <w:p>
            <w:pPr>
              <w:spacing w:after="40"/>
            </w:pPr>
            <w:r>
              <w:rPr>
                <w:rFonts w:ascii="Times New Roman" w:hAnsi="Times New Roman"/>
                <w:sz w:val="22"/>
              </w:rPr>
              <w:t>Scope, targets, and type-area selection</w:t>
            </w:r>
          </w:p>
        </w:tc>
        <w:tc>
          <w:tcPr>
            <w:tcW w:type="dxa" w:w="1605"/>
          </w:tcPr>
          <w:p>
            <w:pPr>
              <w:spacing w:after="40"/>
            </w:pPr>
            <w:r>
              <w:rPr>
                <w:rFonts w:ascii="Times New Roman" w:hAnsi="Times New Roman"/>
                <w:sz w:val="22"/>
              </w:rPr>
              <w:t>90%</w:t>
            </w:r>
          </w:p>
        </w:tc>
      </w:tr>
      <w:tr>
        <w:trPr>
          <w:cantSplit/>
        </w:trPr>
        <w:tc>
          <w:tcPr>
            <w:tcW w:type="dxa" w:w="535"/>
          </w:tcPr>
          <w:p>
            <w:pPr>
              <w:spacing w:after="40"/>
            </w:pPr>
            <w:r>
              <w:rPr>
                <w:rFonts w:ascii="Times New Roman" w:hAnsi="Times New Roman"/>
                <w:sz w:val="22"/>
              </w:rPr>
              <w:t>2</w:t>
            </w:r>
          </w:p>
        </w:tc>
        <w:tc>
          <w:tcPr>
            <w:tcW w:type="dxa" w:w="7221"/>
          </w:tcPr>
          <w:p>
            <w:pPr>
              <w:spacing w:after="40"/>
            </w:pPr>
            <w:r>
              <w:rPr>
                <w:rFonts w:ascii="Times New Roman" w:hAnsi="Times New Roman"/>
                <w:sz w:val="22"/>
              </w:rPr>
              <w:t>Global raster acquisition — THEMIS, Viking, HRSC/MOLA</w:t>
            </w:r>
          </w:p>
        </w:tc>
        <w:tc>
          <w:tcPr>
            <w:tcW w:type="dxa" w:w="1605"/>
          </w:tcPr>
          <w:p>
            <w:pPr>
              <w:spacing w:after="40"/>
            </w:pPr>
            <w:r>
              <w:rPr>
                <w:rFonts w:ascii="Times New Roman" w:hAnsi="Times New Roman"/>
                <w:sz w:val="22"/>
              </w:rPr>
              <w:t>100%</w:t>
            </w:r>
          </w:p>
        </w:tc>
      </w:tr>
      <w:tr>
        <w:trPr>
          <w:cantSplit/>
        </w:trPr>
        <w:tc>
          <w:tcPr>
            <w:tcW w:type="dxa" w:w="535"/>
          </w:tcPr>
          <w:p>
            <w:pPr>
              <w:spacing w:after="40"/>
            </w:pPr>
            <w:r>
              <w:rPr>
                <w:rFonts w:ascii="Times New Roman" w:hAnsi="Times New Roman"/>
                <w:sz w:val="22"/>
              </w:rPr>
              <w:t>3</w:t>
            </w:r>
          </w:p>
        </w:tc>
        <w:tc>
          <w:tcPr>
            <w:tcW w:type="dxa" w:w="7221"/>
          </w:tcPr>
          <w:p>
            <w:pPr>
              <w:spacing w:after="40"/>
            </w:pPr>
            <w:r>
              <w:rPr>
                <w:rFonts w:ascii="Times New Roman" w:hAnsi="Times New Roman"/>
                <w:sz w:val="22"/>
              </w:rPr>
              <w:t>Statistics and display stretches built (pyramids still not built)</w:t>
            </w:r>
          </w:p>
        </w:tc>
        <w:tc>
          <w:tcPr>
            <w:tcW w:type="dxa" w:w="1605"/>
          </w:tcPr>
          <w:p>
            <w:pPr>
              <w:spacing w:after="40"/>
            </w:pPr>
            <w:r>
              <w:rPr>
                <w:rFonts w:ascii="Times New Roman" w:hAnsi="Times New Roman"/>
                <w:sz w:val="22"/>
              </w:rPr>
              <w:t>70%</w:t>
            </w:r>
          </w:p>
        </w:tc>
      </w:tr>
      <w:tr>
        <w:trPr>
          <w:cantSplit/>
        </w:trPr>
        <w:tc>
          <w:tcPr>
            <w:tcW w:type="dxa" w:w="535"/>
          </w:tcPr>
          <w:p>
            <w:pPr>
              <w:spacing w:after="40"/>
            </w:pPr>
            <w:r>
              <w:rPr>
                <w:rFonts w:ascii="Times New Roman" w:hAnsi="Times New Roman"/>
                <w:sz w:val="22"/>
              </w:rPr>
              <w:t>4</w:t>
            </w:r>
          </w:p>
        </w:tc>
        <w:tc>
          <w:tcPr>
            <w:tcW w:type="dxa" w:w="7221"/>
          </w:tcPr>
          <w:p>
            <w:pPr>
              <w:spacing w:after="40"/>
            </w:pPr>
            <w:r>
              <w:rPr>
                <w:rFonts w:ascii="Times New Roman" w:hAnsi="Times New Roman"/>
                <w:sz w:val="22"/>
              </w:rPr>
              <w:t>Grouped mosaic viewer assembled (Viking / IR / HRSC MOLA)</w:t>
            </w:r>
          </w:p>
        </w:tc>
        <w:tc>
          <w:tcPr>
            <w:tcW w:type="dxa" w:w="1605"/>
          </w:tcPr>
          <w:p>
            <w:pPr>
              <w:spacing w:after="40"/>
            </w:pPr>
            <w:r>
              <w:rPr>
                <w:rFonts w:ascii="Times New Roman" w:hAnsi="Times New Roman"/>
                <w:sz w:val="22"/>
              </w:rPr>
              <w:t>100%</w:t>
            </w:r>
          </w:p>
        </w:tc>
      </w:tr>
      <w:tr>
        <w:trPr>
          <w:cantSplit/>
        </w:trPr>
        <w:tc>
          <w:tcPr>
            <w:tcW w:type="dxa" w:w="535"/>
          </w:tcPr>
          <w:p>
            <w:pPr>
              <w:spacing w:after="40"/>
            </w:pPr>
            <w:r>
              <w:rPr>
                <w:rFonts w:ascii="Times New Roman" w:hAnsi="Times New Roman"/>
                <w:sz w:val="22"/>
              </w:rPr>
              <w:t>5</w:t>
            </w:r>
          </w:p>
        </w:tc>
        <w:tc>
          <w:tcPr>
            <w:tcW w:type="dxa" w:w="7221"/>
          </w:tcPr>
          <w:p>
            <w:pPr>
              <w:spacing w:after="40"/>
            </w:pPr>
            <w:r>
              <w:rPr>
                <w:rFonts w:ascii="Times New Roman" w:hAnsi="Times New Roman"/>
                <w:sz w:val="22"/>
              </w:rPr>
              <w:t>DEM terrain derivatives — slope and hillshade built</w:t>
            </w:r>
          </w:p>
        </w:tc>
        <w:tc>
          <w:tcPr>
            <w:tcW w:type="dxa" w:w="1605"/>
          </w:tcPr>
          <w:p>
            <w:pPr>
              <w:spacing w:after="40"/>
            </w:pPr>
            <w:r>
              <w:rPr>
                <w:rFonts w:ascii="Times New Roman" w:hAnsi="Times New Roman"/>
                <w:sz w:val="22"/>
              </w:rPr>
              <w:t>80%</w:t>
            </w:r>
          </w:p>
        </w:tc>
      </w:tr>
      <w:tr>
        <w:trPr>
          <w:cantSplit/>
        </w:trPr>
        <w:tc>
          <w:tcPr>
            <w:tcW w:type="dxa" w:w="535"/>
          </w:tcPr>
          <w:p>
            <w:pPr>
              <w:spacing w:after="40"/>
            </w:pPr>
            <w:r>
              <w:rPr>
                <w:rFonts w:ascii="Times New Roman" w:hAnsi="Times New Roman"/>
                <w:sz w:val="22"/>
              </w:rPr>
              <w:t>6</w:t>
            </w:r>
          </w:p>
        </w:tc>
        <w:tc>
          <w:tcPr>
            <w:tcW w:type="dxa" w:w="7221"/>
          </w:tcPr>
          <w:p>
            <w:pPr>
              <w:spacing w:after="40"/>
            </w:pPr>
            <w:r>
              <w:rPr>
                <w:rFonts w:ascii="Times New Roman" w:hAnsi="Times New Roman"/>
                <w:sz w:val="22"/>
              </w:rPr>
              <w:t>Image-gradient products from THEMIS and Viking</w:t>
            </w:r>
          </w:p>
        </w:tc>
        <w:tc>
          <w:tcPr>
            <w:tcW w:type="dxa" w:w="1605"/>
          </w:tcPr>
          <w:p>
            <w:pPr>
              <w:spacing w:after="40"/>
            </w:pPr>
            <w:r>
              <w:rPr>
                <w:rFonts w:ascii="Times New Roman" w:hAnsi="Times New Roman"/>
                <w:sz w:val="22"/>
              </w:rPr>
              <w:t>70%</w:t>
            </w:r>
          </w:p>
        </w:tc>
      </w:tr>
      <w:tr>
        <w:trPr>
          <w:cantSplit/>
        </w:trPr>
        <w:tc>
          <w:tcPr>
            <w:tcW w:type="dxa" w:w="535"/>
          </w:tcPr>
          <w:p>
            <w:pPr>
              <w:spacing w:after="40"/>
            </w:pPr>
            <w:r>
              <w:rPr>
                <w:rFonts w:ascii="Times New Roman" w:hAnsi="Times New Roman"/>
                <w:sz w:val="22"/>
              </w:rPr>
              <w:t>7</w:t>
            </w:r>
          </w:p>
        </w:tc>
        <w:tc>
          <w:tcPr>
            <w:tcW w:type="dxa" w:w="7221"/>
          </w:tcPr>
          <w:p>
            <w:pPr>
              <w:spacing w:after="40"/>
            </w:pPr>
            <w:r>
              <w:rPr>
                <w:rFonts w:ascii="Times New Roman" w:hAnsi="Times New Roman"/>
                <w:sz w:val="22"/>
              </w:rPr>
              <w:t>Jezero context map — hosted rover services only, no held imagery</w:t>
            </w:r>
          </w:p>
        </w:tc>
        <w:tc>
          <w:tcPr>
            <w:tcW w:type="dxa" w:w="1605"/>
          </w:tcPr>
          <w:p>
            <w:pPr>
              <w:spacing w:after="40"/>
            </w:pPr>
            <w:r>
              <w:rPr>
                <w:rFonts w:ascii="Times New Roman" w:hAnsi="Times New Roman"/>
                <w:sz w:val="22"/>
              </w:rPr>
              <w:t>20%</w:t>
            </w:r>
          </w:p>
        </w:tc>
      </w:tr>
      <w:tr>
        <w:trPr>
          <w:cantSplit/>
        </w:trPr>
        <w:tc>
          <w:tcPr>
            <w:tcW w:type="dxa" w:w="535"/>
          </w:tcPr>
          <w:p>
            <w:pPr>
              <w:spacing w:after="40"/>
            </w:pPr>
            <w:r>
              <w:rPr>
                <w:rFonts w:ascii="Times New Roman" w:hAnsi="Times New Roman"/>
                <w:sz w:val="22"/>
              </w:rPr>
              <w:t>8</w:t>
            </w:r>
          </w:p>
        </w:tc>
        <w:tc>
          <w:tcPr>
            <w:tcW w:type="dxa" w:w="7221"/>
          </w:tcPr>
          <w:p>
            <w:pPr>
              <w:spacing w:after="40"/>
            </w:pPr>
            <w:r>
              <w:rPr>
                <w:rFonts w:ascii="Times New Roman" w:hAnsi="Times New Roman"/>
                <w:sz w:val="22"/>
              </w:rPr>
              <w:t>Classification workflow — rehearsed on Mercury, not yet on Mars</w:t>
            </w:r>
          </w:p>
        </w:tc>
        <w:tc>
          <w:tcPr>
            <w:tcW w:type="dxa" w:w="1605"/>
          </w:tcPr>
          <w:p>
            <w:pPr>
              <w:spacing w:after="40"/>
            </w:pPr>
            <w:r>
              <w:rPr>
                <w:rFonts w:ascii="Times New Roman" w:hAnsi="Times New Roman"/>
                <w:sz w:val="22"/>
              </w:rPr>
              <w:t>20%</w:t>
            </w:r>
          </w:p>
        </w:tc>
      </w:tr>
      <w:tr>
        <w:trPr>
          <w:cantSplit/>
        </w:trPr>
        <w:tc>
          <w:tcPr>
            <w:tcW w:type="dxa" w:w="535"/>
          </w:tcPr>
          <w:p>
            <w:pPr>
              <w:spacing w:after="40"/>
            </w:pPr>
            <w:r>
              <w:rPr>
                <w:rFonts w:ascii="Times New Roman" w:hAnsi="Times New Roman"/>
                <w:sz w:val="22"/>
              </w:rPr>
              <w:t>9</w:t>
            </w:r>
          </w:p>
        </w:tc>
        <w:tc>
          <w:tcPr>
            <w:tcW w:type="dxa" w:w="7221"/>
          </w:tcPr>
          <w:p>
            <w:pPr>
              <w:spacing w:after="40"/>
            </w:pPr>
            <w:r>
              <w:rPr>
                <w:rFonts w:ascii="Times New Roman" w:hAnsi="Times New Roman"/>
                <w:sz w:val="22"/>
              </w:rPr>
              <w:t>CRS harmonization to one projected frame</w:t>
            </w:r>
          </w:p>
        </w:tc>
        <w:tc>
          <w:tcPr>
            <w:tcW w:type="dxa" w:w="1605"/>
          </w:tcPr>
          <w:p>
            <w:pPr>
              <w:spacing w:after="40"/>
            </w:pPr>
            <w:r>
              <w:rPr>
                <w:rFonts w:ascii="Times New Roman" w:hAnsi="Times New Roman"/>
                <w:sz w:val="22"/>
              </w:rPr>
              <w:t>15%</w:t>
            </w:r>
          </w:p>
        </w:tc>
      </w:tr>
      <w:tr>
        <w:trPr>
          <w:cantSplit/>
        </w:trPr>
        <w:tc>
          <w:tcPr>
            <w:tcW w:type="dxa" w:w="535"/>
          </w:tcPr>
          <w:p>
            <w:pPr>
              <w:spacing w:after="40"/>
            </w:pPr>
            <w:r>
              <w:rPr>
                <w:rFonts w:ascii="Times New Roman" w:hAnsi="Times New Roman"/>
                <w:sz w:val="22"/>
              </w:rPr>
              <w:t>10</w:t>
            </w:r>
          </w:p>
        </w:tc>
        <w:tc>
          <w:tcPr>
            <w:tcW w:type="dxa" w:w="7221"/>
          </w:tcPr>
          <w:p>
            <w:pPr>
              <w:spacing w:after="40"/>
            </w:pPr>
            <w:r>
              <w:rPr>
                <w:rFonts w:ascii="Times New Roman" w:hAnsi="Times New Roman"/>
                <w:sz w:val="22"/>
              </w:rPr>
              <w:t>Visible + infrared band composite</w:t>
            </w:r>
          </w:p>
        </w:tc>
        <w:tc>
          <w:tcPr>
            <w:tcW w:type="dxa" w:w="1605"/>
          </w:tcPr>
          <w:p>
            <w:pPr>
              <w:spacing w:after="40"/>
            </w:pPr>
            <w:r>
              <w:rPr>
                <w:rFonts w:ascii="Times New Roman" w:hAnsi="Times New Roman"/>
                <w:sz w:val="22"/>
              </w:rPr>
              <w:t>5%</w:t>
            </w:r>
          </w:p>
        </w:tc>
      </w:tr>
      <w:tr>
        <w:trPr>
          <w:cantSplit/>
        </w:trPr>
        <w:tc>
          <w:tcPr>
            <w:tcW w:type="dxa" w:w="535"/>
          </w:tcPr>
          <w:p>
            <w:pPr>
              <w:spacing w:after="40"/>
            </w:pPr>
            <w:r>
              <w:rPr>
                <w:rFonts w:ascii="Times New Roman" w:hAnsi="Times New Roman"/>
                <w:sz w:val="22"/>
              </w:rPr>
              <w:t>11</w:t>
            </w:r>
          </w:p>
        </w:tc>
        <w:tc>
          <w:tcPr>
            <w:tcW w:type="dxa" w:w="7221"/>
          </w:tcPr>
          <w:p>
            <w:pPr>
              <w:spacing w:after="40"/>
            </w:pPr>
            <w:r>
              <w:rPr>
                <w:rFonts w:ascii="Times New Roman" w:hAnsi="Times New Roman"/>
                <w:sz w:val="22"/>
              </w:rPr>
              <w:t>Landform digitizing — flows, channels, crater rims</w:t>
            </w:r>
          </w:p>
        </w:tc>
        <w:tc>
          <w:tcPr>
            <w:tcW w:type="dxa" w:w="1605"/>
          </w:tcPr>
          <w:p>
            <w:pPr>
              <w:spacing w:after="40"/>
            </w:pPr>
            <w:r>
              <w:rPr>
                <w:rFonts w:ascii="Times New Roman" w:hAnsi="Times New Roman"/>
                <w:sz w:val="22"/>
              </w:rPr>
              <w:t>0%</w:t>
            </w:r>
          </w:p>
        </w:tc>
      </w:tr>
      <w:tr>
        <w:trPr>
          <w:cantSplit/>
        </w:trPr>
        <w:tc>
          <w:tcPr>
            <w:tcW w:type="dxa" w:w="535"/>
          </w:tcPr>
          <w:p>
            <w:pPr>
              <w:spacing w:after="40"/>
            </w:pPr>
            <w:r>
              <w:rPr>
                <w:rFonts w:ascii="Times New Roman" w:hAnsi="Times New Roman"/>
                <w:sz w:val="22"/>
              </w:rPr>
              <w:t>12</w:t>
            </w:r>
          </w:p>
        </w:tc>
        <w:tc>
          <w:tcPr>
            <w:tcW w:type="dxa" w:w="7221"/>
          </w:tcPr>
          <w:p>
            <w:pPr>
              <w:spacing w:after="40"/>
            </w:pPr>
            <w:r>
              <w:rPr>
                <w:rFonts w:ascii="Times New Roman" w:hAnsi="Times New Roman"/>
                <w:sz w:val="22"/>
              </w:rPr>
              <w:t>Crater inventory beyond the IAU gazetteer</w:t>
            </w:r>
          </w:p>
        </w:tc>
        <w:tc>
          <w:tcPr>
            <w:tcW w:type="dxa" w:w="1605"/>
          </w:tcPr>
          <w:p>
            <w:pPr>
              <w:spacing w:after="40"/>
            </w:pPr>
            <w:r>
              <w:rPr>
                <w:rFonts w:ascii="Times New Roman" w:hAnsi="Times New Roman"/>
                <w:sz w:val="22"/>
              </w:rPr>
              <w:t>0%</w:t>
            </w:r>
          </w:p>
        </w:tc>
      </w:tr>
      <w:tr>
        <w:trPr>
          <w:cantSplit/>
        </w:trPr>
        <w:tc>
          <w:tcPr>
            <w:tcW w:type="dxa" w:w="535"/>
          </w:tcPr>
          <w:p>
            <w:pPr>
              <w:spacing w:after="40"/>
            </w:pPr>
            <w:r>
              <w:rPr>
                <w:rFonts w:ascii="Times New Roman" w:hAnsi="Times New Roman"/>
                <w:sz w:val="22"/>
              </w:rPr>
              <w:t>13</w:t>
            </w:r>
          </w:p>
        </w:tc>
        <w:tc>
          <w:tcPr>
            <w:tcW w:type="dxa" w:w="7221"/>
          </w:tcPr>
          <w:p>
            <w:pPr>
              <w:spacing w:after="40"/>
            </w:pPr>
            <w:r>
              <w:rPr>
                <w:rFonts w:ascii="Times New Roman" w:hAnsi="Times New Roman"/>
                <w:sz w:val="22"/>
              </w:rPr>
              <w:t>Map layouts and figure production</w:t>
            </w:r>
          </w:p>
        </w:tc>
        <w:tc>
          <w:tcPr>
            <w:tcW w:type="dxa" w:w="1605"/>
          </w:tcPr>
          <w:p>
            <w:pPr>
              <w:spacing w:after="40"/>
            </w:pPr>
            <w:r>
              <w:rPr>
                <w:rFonts w:ascii="Times New Roman" w:hAnsi="Times New Roman"/>
                <w:sz w:val="22"/>
              </w:rPr>
              <w:t>0%</w:t>
            </w:r>
          </w:p>
        </w:tc>
      </w:tr>
      <w:tr>
        <w:trPr>
          <w:cantSplit/>
        </w:trPr>
        <w:tc>
          <w:tcPr>
            <w:tcW w:type="dxa" w:w="535"/>
          </w:tcPr>
          <w:p>
            <w:pPr>
              <w:spacing w:after="40"/>
            </w:pPr>
            <w:r>
              <w:rPr>
                <w:rFonts w:ascii="Times New Roman" w:hAnsi="Times New Roman"/>
                <w:sz w:val="22"/>
              </w:rPr>
              <w:t>14</w:t>
            </w:r>
          </w:p>
        </w:tc>
        <w:tc>
          <w:tcPr>
            <w:tcW w:type="dxa" w:w="7221"/>
          </w:tcPr>
          <w:p>
            <w:pPr>
              <w:spacing w:after="40"/>
            </w:pPr>
            <w:r>
              <w:rPr>
                <w:rFonts w:ascii="Times New Roman" w:hAnsi="Times New Roman"/>
                <w:sz w:val="22"/>
              </w:rPr>
              <w:t>Written report and presentations</w:t>
            </w:r>
          </w:p>
        </w:tc>
        <w:tc>
          <w:tcPr>
            <w:tcW w:type="dxa" w:w="1605"/>
          </w:tcPr>
          <w:p>
            <w:pPr>
              <w:spacing w:after="40"/>
            </w:pPr>
            <w:r>
              <w:rPr>
                <w:rFonts w:ascii="Times New Roman" w:hAnsi="Times New Roman"/>
                <w:sz w:val="22"/>
              </w:rPr>
              <w:t>25%</w:t>
            </w:r>
          </w:p>
        </w:tc>
      </w:tr>
    </w:tbl>
    <w:p>
      <w:pPr>
        <w:spacing w:after="40" w:before="0"/>
      </w:pPr>
    </w:p>
    <w:p>
      <w:pPr>
        <w:keepNext/>
        <w:spacing w:after="120" w:before="240"/>
      </w:pPr>
      <w:r>
        <w:rPr>
          <w:rFonts w:ascii="Times New Roman" w:hAnsi="Times New Roman"/>
          <w:b/>
          <w:i w:val="0"/>
          <w:sz w:val="24"/>
        </w:rPr>
        <w:t>Processing completed to date</w:t>
      </w:r>
    </w:p>
    <w:p>
      <w:pPr>
        <w:spacing w:after="120" w:before="0"/>
      </w:pPr>
      <w:r>
        <w:rPr>
          <w:rFonts w:ascii="Times New Roman" w:hAnsi="Times New Roman"/>
          <w:b w:val="0"/>
          <w:i w:val="0"/>
          <w:sz w:val="24"/>
        </w:rPr>
        <w:t>Recovered from the geoprocessing lineage and tool logs held in the project geodatabase. This is the actual run history, failures included.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152"/>
            <w:shd w:val="clear" w:fill="DCDCDC"/>
          </w:tcPr>
          <w:p>
            <w:pPr>
              <w:spacing w:after="40"/>
            </w:pPr>
            <w:r>
              <w:rPr>
                <w:rFonts w:ascii="Times New Roman" w:hAnsi="Times New Roman"/>
                <w:b/>
                <w:sz w:val="18"/>
              </w:rPr>
              <w:t>When</w:t>
            </w:r>
          </w:p>
        </w:tc>
        <w:tc>
          <w:tcPr>
            <w:tcW w:type="dxa" w:w="1872"/>
            <w:shd w:val="clear" w:fill="DCDCDC"/>
          </w:tcPr>
          <w:p>
            <w:pPr>
              <w:spacing w:after="40"/>
            </w:pPr>
            <w:r>
              <w:rPr>
                <w:rFonts w:ascii="Times New Roman" w:hAnsi="Times New Roman"/>
                <w:b/>
                <w:sz w:val="18"/>
              </w:rPr>
              <w:t>Tool</w:t>
            </w:r>
          </w:p>
        </w:tc>
        <w:tc>
          <w:tcPr>
            <w:tcW w:type="dxa" w:w="2880"/>
            <w:shd w:val="clear" w:fill="DCDCDC"/>
          </w:tcPr>
          <w:p>
            <w:pPr>
              <w:spacing w:after="40"/>
            </w:pPr>
            <w:r>
              <w:rPr>
                <w:rFonts w:ascii="Times New Roman" w:hAnsi="Times New Roman"/>
                <w:b/>
                <w:sz w:val="18"/>
              </w:rPr>
              <w:t>Parameters</w:t>
            </w:r>
          </w:p>
        </w:tc>
        <w:tc>
          <w:tcPr>
            <w:tcW w:type="dxa" w:w="3456"/>
            <w:shd w:val="clear" w:fill="DCDCDC"/>
          </w:tcPr>
          <w:p>
            <w:pPr>
              <w:spacing w:after="40"/>
            </w:pPr>
            <w:r>
              <w:rPr>
                <w:rFonts w:ascii="Times New Roman" w:hAnsi="Times New Roman"/>
                <w:b/>
                <w:sz w:val="18"/>
              </w:rPr>
              <w:t>Outcome</w:t>
            </w:r>
          </w:p>
        </w:tc>
      </w:tr>
      <w:tr>
        <w:trPr>
          <w:cantSplit/>
        </w:trPr>
        <w:tc>
          <w:tcPr>
            <w:tcW w:type="dxa" w:w="1152"/>
          </w:tcPr>
          <w:p>
            <w:pPr>
              <w:spacing w:after="40"/>
            </w:pPr>
            <w:r>
              <w:rPr>
                <w:rFonts w:ascii="Times New Roman" w:hAnsi="Times New Roman"/>
                <w:sz w:val="18"/>
              </w:rPr>
              <w:t>Sep 8, 18:34</w:t>
            </w:r>
          </w:p>
        </w:tc>
        <w:tc>
          <w:tcPr>
            <w:tcW w:type="dxa" w:w="1872"/>
          </w:tcPr>
          <w:p>
            <w:pPr>
              <w:spacing w:after="40"/>
            </w:pPr>
            <w:r>
              <w:rPr>
                <w:rFonts w:ascii="Times New Roman" w:hAnsi="Times New Roman"/>
                <w:sz w:val="18"/>
              </w:rPr>
              <w:t>Iso Cluster + ML Classify</w:t>
            </w:r>
          </w:p>
        </w:tc>
        <w:tc>
          <w:tcPr>
            <w:tcW w:type="dxa" w:w="2880"/>
          </w:tcPr>
          <w:p>
            <w:pPr>
              <w:spacing w:after="40"/>
            </w:pPr>
            <w:r>
              <w:rPr>
                <w:rFonts w:ascii="Times New Roman" w:hAnsi="Times New Roman"/>
                <w:sz w:val="18"/>
              </w:rPr>
              <w:t>Mercury MESSENGER MDIS 166 m, 10 classes</w:t>
            </w:r>
          </w:p>
        </w:tc>
        <w:tc>
          <w:tcPr>
            <w:tcW w:type="dxa" w:w="3456"/>
          </w:tcPr>
          <w:p>
            <w:pPr>
              <w:spacing w:after="40"/>
            </w:pPr>
            <w:r>
              <w:rPr>
                <w:rFonts w:ascii="Times New Roman" w:hAnsi="Times New Roman"/>
                <w:sz w:val="18"/>
              </w:rPr>
              <w:t>Succeeded — method rehearsal on another body</w:t>
            </w:r>
          </w:p>
        </w:tc>
      </w:tr>
      <w:tr>
        <w:trPr>
          <w:cantSplit/>
        </w:trPr>
        <w:tc>
          <w:tcPr>
            <w:tcW w:type="dxa" w:w="1152"/>
          </w:tcPr>
          <w:p>
            <w:pPr>
              <w:spacing w:after="40"/>
            </w:pPr>
            <w:r>
              <w:rPr>
                <w:rFonts w:ascii="Times New Roman" w:hAnsi="Times New Roman"/>
                <w:sz w:val="18"/>
              </w:rPr>
              <w:t>Sep 9, 03:35</w:t>
            </w:r>
          </w:p>
        </w:tc>
        <w:tc>
          <w:tcPr>
            <w:tcW w:type="dxa" w:w="1872"/>
          </w:tcPr>
          <w:p>
            <w:pPr>
              <w:spacing w:after="40"/>
            </w:pPr>
            <w:r>
              <w:rPr>
                <w:rFonts w:ascii="Times New Roman" w:hAnsi="Times New Roman"/>
                <w:sz w:val="18"/>
              </w:rPr>
              <w:t>Segment Mean Shift</w:t>
            </w:r>
          </w:p>
        </w:tc>
        <w:tc>
          <w:tcPr>
            <w:tcW w:type="dxa" w:w="2880"/>
          </w:tcPr>
          <w:p>
            <w:pPr>
              <w:spacing w:after="40"/>
            </w:pPr>
            <w:r>
              <w:rPr>
                <w:rFonts w:ascii="Times New Roman" w:hAnsi="Times New Roman"/>
                <w:sz w:val="18"/>
              </w:rPr>
              <w:t>Spectral detail 20, spatial detail 20, min segment 5 px</w:t>
            </w:r>
          </w:p>
        </w:tc>
        <w:tc>
          <w:tcPr>
            <w:tcW w:type="dxa" w:w="3456"/>
          </w:tcPr>
          <w:p>
            <w:pPr>
              <w:spacing w:after="40"/>
            </w:pPr>
            <w:r>
              <w:rPr>
                <w:rFonts w:ascii="Times New Roman" w:hAnsi="Times New Roman"/>
                <w:sz w:val="18"/>
              </w:rPr>
              <w:t>Succeeded</w:t>
            </w:r>
          </w:p>
        </w:tc>
      </w:tr>
      <w:tr>
        <w:trPr>
          <w:cantSplit/>
        </w:trPr>
        <w:tc>
          <w:tcPr>
            <w:tcW w:type="dxa" w:w="1152"/>
          </w:tcPr>
          <w:p>
            <w:pPr>
              <w:spacing w:after="40"/>
            </w:pPr>
            <w:r>
              <w:rPr>
                <w:rFonts w:ascii="Times New Roman" w:hAnsi="Times New Roman"/>
                <w:sz w:val="18"/>
              </w:rPr>
              <w:t>Sep 9, 11:52</w:t>
            </w:r>
          </w:p>
        </w:tc>
        <w:tc>
          <w:tcPr>
            <w:tcW w:type="dxa" w:w="1872"/>
          </w:tcPr>
          <w:p>
            <w:pPr>
              <w:spacing w:after="40"/>
            </w:pPr>
            <w:r>
              <w:rPr>
                <w:rFonts w:ascii="Times New Roman" w:hAnsi="Times New Roman"/>
                <w:sz w:val="18"/>
              </w:rPr>
              <w:t>Composite Bands</w:t>
            </w:r>
          </w:p>
        </w:tc>
        <w:tc>
          <w:tcPr>
            <w:tcW w:type="dxa" w:w="2880"/>
          </w:tcPr>
          <w:p>
            <w:pPr>
              <w:spacing w:after="40"/>
            </w:pPr>
            <w:r>
              <w:rPr>
                <w:rFonts w:ascii="Times New Roman" w:hAnsi="Times New Roman"/>
                <w:sz w:val="18"/>
              </w:rPr>
              <w:t>Global extent</w:t>
            </w:r>
          </w:p>
        </w:tc>
        <w:tc>
          <w:tcPr>
            <w:tcW w:type="dxa" w:w="3456"/>
          </w:tcPr>
          <w:p>
            <w:pPr>
              <w:spacing w:after="40"/>
            </w:pPr>
            <w:r>
              <w:rPr>
                <w:rFonts w:ascii="Times New Roman" w:hAnsi="Times New Roman"/>
                <w:sz w:val="18"/>
              </w:rPr>
              <w:t>Failed — cancelled after 47 min 57 s</w:t>
            </w:r>
          </w:p>
        </w:tc>
      </w:tr>
      <w:tr>
        <w:trPr>
          <w:cantSplit/>
        </w:trPr>
        <w:tc>
          <w:tcPr>
            <w:tcW w:type="dxa" w:w="1152"/>
          </w:tcPr>
          <w:p>
            <w:pPr>
              <w:spacing w:after="40"/>
            </w:pPr>
            <w:r>
              <w:rPr>
                <w:rFonts w:ascii="Times New Roman" w:hAnsi="Times New Roman"/>
                <w:sz w:val="18"/>
              </w:rPr>
              <w:t>Sep 9, 12:43</w:t>
            </w:r>
          </w:p>
        </w:tc>
        <w:tc>
          <w:tcPr>
            <w:tcW w:type="dxa" w:w="1872"/>
          </w:tcPr>
          <w:p>
            <w:pPr>
              <w:spacing w:after="40"/>
            </w:pPr>
            <w:r>
              <w:rPr>
                <w:rFonts w:ascii="Times New Roman" w:hAnsi="Times New Roman"/>
                <w:sz w:val="18"/>
              </w:rPr>
              <w:t>Composite Bands</w:t>
            </w:r>
          </w:p>
        </w:tc>
        <w:tc>
          <w:tcPr>
            <w:tcW w:type="dxa" w:w="2880"/>
          </w:tcPr>
          <w:p>
            <w:pPr>
              <w:spacing w:after="40"/>
            </w:pPr>
            <w:r>
              <w:rPr>
                <w:rFonts w:ascii="Times New Roman" w:hAnsi="Times New Roman"/>
                <w:sz w:val="18"/>
              </w:rPr>
              <w:t>Retry</w:t>
            </w:r>
          </w:p>
        </w:tc>
        <w:tc>
          <w:tcPr>
            <w:tcW w:type="dxa" w:w="3456"/>
          </w:tcPr>
          <w:p>
            <w:pPr>
              <w:spacing w:after="40"/>
            </w:pPr>
            <w:r>
              <w:rPr>
                <w:rFonts w:ascii="Times New Roman" w:hAnsi="Times New Roman"/>
                <w:sz w:val="18"/>
              </w:rPr>
              <w:t>Failed — cancelled after 1 min 41 s</w:t>
            </w:r>
          </w:p>
        </w:tc>
      </w:tr>
      <w:tr>
        <w:trPr>
          <w:cantSplit/>
        </w:trPr>
        <w:tc>
          <w:tcPr>
            <w:tcW w:type="dxa" w:w="1152"/>
          </w:tcPr>
          <w:p>
            <w:pPr>
              <w:spacing w:after="40"/>
            </w:pPr>
            <w:r>
              <w:rPr>
                <w:rFonts w:ascii="Times New Roman" w:hAnsi="Times New Roman"/>
                <w:sz w:val="18"/>
              </w:rPr>
              <w:t>Sep 9, 12:44</w:t>
            </w:r>
          </w:p>
        </w:tc>
        <w:tc>
          <w:tcPr>
            <w:tcW w:type="dxa" w:w="1872"/>
          </w:tcPr>
          <w:p>
            <w:pPr>
              <w:spacing w:after="40"/>
            </w:pPr>
            <w:r>
              <w:rPr>
                <w:rFonts w:ascii="Times New Roman" w:hAnsi="Times New Roman"/>
                <w:sz w:val="18"/>
              </w:rPr>
              <w:t>Composite Bands</w:t>
            </w:r>
          </w:p>
        </w:tc>
        <w:tc>
          <w:tcPr>
            <w:tcW w:type="dxa" w:w="2880"/>
          </w:tcPr>
          <w:p>
            <w:pPr>
              <w:spacing w:after="40"/>
            </w:pPr>
            <w:r>
              <w:rPr>
                <w:rFonts w:ascii="Times New Roman" w:hAnsi="Times New Roman"/>
                <w:sz w:val="18"/>
              </w:rPr>
              <w:t>Retry</w:t>
            </w:r>
          </w:p>
        </w:tc>
        <w:tc>
          <w:tcPr>
            <w:tcW w:type="dxa" w:w="3456"/>
          </w:tcPr>
          <w:p>
            <w:pPr>
              <w:spacing w:after="40"/>
            </w:pPr>
            <w:r>
              <w:rPr>
                <w:rFonts w:ascii="Times New Roman" w:hAnsi="Times New Roman"/>
                <w:sz w:val="18"/>
              </w:rPr>
              <w:t>Failed — cancelled after 1 h 14 min 51 s</w:t>
            </w:r>
          </w:p>
        </w:tc>
      </w:tr>
      <w:tr>
        <w:trPr>
          <w:cantSplit/>
        </w:trPr>
        <w:tc>
          <w:tcPr>
            <w:tcW w:type="dxa" w:w="1152"/>
          </w:tcPr>
          <w:p>
            <w:pPr>
              <w:spacing w:after="40"/>
            </w:pPr>
            <w:r>
              <w:rPr>
                <w:rFonts w:ascii="Times New Roman" w:hAnsi="Times New Roman"/>
                <w:sz w:val="18"/>
              </w:rPr>
              <w:t>Sep 10, 19:44</w:t>
            </w:r>
          </w:p>
        </w:tc>
        <w:tc>
          <w:tcPr>
            <w:tcW w:type="dxa" w:w="1872"/>
          </w:tcPr>
          <w:p>
            <w:pPr>
              <w:spacing w:after="40"/>
            </w:pPr>
            <w:r>
              <w:rPr>
                <w:rFonts w:ascii="Times New Roman" w:hAnsi="Times New Roman"/>
                <w:sz w:val="18"/>
              </w:rPr>
              <w:t>Slope → Slope_Mars_H1</w:t>
            </w:r>
          </w:p>
        </w:tc>
        <w:tc>
          <w:tcPr>
            <w:tcW w:type="dxa" w:w="2880"/>
          </w:tcPr>
          <w:p>
            <w:pPr>
              <w:spacing w:after="40"/>
            </w:pPr>
            <w:r>
              <w:rPr>
                <w:rFonts w:ascii="Times New Roman" w:hAnsi="Times New Roman"/>
                <w:sz w:val="18"/>
              </w:rPr>
              <w:t>HRSC/MOLA DEM, percent rise, z-factor 1, planar</w:t>
            </w:r>
          </w:p>
        </w:tc>
        <w:tc>
          <w:tcPr>
            <w:tcW w:type="dxa" w:w="3456"/>
          </w:tcPr>
          <w:p>
            <w:pPr>
              <w:spacing w:after="40"/>
            </w:pPr>
            <w:r>
              <w:rPr>
                <w:rFonts w:ascii="Times New Roman" w:hAnsi="Times New Roman"/>
                <w:sz w:val="18"/>
              </w:rPr>
              <w:t>Succeeded in 7 min 15 s — WARNING 000869 (Z units undefined)</w:t>
            </w:r>
          </w:p>
        </w:tc>
      </w:tr>
      <w:tr>
        <w:trPr>
          <w:cantSplit/>
        </w:trPr>
        <w:tc>
          <w:tcPr>
            <w:tcW w:type="dxa" w:w="1152"/>
          </w:tcPr>
          <w:p>
            <w:pPr>
              <w:spacing w:after="40"/>
            </w:pPr>
            <w:r>
              <w:rPr>
                <w:rFonts w:ascii="Times New Roman" w:hAnsi="Times New Roman"/>
                <w:sz w:val="18"/>
              </w:rPr>
              <w:t>Sep 11, 12:03</w:t>
            </w:r>
          </w:p>
        </w:tc>
        <w:tc>
          <w:tcPr>
            <w:tcW w:type="dxa" w:w="1872"/>
          </w:tcPr>
          <w:p>
            <w:pPr>
              <w:spacing w:after="40"/>
            </w:pPr>
            <w:r>
              <w:rPr>
                <w:rFonts w:ascii="Times New Roman" w:hAnsi="Times New Roman"/>
                <w:sz w:val="18"/>
              </w:rPr>
              <w:t>Slope → Slope_Mars_M1</w:t>
            </w:r>
          </w:p>
        </w:tc>
        <w:tc>
          <w:tcPr>
            <w:tcW w:type="dxa" w:w="2880"/>
          </w:tcPr>
          <w:p>
            <w:pPr>
              <w:spacing w:after="40"/>
            </w:pPr>
            <w:r>
              <w:rPr>
                <w:rFonts w:ascii="Times New Roman" w:hAnsi="Times New Roman"/>
                <w:sz w:val="18"/>
              </w:rPr>
              <w:t>THEMIS Day IR, percent rise, z-factor 1, planar</w:t>
            </w:r>
          </w:p>
        </w:tc>
        <w:tc>
          <w:tcPr>
            <w:tcW w:type="dxa" w:w="3456"/>
          </w:tcPr>
          <w:p>
            <w:pPr>
              <w:spacing w:after="40"/>
            </w:pPr>
            <w:r>
              <w:rPr>
                <w:rFonts w:ascii="Times New Roman" w:hAnsi="Times New Roman"/>
                <w:sz w:val="18"/>
              </w:rPr>
              <w:t>Succeeded</w:t>
            </w:r>
          </w:p>
        </w:tc>
      </w:tr>
      <w:tr>
        <w:trPr>
          <w:cantSplit/>
        </w:trPr>
        <w:tc>
          <w:tcPr>
            <w:tcW w:type="dxa" w:w="1152"/>
          </w:tcPr>
          <w:p>
            <w:pPr>
              <w:spacing w:after="40"/>
            </w:pPr>
            <w:r>
              <w:rPr>
                <w:rFonts w:ascii="Times New Roman" w:hAnsi="Times New Roman"/>
                <w:sz w:val="18"/>
              </w:rPr>
              <w:t>Sep 11, 12:24</w:t>
            </w:r>
          </w:p>
        </w:tc>
        <w:tc>
          <w:tcPr>
            <w:tcW w:type="dxa" w:w="1872"/>
          </w:tcPr>
          <w:p>
            <w:pPr>
              <w:spacing w:after="40"/>
            </w:pPr>
            <w:r>
              <w:rPr>
                <w:rFonts w:ascii="Times New Roman" w:hAnsi="Times New Roman"/>
                <w:sz w:val="18"/>
              </w:rPr>
              <w:t>Surface Parameters → Surface_Mars1</w:t>
            </w:r>
          </w:p>
        </w:tc>
        <w:tc>
          <w:tcPr>
            <w:tcW w:type="dxa" w:w="2880"/>
          </w:tcPr>
          <w:p>
            <w:pPr>
              <w:spacing w:after="40"/>
            </w:pPr>
            <w:r>
              <w:rPr>
                <w:rFonts w:ascii="Times New Roman" w:hAnsi="Times New Roman"/>
                <w:sz w:val="18"/>
              </w:rPr>
              <w:t>Viking MDIM, slope, quadratic, 231.54 m fixed neighborhood</w:t>
            </w:r>
          </w:p>
        </w:tc>
        <w:tc>
          <w:tcPr>
            <w:tcW w:type="dxa" w:w="3456"/>
          </w:tcPr>
          <w:p>
            <w:pPr>
              <w:spacing w:after="40"/>
            </w:pPr>
            <w:r>
              <w:rPr>
                <w:rFonts w:ascii="Times New Roman" w:hAnsi="Times New Roman"/>
                <w:sz w:val="18"/>
              </w:rPr>
              <w:t>Succeeded in 1 h 26 min 45 s</w:t>
            </w:r>
          </w:p>
        </w:tc>
      </w:tr>
      <w:tr>
        <w:trPr>
          <w:cantSplit/>
        </w:trPr>
        <w:tc>
          <w:tcPr>
            <w:tcW w:type="dxa" w:w="1152"/>
          </w:tcPr>
          <w:p>
            <w:pPr>
              <w:spacing w:after="40"/>
            </w:pPr>
            <w:r>
              <w:rPr>
                <w:rFonts w:ascii="Times New Roman" w:hAnsi="Times New Roman"/>
                <w:sz w:val="18"/>
              </w:rPr>
              <w:t>Sep 11, 20:34</w:t>
            </w:r>
          </w:p>
        </w:tc>
        <w:tc>
          <w:tcPr>
            <w:tcW w:type="dxa" w:w="1872"/>
          </w:tcPr>
          <w:p>
            <w:pPr>
              <w:spacing w:after="40"/>
            </w:pPr>
            <w:r>
              <w:rPr>
                <w:rFonts w:ascii="Times New Roman" w:hAnsi="Times New Roman"/>
                <w:sz w:val="18"/>
              </w:rPr>
              <w:t>Slope → Slope_Mars_V1</w:t>
            </w:r>
          </w:p>
        </w:tc>
        <w:tc>
          <w:tcPr>
            <w:tcW w:type="dxa" w:w="2880"/>
          </w:tcPr>
          <w:p>
            <w:pPr>
              <w:spacing w:after="40"/>
            </w:pPr>
            <w:r>
              <w:rPr>
                <w:rFonts w:ascii="Times New Roman" w:hAnsi="Times New Roman"/>
                <w:sz w:val="18"/>
              </w:rPr>
              <w:t>Viking MDIM, percent rise, GPU then CPU</w:t>
            </w:r>
          </w:p>
        </w:tc>
        <w:tc>
          <w:tcPr>
            <w:tcW w:type="dxa" w:w="3456"/>
          </w:tcPr>
          <w:p>
            <w:pPr>
              <w:spacing w:after="40"/>
            </w:pPr>
            <w:r>
              <w:rPr>
                <w:rFonts w:ascii="Times New Roman" w:hAnsi="Times New Roman"/>
                <w:sz w:val="18"/>
              </w:rPr>
              <w:t>Succeeded in 1 h 05 min 01 s — no compatible GPU detected, ran on CPU</w:t>
            </w:r>
          </w:p>
        </w:tc>
      </w:tr>
      <w:tr>
        <w:trPr>
          <w:cantSplit/>
        </w:trPr>
        <w:tc>
          <w:tcPr>
            <w:tcW w:type="dxa" w:w="1152"/>
          </w:tcPr>
          <w:p>
            <w:pPr>
              <w:spacing w:after="40"/>
            </w:pPr>
            <w:r>
              <w:rPr>
                <w:rFonts w:ascii="Times New Roman" w:hAnsi="Times New Roman"/>
                <w:sz w:val="18"/>
              </w:rPr>
              <w:t>Sep 13, 03:03</w:t>
            </w:r>
          </w:p>
        </w:tc>
        <w:tc>
          <w:tcPr>
            <w:tcW w:type="dxa" w:w="1872"/>
          </w:tcPr>
          <w:p>
            <w:pPr>
              <w:spacing w:after="40"/>
            </w:pPr>
            <w:r>
              <w:rPr>
                <w:rFonts w:ascii="Times New Roman" w:hAnsi="Times New Roman"/>
                <w:sz w:val="18"/>
              </w:rPr>
              <w:t>Hillshade → HillSha_Mars1</w:t>
            </w:r>
          </w:p>
        </w:tc>
        <w:tc>
          <w:tcPr>
            <w:tcW w:type="dxa" w:w="2880"/>
          </w:tcPr>
          <w:p>
            <w:pPr>
              <w:spacing w:after="40"/>
            </w:pPr>
            <w:r>
              <w:rPr>
                <w:rFonts w:ascii="Times New Roman" w:hAnsi="Times New Roman"/>
                <w:sz w:val="18"/>
              </w:rPr>
              <w:t>HRSC/MOLA DEM, azimuth 225°, altitude 45°, shadows</w:t>
            </w:r>
          </w:p>
        </w:tc>
        <w:tc>
          <w:tcPr>
            <w:tcW w:type="dxa" w:w="3456"/>
          </w:tcPr>
          <w:p>
            <w:pPr>
              <w:spacing w:after="40"/>
            </w:pPr>
            <w:r>
              <w:rPr>
                <w:rFonts w:ascii="Times New Roman" w:hAnsi="Times New Roman"/>
                <w:sz w:val="18"/>
              </w:rPr>
              <w:t>Succeeded in 11 min 42 s — WARNING 000869 (Z units undefined)</w:t>
            </w:r>
          </w:p>
        </w:tc>
      </w:tr>
      <w:tr>
        <w:trPr>
          <w:cantSplit/>
        </w:trPr>
        <w:tc>
          <w:tcPr>
            <w:tcW w:type="dxa" w:w="1152"/>
          </w:tcPr>
          <w:p>
            <w:pPr>
              <w:spacing w:after="40"/>
            </w:pPr>
            <w:r>
              <w:rPr>
                <w:rFonts w:ascii="Times New Roman" w:hAnsi="Times New Roman"/>
                <w:sz w:val="18"/>
              </w:rPr>
              <w:t>Sep 13, 14:48</w:t>
            </w:r>
          </w:p>
        </w:tc>
        <w:tc>
          <w:tcPr>
            <w:tcW w:type="dxa" w:w="1872"/>
          </w:tcPr>
          <w:p>
            <w:pPr>
              <w:spacing w:after="40"/>
            </w:pPr>
            <w:r>
              <w:rPr>
                <w:rFonts w:ascii="Times New Roman" w:hAnsi="Times New Roman"/>
                <w:sz w:val="18"/>
              </w:rPr>
              <w:t>Composite Bands</w:t>
            </w:r>
          </w:p>
        </w:tc>
        <w:tc>
          <w:tcPr>
            <w:tcW w:type="dxa" w:w="2880"/>
          </w:tcPr>
          <w:p>
            <w:pPr>
              <w:spacing w:after="40"/>
            </w:pPr>
            <w:r>
              <w:rPr>
                <w:rFonts w:ascii="Times New Roman" w:hAnsi="Times New Roman"/>
                <w:sz w:val="18"/>
              </w:rPr>
              <w:t>Global extent, first input Slope_Mars_V1</w:t>
            </w:r>
          </w:p>
        </w:tc>
        <w:tc>
          <w:tcPr>
            <w:tcW w:type="dxa" w:w="3456"/>
          </w:tcPr>
          <w:p>
            <w:pPr>
              <w:spacing w:after="40"/>
            </w:pPr>
            <w:r>
              <w:rPr>
                <w:rFonts w:ascii="Times New Roman" w:hAnsi="Times New Roman"/>
                <w:sz w:val="18"/>
              </w:rPr>
              <w:t>Did not complete — output registered, no raster data written</w:t>
            </w:r>
          </w:p>
        </w:tc>
      </w:tr>
    </w:tbl>
    <w:p>
      <w:pPr>
        <w:spacing w:after="40" w:before="0"/>
      </w:pPr>
    </w:p>
    <w:p>
      <w:pPr>
        <w:keepNext/>
        <w:spacing w:after="120" w:before="240"/>
      </w:pPr>
      <w:r>
        <w:rPr>
          <w:rFonts w:ascii="Times New Roman" w:hAnsi="Times New Roman"/>
          <w:b/>
          <w:i w:val="0"/>
          <w:sz w:val="24"/>
        </w:rPr>
        <w:t>Relevant spectral bands</w:t>
      </w:r>
    </w:p>
    <w:p>
      <w:pPr>
        <w:spacing w:after="120" w:before="0"/>
      </w:pPr>
      <w:r>
        <w:rPr>
          <w:rFonts w:ascii="Times New Roman" w:hAnsi="Times New Roman"/>
          <w:b w:val="0"/>
          <w:i w:val="0"/>
          <w:sz w:val="24"/>
        </w:rPr>
        <w:t>The band set is unchanged from the prospectus. Each of the three landform families is addressed by at least two independent lines of evidence — one morphological and one spectral or thermophysical — so that no origin is assigned on image texture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139"/>
            <w:shd w:val="clear" w:fill="DCDCDC"/>
          </w:tcPr>
          <w:p>
            <w:pPr>
              <w:spacing w:after="40"/>
            </w:pPr>
            <w:r>
              <w:rPr>
                <w:rFonts w:ascii="Times New Roman" w:hAnsi="Times New Roman"/>
                <w:b/>
                <w:sz w:val="19"/>
              </w:rPr>
              <w:t>Band or product</w:t>
            </w:r>
          </w:p>
        </w:tc>
        <w:tc>
          <w:tcPr>
            <w:tcW w:type="dxa" w:w="1471"/>
            <w:shd w:val="clear" w:fill="DCDCDC"/>
          </w:tcPr>
          <w:p>
            <w:pPr>
              <w:spacing w:after="40"/>
            </w:pPr>
            <w:r>
              <w:rPr>
                <w:rFonts w:ascii="Times New Roman" w:hAnsi="Times New Roman"/>
                <w:b/>
                <w:sz w:val="19"/>
              </w:rPr>
              <w:t>Wavelength</w:t>
            </w:r>
          </w:p>
        </w:tc>
        <w:tc>
          <w:tcPr>
            <w:tcW w:type="dxa" w:w="5750"/>
            <w:shd w:val="clear" w:fill="DCDCDC"/>
          </w:tcPr>
          <w:p>
            <w:pPr>
              <w:spacing w:after="40"/>
            </w:pPr>
            <w:r>
              <w:rPr>
                <w:rFonts w:ascii="Times New Roman" w:hAnsi="Times New Roman"/>
                <w:b/>
                <w:sz w:val="19"/>
              </w:rPr>
              <w:t>Why this band</w:t>
            </w:r>
          </w:p>
        </w:tc>
      </w:tr>
      <w:tr>
        <w:trPr>
          <w:cantSplit/>
        </w:trPr>
        <w:tc>
          <w:tcPr>
            <w:tcW w:type="dxa" w:w="2139"/>
          </w:tcPr>
          <w:p>
            <w:pPr>
              <w:spacing w:after="40"/>
            </w:pPr>
            <w:r>
              <w:rPr>
                <w:rFonts w:ascii="Times New Roman" w:hAnsi="Times New Roman"/>
                <w:sz w:val="19"/>
              </w:rPr>
              <w:t>THEMIS Day IR (v12 mosaic)</w:t>
            </w:r>
          </w:p>
        </w:tc>
        <w:tc>
          <w:tcPr>
            <w:tcW w:type="dxa" w:w="1471"/>
          </w:tcPr>
          <w:p>
            <w:pPr>
              <w:spacing w:after="40"/>
            </w:pPr>
            <w:r>
              <w:rPr>
                <w:rFonts w:ascii="Times New Roman" w:hAnsi="Times New Roman"/>
                <w:sz w:val="19"/>
              </w:rPr>
              <w:t>6.8–14.9 µm</w:t>
            </w:r>
          </w:p>
        </w:tc>
        <w:tc>
          <w:tcPr>
            <w:tcW w:type="dxa" w:w="5750"/>
          </w:tcPr>
          <w:p>
            <w:pPr>
              <w:spacing w:after="40"/>
            </w:pPr>
            <w:r>
              <w:rPr>
                <w:rFonts w:ascii="Times New Roman" w:hAnsi="Times New Roman"/>
                <w:sz w:val="19"/>
              </w:rPr>
              <w:t>The global morphology and composition base; the highest-resolution global layer held, at 100 m</w:t>
            </w:r>
          </w:p>
        </w:tc>
      </w:tr>
      <w:tr>
        <w:trPr>
          <w:cantSplit/>
        </w:trPr>
        <w:tc>
          <w:tcPr>
            <w:tcW w:type="dxa" w:w="2139"/>
          </w:tcPr>
          <w:p>
            <w:pPr>
              <w:spacing w:after="40"/>
            </w:pPr>
            <w:r>
              <w:rPr>
                <w:rFonts w:ascii="Times New Roman" w:hAnsi="Times New Roman"/>
                <w:sz w:val="19"/>
              </w:rPr>
              <w:t>Viking MDIM 2.1 band 1 (red)</w:t>
            </w:r>
          </w:p>
        </w:tc>
        <w:tc>
          <w:tcPr>
            <w:tcW w:type="dxa" w:w="1471"/>
          </w:tcPr>
          <w:p>
            <w:pPr>
              <w:spacing w:after="40"/>
            </w:pPr>
            <w:r>
              <w:rPr>
                <w:rFonts w:ascii="Times New Roman" w:hAnsi="Times New Roman"/>
                <w:sz w:val="19"/>
              </w:rPr>
              <w:t>≈ 0.59 µm</w:t>
            </w:r>
          </w:p>
        </w:tc>
        <w:tc>
          <w:tcPr>
            <w:tcW w:type="dxa" w:w="5750"/>
          </w:tcPr>
          <w:p>
            <w:pPr>
              <w:spacing w:after="40"/>
            </w:pPr>
            <w:r>
              <w:rPr>
                <w:rFonts w:ascii="Times New Roman" w:hAnsi="Times New Roman"/>
                <w:sz w:val="19"/>
              </w:rPr>
              <w:t>Best contrast between ferric dust and darker basaltic surfaces</w:t>
            </w:r>
          </w:p>
        </w:tc>
      </w:tr>
      <w:tr>
        <w:trPr>
          <w:cantSplit/>
        </w:trPr>
        <w:tc>
          <w:tcPr>
            <w:tcW w:type="dxa" w:w="2139"/>
          </w:tcPr>
          <w:p>
            <w:pPr>
              <w:spacing w:after="40"/>
            </w:pPr>
            <w:r>
              <w:rPr>
                <w:rFonts w:ascii="Times New Roman" w:hAnsi="Times New Roman"/>
                <w:sz w:val="19"/>
              </w:rPr>
              <w:t>Viking MDIM 2.1 bands 1/2/3</w:t>
            </w:r>
          </w:p>
        </w:tc>
        <w:tc>
          <w:tcPr>
            <w:tcW w:type="dxa" w:w="1471"/>
          </w:tcPr>
          <w:p>
            <w:pPr>
              <w:spacing w:after="40"/>
            </w:pPr>
            <w:r>
              <w:rPr>
                <w:rFonts w:ascii="Times New Roman" w:hAnsi="Times New Roman"/>
                <w:sz w:val="19"/>
              </w:rPr>
              <w:t>visible RGB</w:t>
            </w:r>
          </w:p>
        </w:tc>
        <w:tc>
          <w:tcPr>
            <w:tcW w:type="dxa" w:w="5750"/>
          </w:tcPr>
          <w:p>
            <w:pPr>
              <w:spacing w:after="40"/>
            </w:pPr>
            <w:r>
              <w:rPr>
                <w:rFonts w:ascii="Times New Roman" w:hAnsi="Times New Roman"/>
                <w:sz w:val="19"/>
              </w:rPr>
              <w:t>Natural-colour context and unit boundary confirmation; currently displayed with a 0.5% min-max stretch</w:t>
            </w:r>
          </w:p>
        </w:tc>
      </w:tr>
      <w:tr>
        <w:trPr>
          <w:cantSplit/>
        </w:trPr>
        <w:tc>
          <w:tcPr>
            <w:tcW w:type="dxa" w:w="2139"/>
          </w:tcPr>
          <w:p>
            <w:pPr>
              <w:spacing w:after="40"/>
            </w:pPr>
            <w:r>
              <w:rPr>
                <w:rFonts w:ascii="Times New Roman" w:hAnsi="Times New Roman"/>
                <w:sz w:val="19"/>
              </w:rPr>
              <w:t>HRSC/MOLA elevation</w:t>
            </w:r>
          </w:p>
        </w:tc>
        <w:tc>
          <w:tcPr>
            <w:tcW w:type="dxa" w:w="1471"/>
          </w:tcPr>
          <w:p>
            <w:pPr>
              <w:spacing w:after="40"/>
            </w:pPr>
            <w:r>
              <w:rPr>
                <w:rFonts w:ascii="Times New Roman" w:hAnsi="Times New Roman"/>
                <w:sz w:val="19"/>
              </w:rPr>
              <w:t>n/a (altimetry)</w:t>
            </w:r>
          </w:p>
        </w:tc>
        <w:tc>
          <w:tcPr>
            <w:tcW w:type="dxa" w:w="5750"/>
          </w:tcPr>
          <w:p>
            <w:pPr>
              <w:spacing w:after="40"/>
            </w:pPr>
            <w:r>
              <w:rPr>
                <w:rFonts w:ascii="Times New Roman" w:hAnsi="Times New Roman"/>
                <w:sz w:val="19"/>
              </w:rPr>
              <w:t>Absolute elevation; the vertical reference for every channel gradient measured</w:t>
            </w:r>
          </w:p>
        </w:tc>
      </w:tr>
      <w:tr>
        <w:trPr>
          <w:cantSplit/>
        </w:trPr>
        <w:tc>
          <w:tcPr>
            <w:tcW w:type="dxa" w:w="2139"/>
          </w:tcPr>
          <w:p>
            <w:pPr>
              <w:spacing w:after="40"/>
            </w:pPr>
            <w:r>
              <w:rPr>
                <w:rFonts w:ascii="Times New Roman" w:hAnsi="Times New Roman"/>
                <w:sz w:val="19"/>
              </w:rPr>
              <w:t>Derived: slope, percent rise</w:t>
            </w:r>
          </w:p>
        </w:tc>
        <w:tc>
          <w:tcPr>
            <w:tcW w:type="dxa" w:w="1471"/>
          </w:tcPr>
          <w:p>
            <w:pPr>
              <w:spacing w:after="40"/>
            </w:pPr>
            <w:r>
              <w:rPr>
                <w:rFonts w:ascii="Times New Roman" w:hAnsi="Times New Roman"/>
                <w:sz w:val="19"/>
              </w:rPr>
              <w:t>from elevation</w:t>
            </w:r>
          </w:p>
        </w:tc>
        <w:tc>
          <w:tcPr>
            <w:tcW w:type="dxa" w:w="5750"/>
          </w:tcPr>
          <w:p>
            <w:pPr>
              <w:spacing w:after="40"/>
            </w:pPr>
            <w:r>
              <w:rPr>
                <w:rFonts w:ascii="Times New Roman" w:hAnsi="Times New Roman"/>
                <w:sz w:val="19"/>
              </w:rPr>
              <w:t>Terrain slope for channel gradients and flow-front steepness</w:t>
            </w:r>
          </w:p>
        </w:tc>
      </w:tr>
      <w:tr>
        <w:trPr>
          <w:cantSplit/>
        </w:trPr>
        <w:tc>
          <w:tcPr>
            <w:tcW w:type="dxa" w:w="2139"/>
          </w:tcPr>
          <w:p>
            <w:pPr>
              <w:spacing w:after="40"/>
            </w:pPr>
            <w:r>
              <w:rPr>
                <w:rFonts w:ascii="Times New Roman" w:hAnsi="Times New Roman"/>
                <w:sz w:val="19"/>
              </w:rPr>
              <w:t>Derived: hillshade 225°/45°</w:t>
            </w:r>
          </w:p>
        </w:tc>
        <w:tc>
          <w:tcPr>
            <w:tcW w:type="dxa" w:w="1471"/>
          </w:tcPr>
          <w:p>
            <w:pPr>
              <w:spacing w:after="40"/>
            </w:pPr>
            <w:r>
              <w:rPr>
                <w:rFonts w:ascii="Times New Roman" w:hAnsi="Times New Roman"/>
                <w:sz w:val="19"/>
              </w:rPr>
              <w:t>from elevation</w:t>
            </w:r>
          </w:p>
        </w:tc>
        <w:tc>
          <w:tcPr>
            <w:tcW w:type="dxa" w:w="5750"/>
          </w:tcPr>
          <w:p>
            <w:pPr>
              <w:spacing w:after="40"/>
            </w:pPr>
            <w:r>
              <w:rPr>
                <w:rFonts w:ascii="Times New Roman" w:hAnsi="Times New Roman"/>
                <w:sz w:val="19"/>
              </w:rPr>
              <w:t>Shaded relief for visual interpretation of flow lobes and crater rims</w:t>
            </w:r>
          </w:p>
        </w:tc>
      </w:tr>
      <w:tr>
        <w:trPr>
          <w:cantSplit/>
        </w:trPr>
        <w:tc>
          <w:tcPr>
            <w:tcW w:type="dxa" w:w="2139"/>
          </w:tcPr>
          <w:p>
            <w:pPr>
              <w:spacing w:after="40"/>
            </w:pPr>
            <w:r>
              <w:rPr>
                <w:rFonts w:ascii="Times New Roman" w:hAnsi="Times New Roman"/>
                <w:sz w:val="19"/>
              </w:rPr>
              <w:t>Derived: THEMIS DN gradient</w:t>
            </w:r>
          </w:p>
        </w:tc>
        <w:tc>
          <w:tcPr>
            <w:tcW w:type="dxa" w:w="1471"/>
          </w:tcPr>
          <w:p>
            <w:pPr>
              <w:spacing w:after="40"/>
            </w:pPr>
            <w:r>
              <w:rPr>
                <w:rFonts w:ascii="Times New Roman" w:hAnsi="Times New Roman"/>
                <w:sz w:val="19"/>
              </w:rPr>
              <w:t>from thermal IR</w:t>
            </w:r>
          </w:p>
        </w:tc>
        <w:tc>
          <w:tcPr>
            <w:tcW w:type="dxa" w:w="5750"/>
          </w:tcPr>
          <w:p>
            <w:pPr>
              <w:spacing w:after="40"/>
            </w:pPr>
            <w:r>
              <w:rPr>
                <w:rFonts w:ascii="Times New Roman" w:hAnsi="Times New Roman"/>
                <w:sz w:val="19"/>
              </w:rPr>
              <w:t>Edge and texture measure — highlights thermal boundaries at flow margins</w:t>
            </w:r>
          </w:p>
        </w:tc>
      </w:tr>
      <w:tr>
        <w:trPr>
          <w:cantSplit/>
        </w:trPr>
        <w:tc>
          <w:tcPr>
            <w:tcW w:type="dxa" w:w="2139"/>
          </w:tcPr>
          <w:p>
            <w:pPr>
              <w:spacing w:after="40"/>
            </w:pPr>
            <w:r>
              <w:rPr>
                <w:rFonts w:ascii="Times New Roman" w:hAnsi="Times New Roman"/>
                <w:sz w:val="19"/>
              </w:rPr>
              <w:t>Derived: Viking DN gradient</w:t>
            </w:r>
          </w:p>
        </w:tc>
        <w:tc>
          <w:tcPr>
            <w:tcW w:type="dxa" w:w="1471"/>
          </w:tcPr>
          <w:p>
            <w:pPr>
              <w:spacing w:after="40"/>
            </w:pPr>
            <w:r>
              <w:rPr>
                <w:rFonts w:ascii="Times New Roman" w:hAnsi="Times New Roman"/>
                <w:sz w:val="19"/>
              </w:rPr>
              <w:t>from visible</w:t>
            </w:r>
          </w:p>
        </w:tc>
        <w:tc>
          <w:tcPr>
            <w:tcW w:type="dxa" w:w="5750"/>
          </w:tcPr>
          <w:p>
            <w:pPr>
              <w:spacing w:after="40"/>
            </w:pPr>
            <w:r>
              <w:rPr>
                <w:rFonts w:ascii="Times New Roman" w:hAnsi="Times New Roman"/>
                <w:sz w:val="19"/>
              </w:rPr>
              <w:t>Edge and texture measure — highlights albedo boundaries and crater rims</w:t>
            </w:r>
          </w:p>
        </w:tc>
      </w:tr>
      <w:tr>
        <w:trPr>
          <w:cantSplit/>
        </w:trPr>
        <w:tc>
          <w:tcPr>
            <w:tcW w:type="dxa" w:w="2139"/>
          </w:tcPr>
          <w:p>
            <w:pPr>
              <w:spacing w:after="40"/>
            </w:pPr>
            <w:r>
              <w:rPr>
                <w:rFonts w:ascii="Times New Roman" w:hAnsi="Times New Roman"/>
                <w:sz w:val="19"/>
              </w:rPr>
              <w:t>Planned: THEMIS day − night</w:t>
            </w:r>
          </w:p>
        </w:tc>
        <w:tc>
          <w:tcPr>
            <w:tcW w:type="dxa" w:w="1471"/>
          </w:tcPr>
          <w:p>
            <w:pPr>
              <w:spacing w:after="40"/>
            </w:pPr>
            <w:r>
              <w:rPr>
                <w:rFonts w:ascii="Times New Roman" w:hAnsi="Times New Roman"/>
                <w:sz w:val="19"/>
              </w:rPr>
              <w:t>6.8–14.9 µm</w:t>
            </w:r>
          </w:p>
        </w:tc>
        <w:tc>
          <w:tcPr>
            <w:tcW w:type="dxa" w:w="5750"/>
          </w:tcPr>
          <w:p>
            <w:pPr>
              <w:spacing w:after="40"/>
            </w:pPr>
            <w:r>
              <w:rPr>
                <w:rFonts w:ascii="Times New Roman" w:hAnsi="Times New Roman"/>
                <w:sz w:val="19"/>
              </w:rPr>
              <w:t>Thermal inertia proxy; requires the night mosaic to be acquired</w:t>
            </w:r>
          </w:p>
        </w:tc>
      </w:tr>
    </w:tbl>
    <w:p>
      <w:pPr>
        <w:spacing w:after="40" w:before="0"/>
      </w:pPr>
    </w:p>
    <w:p>
      <w:pPr>
        <w:keepNext/>
        <w:spacing w:after="80" w:before="120"/>
      </w:pPr>
      <w:r>
        <w:rPr>
          <w:rFonts w:ascii="Times New Roman" w:hAnsi="Times New Roman"/>
          <w:b/>
          <w:i w:val="0"/>
          <w:sz w:val="24"/>
        </w:rPr>
        <w:t>By spectral region: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shd w:val="clear" w:fill="DCDCDC"/>
          </w:tcPr>
          <w:p>
            <w:pPr>
              <w:spacing w:after="40"/>
            </w:pPr>
            <w:r>
              <w:rPr>
                <w:rFonts w:ascii="Times New Roman" w:hAnsi="Times New Roman"/>
                <w:b/>
                <w:sz w:val="20"/>
              </w:rPr>
              <w:t>Region</w:t>
            </w:r>
          </w:p>
        </w:tc>
        <w:tc>
          <w:tcPr>
            <w:tcW w:type="dxa" w:w="1728"/>
            <w:shd w:val="clear" w:fill="DCDCDC"/>
          </w:tcPr>
          <w:p>
            <w:pPr>
              <w:spacing w:after="40"/>
            </w:pPr>
            <w:r>
              <w:rPr>
                <w:rFonts w:ascii="Times New Roman" w:hAnsi="Times New Roman"/>
                <w:b/>
                <w:sz w:val="20"/>
              </w:rPr>
              <w:t>Wavelength</w:t>
            </w:r>
          </w:p>
        </w:tc>
        <w:tc>
          <w:tcPr>
            <w:tcW w:type="dxa" w:w="6480"/>
            <w:shd w:val="clear" w:fill="DCDCDC"/>
          </w:tcPr>
          <w:p>
            <w:pPr>
              <w:spacing w:after="40"/>
            </w:pPr>
            <w:r>
              <w:rPr>
                <w:rFonts w:ascii="Times New Roman" w:hAnsi="Times New Roman"/>
                <w:b/>
                <w:sz w:val="20"/>
              </w:rPr>
              <w:t>What it contributes</w:t>
            </w:r>
          </w:p>
        </w:tc>
      </w:tr>
      <w:tr>
        <w:trPr>
          <w:cantSplit/>
        </w:trPr>
        <w:tc>
          <w:tcPr>
            <w:tcW w:type="dxa" w:w="1152"/>
          </w:tcPr>
          <w:p>
            <w:pPr>
              <w:spacing w:after="40"/>
            </w:pPr>
            <w:r>
              <w:rPr>
                <w:rFonts w:ascii="Times New Roman" w:hAnsi="Times New Roman"/>
                <w:sz w:val="20"/>
              </w:rPr>
              <w:t>Visible</w:t>
            </w:r>
          </w:p>
        </w:tc>
        <w:tc>
          <w:tcPr>
            <w:tcW w:type="dxa" w:w="1728"/>
          </w:tcPr>
          <w:p>
            <w:pPr>
              <w:spacing w:after="40"/>
            </w:pPr>
            <w:r>
              <w:rPr>
                <w:rFonts w:ascii="Times New Roman" w:hAnsi="Times New Roman"/>
                <w:sz w:val="20"/>
              </w:rPr>
              <w:t>0.4 – 0.7 µm</w:t>
            </w:r>
          </w:p>
        </w:tc>
        <w:tc>
          <w:tcPr>
            <w:tcW w:type="dxa" w:w="6480"/>
          </w:tcPr>
          <w:p>
            <w:pPr>
              <w:spacing w:after="40"/>
            </w:pPr>
            <w:r>
              <w:rPr>
                <w:rFonts w:ascii="Times New Roman" w:hAnsi="Times New Roman"/>
                <w:sz w:val="20"/>
              </w:rPr>
              <w:t>Viking MDIM 2.1 colour. Morphology, albedo contrast, and shadow relief; the ferric absorption edge separates bright dust from darker basaltic surfaces.</w:t>
            </w:r>
          </w:p>
        </w:tc>
      </w:tr>
      <w:tr>
        <w:trPr>
          <w:cantSplit/>
        </w:trPr>
        <w:tc>
          <w:tcPr>
            <w:tcW w:type="dxa" w:w="1152"/>
          </w:tcPr>
          <w:p>
            <w:pPr>
              <w:spacing w:after="40"/>
            </w:pPr>
            <w:r>
              <w:rPr>
                <w:rFonts w:ascii="Times New Roman" w:hAnsi="Times New Roman"/>
                <w:sz w:val="20"/>
              </w:rPr>
              <w:t>Thermal IR</w:t>
            </w:r>
          </w:p>
        </w:tc>
        <w:tc>
          <w:tcPr>
            <w:tcW w:type="dxa" w:w="1728"/>
          </w:tcPr>
          <w:p>
            <w:pPr>
              <w:spacing w:after="40"/>
            </w:pPr>
            <w:r>
              <w:rPr>
                <w:rFonts w:ascii="Times New Roman" w:hAnsi="Times New Roman"/>
                <w:sz w:val="20"/>
              </w:rPr>
              <w:t>6.8 – 14.9 µm</w:t>
            </w:r>
          </w:p>
        </w:tc>
        <w:tc>
          <w:tcPr>
            <w:tcW w:type="dxa" w:w="6480"/>
          </w:tcPr>
          <w:p>
            <w:pPr>
              <w:spacing w:after="40"/>
            </w:pPr>
            <w:r>
              <w:rPr>
                <w:rFonts w:ascii="Times New Roman" w:hAnsi="Times New Roman"/>
                <w:sz w:val="20"/>
              </w:rPr>
              <w:t>THEMIS Day IR. Daytime brightness temperature carries both morphology and silicate composition through the Si–O reststrahlen bands.</w:t>
            </w:r>
          </w:p>
        </w:tc>
      </w:tr>
      <w:tr>
        <w:trPr>
          <w:cantSplit/>
        </w:trPr>
        <w:tc>
          <w:tcPr>
            <w:tcW w:type="dxa" w:w="1152"/>
          </w:tcPr>
          <w:p>
            <w:pPr>
              <w:spacing w:after="40"/>
            </w:pPr>
            <w:r>
              <w:rPr>
                <w:rFonts w:ascii="Times New Roman" w:hAnsi="Times New Roman"/>
                <w:sz w:val="20"/>
              </w:rPr>
              <w:t>Thermal IR (night)</w:t>
            </w:r>
          </w:p>
        </w:tc>
        <w:tc>
          <w:tcPr>
            <w:tcW w:type="dxa" w:w="1728"/>
          </w:tcPr>
          <w:p>
            <w:pPr>
              <w:spacing w:after="40"/>
            </w:pPr>
            <w:r>
              <w:rPr>
                <w:rFonts w:ascii="Times New Roman" w:hAnsi="Times New Roman"/>
                <w:sz w:val="20"/>
              </w:rPr>
              <w:t>6.8 – 14.9 µm</w:t>
            </w:r>
          </w:p>
        </w:tc>
        <w:tc>
          <w:tcPr>
            <w:tcW w:type="dxa" w:w="6480"/>
          </w:tcPr>
          <w:p>
            <w:pPr>
              <w:spacing w:after="40"/>
            </w:pPr>
            <w:r>
              <w:rPr>
                <w:rFonts w:ascii="Times New Roman" w:hAnsi="Times New Roman"/>
                <w:sz w:val="20"/>
              </w:rPr>
              <w:t>THEMIS Night IR — not yet acquired. Paired with the day mosaic it yields thermal inertia, the single best dust-versus-bedrock discriminator from orbit.</w:t>
            </w:r>
          </w:p>
        </w:tc>
      </w:tr>
      <w:tr>
        <w:trPr>
          <w:cantSplit/>
        </w:trPr>
        <w:tc>
          <w:tcPr>
            <w:tcW w:type="dxa" w:w="1152"/>
          </w:tcPr>
          <w:p>
            <w:pPr>
              <w:spacing w:after="40"/>
            </w:pPr>
            <w:r>
              <w:rPr>
                <w:rFonts w:ascii="Times New Roman" w:hAnsi="Times New Roman"/>
                <w:sz w:val="20"/>
              </w:rPr>
              <w:t>Laser altimetry</w:t>
            </w:r>
          </w:p>
        </w:tc>
        <w:tc>
          <w:tcPr>
            <w:tcW w:type="dxa" w:w="1728"/>
          </w:tcPr>
          <w:p>
            <w:pPr>
              <w:spacing w:after="40"/>
            </w:pPr>
            <w:r>
              <w:rPr>
                <w:rFonts w:ascii="Times New Roman" w:hAnsi="Times New Roman"/>
                <w:sz w:val="20"/>
              </w:rPr>
              <w:t>1064 nm (active)</w:t>
            </w:r>
          </w:p>
        </w:tc>
        <w:tc>
          <w:tcPr>
            <w:tcW w:type="dxa" w:w="6480"/>
          </w:tcPr>
          <w:p>
            <w:pPr>
              <w:spacing w:after="40"/>
            </w:pPr>
            <w:r>
              <w:rPr>
                <w:rFonts w:ascii="Times New Roman" w:hAnsi="Times New Roman"/>
                <w:sz w:val="20"/>
              </w:rPr>
              <w:t>HRSC/MOLA blended DEM. Not passive imaging, but it supplies the slope, gradient, and drainage context that separates channels from albedo streaks.</w:t>
            </w:r>
          </w:p>
        </w:tc>
      </w:tr>
    </w:tbl>
    <w:p>
      <w:pPr>
        <w:spacing w:after="40" w:before="0"/>
      </w:pPr>
    </w:p>
    <w:p>
      <w:pPr>
        <w:keepNext/>
        <w:spacing w:after="120" w:before="240"/>
      </w:pPr>
      <w:r>
        <w:rPr>
          <w:rFonts w:ascii="Times New Roman" w:hAnsi="Times New Roman"/>
          <w:b/>
          <w:i w:val="0"/>
          <w:sz w:val="24"/>
        </w:rPr>
        <w:t>Preliminary results</w:t>
      </w:r>
    </w:p>
    <w:p>
      <w:pPr>
        <w:spacing w:after="120" w:before="0"/>
      </w:pPr>
      <w:r>
        <w:rPr>
          <w:rFonts w:ascii="Times New Roman" w:hAnsi="Times New Roman"/>
          <w:b w:val="0"/>
          <w:i/>
          <w:sz w:val="22"/>
        </w:rPr>
        <w:t>Every figure above was read from the project files themselves — raster statistics, geoprocessing lineage, and tool logs on Z:.</w:t>
      </w:r>
    </w:p>
    <w:p>
      <w:pPr>
        <w:pStyle w:val="ListBullet"/>
        <w:spacing w:after="80"/>
      </w:pPr>
      <w:r>
        <w:rPr>
          <w:rFonts w:ascii="Times New Roman" w:hAnsi="Times New Roman"/>
          <w:b/>
          <w:sz w:val="24"/>
        </w:rPr>
        <w:t xml:space="preserve">Three global rasters loaded and characterized. </w:t>
      </w:r>
      <w:r>
        <w:rPr>
          <w:rFonts w:ascii="Times New Roman" w:hAnsi="Times New Roman"/>
          <w:sz w:val="24"/>
        </w:rPr>
        <w:t>THEMIS Day IR v12 at 100 m (22.14 billion valid pixels, DN 1–255, mean 125.7, σ 34.4), Viking MDIM 2.1 colour at 232 m (92,160 × 46,080), and the HRSC/MOLA blended DEM at 200 m. 43.7 GB of source imagery, with statistics built on all three; pyramids are not built on any of them.</w:t>
      </w:r>
    </w:p>
    <w:p>
      <w:pPr>
        <w:pStyle w:val="ListBullet"/>
        <w:spacing w:after="80"/>
      </w:pPr>
      <w:r>
        <w:rPr>
          <w:rFonts w:ascii="Times New Roman" w:hAnsi="Times New Roman"/>
          <w:b/>
          <w:sz w:val="24"/>
        </w:rPr>
        <w:t xml:space="preserve">Global relief measured directly from the DEM. </w:t>
      </w:r>
      <w:r>
        <w:rPr>
          <w:rFonts w:ascii="Times New Roman" w:hAnsi="Times New Roman"/>
          <w:sz w:val="24"/>
        </w:rPr>
        <w:t>Elevation ranges from −8,528 m to +21,226 m — a total relief of 29,754 m — with a mean of −720.5 m and σ of 2,976 m. The extremes fall where expected, at the Hellas basin floor and the Olympus Mons summit, which is a first confirmation that the DEM is correctly georeferenced.</w:t>
      </w:r>
    </w:p>
    <w:p>
      <w:pPr>
        <w:pStyle w:val="ListBullet"/>
        <w:spacing w:after="80"/>
      </w:pPr>
      <w:r>
        <w:rPr>
          <w:rFonts w:ascii="Times New Roman" w:hAnsi="Times New Roman"/>
          <w:b/>
          <w:sz w:val="24"/>
        </w:rPr>
        <w:t xml:space="preserve">Terrain derivatives built. </w:t>
      </w:r>
      <w:r>
        <w:rPr>
          <w:rFonts w:ascii="Times New Roman" w:hAnsi="Times New Roman"/>
          <w:sz w:val="24"/>
        </w:rPr>
        <w:t>Slope (percent rise) and hillshade (azimuth 225°, altitude 45°, shadows on) from the DEM, in 7 min 15 s and 11 min 42 s. Both currently carry WARNING 000869 and will be rebuilt on a projected DEM before any measurement is taken from them.</w:t>
      </w:r>
    </w:p>
    <w:p>
      <w:pPr>
        <w:pStyle w:val="ListBullet"/>
        <w:spacing w:after="80"/>
      </w:pPr>
      <w:r>
        <w:rPr>
          <w:rFonts w:ascii="Times New Roman" w:hAnsi="Times New Roman"/>
          <w:b/>
          <w:sz w:val="24"/>
        </w:rPr>
        <w:t xml:space="preserve">Gradient products built from both image mosaics. </w:t>
      </w:r>
      <w:r>
        <w:rPr>
          <w:rFonts w:ascii="Times New Roman" w:hAnsi="Times New Roman"/>
          <w:sz w:val="24"/>
        </w:rPr>
        <w:t>Slope was run on the THEMIS and Viking rasters, giving DN gradient rather than terrain slope — an edge and texture measure. Surface Parameters was also run on the Viking mosaic with a quadratic fit over a 231.54 m fixed neighborhood, taking 1 h 26 min 45 s.</w:t>
      </w:r>
    </w:p>
    <w:p>
      <w:pPr>
        <w:pStyle w:val="ListBullet"/>
        <w:spacing w:after="80"/>
      </w:pPr>
      <w:r>
        <w:rPr>
          <w:rFonts w:ascii="Times New Roman" w:hAnsi="Times New Roman"/>
          <w:b/>
          <w:sz w:val="24"/>
        </w:rPr>
        <w:t xml:space="preserve">Classification workflow proven on another body. </w:t>
      </w:r>
      <w:r>
        <w:rPr>
          <w:rFonts w:ascii="Times New Roman" w:hAnsi="Times New Roman"/>
          <w:sz w:val="24"/>
        </w:rPr>
        <w:t>Iso Cluster with 10 classes followed by Maximum Likelihood, plus Segment Mean Shift (spectral 20, spatial 20, minimum segment 5 px), ran successfully end to end on the Mercury MESSENGER MDIS basemap. The method is proven; it has not yet been applied to the Mars stack.</w:t>
      </w:r>
    </w:p>
    <w:p>
      <w:pPr>
        <w:pStyle w:val="ListBullet"/>
        <w:spacing w:after="80"/>
      </w:pPr>
      <w:r>
        <w:rPr>
          <w:rFonts w:ascii="Times New Roman" w:hAnsi="Times New Roman"/>
          <w:b/>
          <w:sz w:val="24"/>
        </w:rPr>
        <w:t xml:space="preserve">One type area set up. </w:t>
      </w:r>
      <w:r>
        <w:rPr>
          <w:rFonts w:ascii="Times New Roman" w:hAnsi="Times New Roman"/>
          <w:sz w:val="24"/>
        </w:rPr>
        <w:t>The mosaic viewer is parked over western Valles Marineris (about 271–286°E, 6–13°S) — Ius Chasma and the Louros Valles tributaries on its south wall. A second map covers Jezero Crater, but it carries only hosted Perseverance rover services; no imagery of Jezero is held locally.</w:t>
      </w:r>
    </w:p>
    <w:p>
      <w:pPr>
        <w:keepNext/>
        <w:spacing w:after="120" w:before="240"/>
      </w:pPr>
      <w:r>
        <w:rPr>
          <w:rFonts w:ascii="Times New Roman" w:hAnsi="Times New Roman"/>
          <w:b/>
          <w:i w:val="0"/>
          <w:sz w:val="24"/>
        </w:rPr>
        <w:t>Project issues and hurdles</w:t>
      </w:r>
    </w:p>
    <w:p>
      <w:pPr>
        <w:pStyle w:val="ListBullet"/>
        <w:spacing w:after="80"/>
      </w:pPr>
      <w:r>
        <w:rPr>
          <w:rFonts w:ascii="Times New Roman" w:hAnsi="Times New Roman"/>
          <w:b/>
          <w:sz w:val="24"/>
        </w:rPr>
        <w:t xml:space="preserve">The project spans three coordinate frames. </w:t>
      </w:r>
      <w:r>
        <w:rPr>
          <w:rFonts w:ascii="Times New Roman" w:hAnsi="Times New Roman"/>
          <w:sz w:val="24"/>
        </w:rPr>
        <w:t>The DEM and its derivatives are in GCS_Mars_2000_Sphere (degrees). Viking and THEMIS are both SimpleCylindrical_Mars in metres, but on central meridians 0° and 180° respectively — the THEMIS grid runs 0–360°E, the other two −180–180°E. Read at face value the THEMIS window lands half a planet from the others. This is the root cause of both problems below. Fix: project everything into one frame and check the meridian, not just the units.</w:t>
      </w:r>
    </w:p>
    <w:p>
      <w:pPr>
        <w:pStyle w:val="ListBullet"/>
        <w:spacing w:after="80"/>
      </w:pPr>
      <w:r>
        <w:rPr>
          <w:rFonts w:ascii="Times New Roman" w:hAnsi="Times New Roman"/>
          <w:b/>
          <w:sz w:val="24"/>
        </w:rPr>
        <w:t xml:space="preserve">Terrain derivatives carry an invalid z-factor. </w:t>
      </w:r>
      <w:r>
        <w:rPr>
          <w:rFonts w:ascii="Times New Roman" w:hAnsi="Times New Roman"/>
          <w:sz w:val="24"/>
        </w:rPr>
        <w:t>Both DEM runs returned WARNING 000869 — metres of elevation against degrees of horizontal distance, default z-factor 1. Slope_Mars_H1 and HillSha_Mars1 are fine for display, not for measurement. They will be rebuilt after projection.</w:t>
      </w:r>
    </w:p>
    <w:p>
      <w:pPr>
        <w:pStyle w:val="ListBullet"/>
        <w:spacing w:after="80"/>
      </w:pPr>
      <w:r>
        <w:rPr>
          <w:rFonts w:ascii="Times New Roman" w:hAnsi="Times New Roman"/>
          <w:b/>
          <w:sz w:val="24"/>
        </w:rPr>
        <w:t xml:space="preserve">Composite Bands has failed three times. </w:t>
      </w:r>
      <w:r>
        <w:rPr>
          <w:rFonts w:ascii="Times New Roman" w:hAnsi="Times New Roman"/>
          <w:sz w:val="24"/>
        </w:rPr>
        <w:t>Three attempts on 9 September, abandoned after 47 min 57 s, 1 min 41 s, and 1 h 14 min 51 s. The visible + IR composite is the centrepiece of the project and does not yet exist. Plan: project to a common CRS and cell size, then run over bounded extents instead of the full globe.</w:t>
      </w:r>
    </w:p>
    <w:p>
      <w:pPr>
        <w:pStyle w:val="ListBullet"/>
        <w:spacing w:after="80"/>
      </w:pPr>
      <w:r>
        <w:rPr>
          <w:rFonts w:ascii="Times New Roman" w:hAnsi="Times New Roman"/>
          <w:b/>
          <w:sz w:val="24"/>
        </w:rPr>
        <w:t xml:space="preserve">No GPU acceleration on this machine. </w:t>
      </w:r>
      <w:r>
        <w:rPr>
          <w:rFonts w:ascii="Times New Roman" w:hAnsi="Times New Roman"/>
          <w:sz w:val="24"/>
        </w:rPr>
        <w:t>The Viking slope run requested GPU_THEN_CPU and logged 'No compatible GPU device has been detected', completing on CPU in 1 h 05 min. Every global run is CPU-bound, so processing time is effectively the project schedule.</w:t>
      </w:r>
    </w:p>
    <w:p>
      <w:pPr>
        <w:pStyle w:val="ListBullet"/>
        <w:spacing w:after="80"/>
      </w:pPr>
      <w:r>
        <w:rPr>
          <w:rFonts w:ascii="Times New Roman" w:hAnsi="Times New Roman"/>
          <w:b/>
          <w:sz w:val="24"/>
        </w:rPr>
        <w:t xml:space="preserve">Thermal inertia is blocked on a missing dataset. </w:t>
      </w:r>
      <w:r>
        <w:rPr>
          <w:rFonts w:ascii="Times New Roman" w:hAnsi="Times New Roman"/>
          <w:sz w:val="24"/>
        </w:rPr>
        <w:t>Only the THEMIS day mosaic is held. The dust-versus-bedrock argument needs the night mosaic for a diurnal difference. Same source and format as the day mosaic, so this is a download rather than a redesign — but it has not been done.</w:t>
      </w:r>
    </w:p>
    <w:p>
      <w:pPr>
        <w:pStyle w:val="ListBullet"/>
        <w:spacing w:after="80"/>
      </w:pPr>
      <w:r>
        <w:rPr>
          <w:rFonts w:ascii="Times New Roman" w:hAnsi="Times New Roman"/>
          <w:b/>
          <w:sz w:val="24"/>
        </w:rPr>
        <w:t xml:space="preserve">The crater layers cannot support crater dating. </w:t>
      </w:r>
      <w:r>
        <w:rPr>
          <w:rFonts w:ascii="Times New Roman" w:hAnsi="Times New Roman"/>
          <w:sz w:val="24"/>
        </w:rPr>
        <w:t>The IAU nomenclature gives 141 named craters above 100 km and 972 below. That is a gazetteer, not a crater-count inventory, and size-frequency dating cannot be done from it. Craters must be digitized in the type area or a catalogue imported.</w:t>
      </w:r>
    </w:p>
    <w:p>
      <w:pPr>
        <w:pStyle w:val="ListBullet"/>
        <w:spacing w:after="80"/>
      </w:pPr>
      <w:r>
        <w:rPr>
          <w:rFonts w:ascii="Times New Roman" w:hAnsi="Times New Roman"/>
          <w:b/>
          <w:sz w:val="24"/>
        </w:rPr>
        <w:t xml:space="preserve">Three dead raster references. </w:t>
      </w:r>
      <w:r>
        <w:rPr>
          <w:rFonts w:ascii="Times New Roman" w:hAnsi="Times New Roman"/>
          <w:sz w:val="24"/>
        </w:rPr>
        <w:t>The Jezero HiRISE orthomosaic, the Mercury MESSENGER basemap, and the Enceladus DEM are still referenced by their maps, but none of those files is on the drive. The three global rasters are the whole of the held imagery. None of the three is needed for the plan as scoped; they should be removed so the project opens clean.</w:t>
      </w:r>
    </w:p>
    <w:p>
      <w:pPr>
        <w:pStyle w:val="ListBullet"/>
        <w:spacing w:after="80"/>
      </w:pPr>
      <w:r>
        <w:rPr>
          <w:rFonts w:ascii="Times New Roman" w:hAnsi="Times New Roman"/>
          <w:b/>
          <w:sz w:val="24"/>
        </w:rPr>
        <w:t xml:space="preserve">Housekeeping. </w:t>
      </w:r>
      <w:r>
        <w:rPr>
          <w:rFonts w:ascii="Times New Roman" w:hAnsi="Times New Roman"/>
          <w:sz w:val="24"/>
        </w:rPr>
        <w:t>The nomenclature layers were imported more than once — 14 feature classes where five would do (_2 and _3 duplicates of four of them, _2 of the fifth) — and no map layouts exist in the project yet. Neither blocks analysis, but both need clearing before the final deliverables.</w:t>
      </w:r>
    </w:p>
    <w:p>
      <w:pPr>
        <w:keepNext/>
        <w:spacing w:after="120" w:before="240"/>
      </w:pPr>
      <w:r>
        <w:rPr>
          <w:rFonts w:ascii="Times New Roman" w:hAnsi="Times New Roman"/>
          <w:b/>
          <w:i w:val="0"/>
          <w:sz w:val="24"/>
        </w:rPr>
        <w:t>Remaining work and schedule status</w:t>
      </w:r>
    </w:p>
    <w:p>
      <w:pPr>
        <w:pStyle w:val="ListBullet"/>
        <w:spacing w:after="80"/>
      </w:pPr>
      <w:r>
        <w:rPr>
          <w:rFonts w:ascii="Times New Roman" w:hAnsi="Times New Roman"/>
          <w:sz w:val="24"/>
        </w:rPr>
        <w:t>Project all three global rasters into one SimpleCylindrical_Mars frame at a common cell size and a common central meridian — THEMIS is on 180° and the other two on 0°. This unblocks everything else.</w:t>
      </w:r>
    </w:p>
    <w:p>
      <w:pPr>
        <w:pStyle w:val="ListBullet"/>
        <w:spacing w:after="80"/>
      </w:pPr>
      <w:r>
        <w:rPr>
          <w:rFonts w:ascii="Times New Roman" w:hAnsi="Times New Roman"/>
          <w:sz w:val="24"/>
        </w:rPr>
        <w:t>Rebuild Slope and Hillshade on the projected DEM so the z-factor is valid.</w:t>
      </w:r>
    </w:p>
    <w:p>
      <w:pPr>
        <w:pStyle w:val="ListBullet"/>
        <w:spacing w:after="80"/>
      </w:pPr>
      <w:r>
        <w:rPr>
          <w:rFonts w:ascii="Times New Roman" w:hAnsi="Times New Roman"/>
          <w:sz w:val="24"/>
        </w:rPr>
        <w:t>Retry Composite Bands over a bounded extent rather than the globe, and confirm the four-band stack is usable before scaling up.</w:t>
      </w:r>
    </w:p>
    <w:p>
      <w:pPr>
        <w:pStyle w:val="ListBullet"/>
        <w:spacing w:after="80"/>
      </w:pPr>
      <w:r>
        <w:rPr>
          <w:rFonts w:ascii="Times New Roman" w:hAnsi="Times New Roman"/>
          <w:sz w:val="24"/>
        </w:rPr>
        <w:t>Download the THEMIS Night IR global mosaic and difference it against the day mosaic.</w:t>
      </w:r>
    </w:p>
    <w:p>
      <w:pPr>
        <w:pStyle w:val="ListBullet"/>
        <w:spacing w:after="80"/>
      </w:pPr>
      <w:r>
        <w:rPr>
          <w:rFonts w:ascii="Times New Roman" w:hAnsi="Times New Roman"/>
          <w:sz w:val="24"/>
        </w:rPr>
        <w:t>Apply the Mercury classification workflow — Iso Cluster then Maximum Likelihood — to the Mars composite.</w:t>
      </w:r>
    </w:p>
    <w:p>
      <w:pPr>
        <w:pStyle w:val="ListBullet"/>
        <w:spacing w:after="80"/>
      </w:pPr>
      <w:r>
        <w:rPr>
          <w:rFonts w:ascii="Times New Roman" w:hAnsi="Times New Roman"/>
          <w:sz w:val="24"/>
        </w:rPr>
        <w:t>Rename the DN gradient products so they are not mistaken for terrain slope.</w:t>
      </w:r>
    </w:p>
    <w:p>
      <w:pPr>
        <w:pStyle w:val="ListBullet"/>
        <w:spacing w:after="80"/>
      </w:pPr>
      <w:r>
        <w:rPr>
          <w:rFonts w:ascii="Times New Roman" w:hAnsi="Times New Roman"/>
          <w:sz w:val="24"/>
        </w:rPr>
        <w:t>Delete the duplicate _2 and _3 nomenclature imports.</w:t>
      </w:r>
    </w:p>
    <w:p>
      <w:pPr>
        <w:pStyle w:val="ListBullet"/>
        <w:spacing w:after="80"/>
      </w:pPr>
      <w:r>
        <w:rPr>
          <w:rFonts w:ascii="Times New Roman" w:hAnsi="Times New Roman"/>
          <w:sz w:val="24"/>
        </w:rPr>
        <w:t>Build pyramids on the three global TIFFs — none of them has overviews, so every pass reads them at full resolution.</w:t>
      </w:r>
    </w:p>
    <w:p>
      <w:pPr>
        <w:pStyle w:val="ListBullet"/>
        <w:spacing w:after="80"/>
      </w:pPr>
      <w:r>
        <w:rPr>
          <w:rFonts w:ascii="Times New Roman" w:hAnsi="Times New Roman"/>
          <w:sz w:val="24"/>
        </w:rPr>
        <w:t>Remove the three dead raster references (HiRISE, Mercury, Enceladus) so the project opens without broken layers.</w:t>
      </w:r>
    </w:p>
    <w:p>
      <w:pPr>
        <w:pStyle w:val="ListBullet"/>
        <w:spacing w:after="80"/>
      </w:pPr>
      <w:r>
        <w:rPr>
          <w:rFonts w:ascii="Times New Roman" w:hAnsi="Times New Roman"/>
          <w:sz w:val="24"/>
        </w:rPr>
        <w:t>Start digitizing flow margins and channel centerlines in the Valles Marineris window.</w:t>
      </w:r>
    </w:p>
    <w:p>
      <w:pPr>
        <w:spacing w:after="80" w:before="160"/>
      </w:pPr>
      <w:r>
        <w:rPr>
          <w:rFonts w:ascii="Times New Roman" w:hAnsi="Times New Roman"/>
          <w:b/>
          <w:i w:val="0"/>
          <w:sz w:val="24"/>
        </w:rPr>
        <w:t>Remaining schedule: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720"/>
            <w:shd w:val="clear" w:fill="DCDCDC"/>
          </w:tcPr>
          <w:p>
            <w:pPr>
              <w:spacing w:after="40"/>
            </w:pPr>
            <w:r>
              <w:rPr>
                <w:rFonts w:ascii="Times New Roman" w:hAnsi="Times New Roman"/>
                <w:b/>
                <w:sz w:val="20"/>
              </w:rPr>
              <w:t>Week</w:t>
            </w:r>
          </w:p>
        </w:tc>
        <w:tc>
          <w:tcPr>
            <w:tcW w:type="dxa" w:w="1584"/>
            <w:shd w:val="clear" w:fill="DCDCDC"/>
          </w:tcPr>
          <w:p>
            <w:pPr>
              <w:spacing w:after="40"/>
            </w:pPr>
            <w:r>
              <w:rPr>
                <w:rFonts w:ascii="Times New Roman" w:hAnsi="Times New Roman"/>
                <w:b/>
                <w:sz w:val="20"/>
              </w:rPr>
              <w:t>Dates (2026)</w:t>
            </w:r>
          </w:p>
        </w:tc>
        <w:tc>
          <w:tcPr>
            <w:tcW w:type="dxa" w:w="5184"/>
            <w:shd w:val="clear" w:fill="DCDCDC"/>
          </w:tcPr>
          <w:p>
            <w:pPr>
              <w:spacing w:after="40"/>
            </w:pPr>
            <w:r>
              <w:rPr>
                <w:rFonts w:ascii="Times New Roman" w:hAnsi="Times New Roman"/>
                <w:b/>
                <w:sz w:val="20"/>
              </w:rPr>
              <w:t>Activity</w:t>
            </w:r>
          </w:p>
        </w:tc>
        <w:tc>
          <w:tcPr>
            <w:tcW w:type="dxa" w:w="1872"/>
            <w:shd w:val="clear" w:fill="DCDCDC"/>
          </w:tcPr>
          <w:p>
            <w:pPr>
              <w:spacing w:after="40"/>
            </w:pPr>
            <w:r>
              <w:rPr>
                <w:rFonts w:ascii="Times New Roman" w:hAnsi="Times New Roman"/>
                <w:b/>
                <w:sz w:val="20"/>
              </w:rPr>
              <w:t>Deliverable</w:t>
            </w:r>
          </w:p>
        </w:tc>
      </w:tr>
      <w:tr>
        <w:trPr>
          <w:cantSplit/>
        </w:trPr>
        <w:tc>
          <w:tcPr>
            <w:tcW w:type="dxa" w:w="720"/>
          </w:tcPr>
          <w:p>
            <w:pPr>
              <w:spacing w:after="40"/>
            </w:pPr>
            <w:r>
              <w:rPr>
                <w:rFonts w:ascii="Times New Roman" w:hAnsi="Times New Roman"/>
                <w:sz w:val="20"/>
              </w:rPr>
              <w:t>5</w:t>
            </w:r>
          </w:p>
        </w:tc>
        <w:tc>
          <w:tcPr>
            <w:tcW w:type="dxa" w:w="1584"/>
          </w:tcPr>
          <w:p>
            <w:pPr>
              <w:spacing w:after="40"/>
            </w:pPr>
            <w:r>
              <w:rPr>
                <w:rFonts w:ascii="Times New Roman" w:hAnsi="Times New Roman"/>
                <w:sz w:val="20"/>
              </w:rPr>
              <w:t>Sep 21 – Sep 25</w:t>
            </w:r>
          </w:p>
        </w:tc>
        <w:tc>
          <w:tcPr>
            <w:tcW w:type="dxa" w:w="5184"/>
          </w:tcPr>
          <w:p>
            <w:pPr>
              <w:spacing w:after="40"/>
            </w:pPr>
            <w:r>
              <w:rPr>
                <w:rFonts w:ascii="Times New Roman" w:hAnsi="Times New Roman"/>
                <w:sz w:val="20"/>
              </w:rPr>
              <w:t>Composite Bands over bounded extents; acquire THEMIS Night IR</w:t>
            </w:r>
          </w:p>
        </w:tc>
        <w:tc>
          <w:tcPr>
            <w:tcW w:type="dxa" w:w="1872"/>
          </w:tcPr>
          <w:p>
            <w:pPr>
              <w:spacing w:after="40"/>
            </w:pPr>
            <w:r>
              <w:rPr>
                <w:rFonts w:ascii="Times New Roman" w:hAnsi="Times New Roman"/>
                <w:sz w:val="20"/>
              </w:rPr>
              <w:t>Visible + IR composite raster</w:t>
            </w:r>
          </w:p>
        </w:tc>
      </w:tr>
      <w:tr>
        <w:trPr>
          <w:cantSplit/>
        </w:trPr>
        <w:tc>
          <w:tcPr>
            <w:tcW w:type="dxa" w:w="720"/>
          </w:tcPr>
          <w:p>
            <w:pPr>
              <w:spacing w:after="40"/>
            </w:pPr>
            <w:r>
              <w:rPr>
                <w:rFonts w:ascii="Times New Roman" w:hAnsi="Times New Roman"/>
                <w:sz w:val="20"/>
              </w:rPr>
              <w:t>6</w:t>
            </w:r>
          </w:p>
        </w:tc>
        <w:tc>
          <w:tcPr>
            <w:tcW w:type="dxa" w:w="1584"/>
          </w:tcPr>
          <w:p>
            <w:pPr>
              <w:spacing w:after="40"/>
            </w:pPr>
            <w:r>
              <w:rPr>
                <w:rFonts w:ascii="Times New Roman" w:hAnsi="Times New Roman"/>
                <w:sz w:val="20"/>
              </w:rPr>
              <w:t>Sep 28 – Oct 2</w:t>
            </w:r>
          </w:p>
        </w:tc>
        <w:tc>
          <w:tcPr>
            <w:tcW w:type="dxa" w:w="5184"/>
          </w:tcPr>
          <w:p>
            <w:pPr>
              <w:spacing w:after="40"/>
            </w:pPr>
            <w:r>
              <w:rPr>
                <w:rFonts w:ascii="Times New Roman" w:hAnsi="Times New Roman"/>
                <w:sz w:val="20"/>
              </w:rPr>
              <w:t>Day–night thermal difference; training polygons</w:t>
            </w:r>
          </w:p>
        </w:tc>
        <w:tc>
          <w:tcPr>
            <w:tcW w:type="dxa" w:w="1872"/>
          </w:tcPr>
          <w:p>
            <w:pPr>
              <w:spacing w:after="40"/>
            </w:pPr>
            <w:r>
              <w:rPr>
                <w:rFonts w:ascii="Times New Roman" w:hAnsi="Times New Roman"/>
                <w:sz w:val="20"/>
              </w:rPr>
              <w:t>Thermal inertia proxy</w:t>
            </w:r>
          </w:p>
        </w:tc>
      </w:tr>
      <w:tr>
        <w:trPr>
          <w:cantSplit/>
        </w:trPr>
        <w:tc>
          <w:tcPr>
            <w:tcW w:type="dxa" w:w="720"/>
          </w:tcPr>
          <w:p>
            <w:pPr>
              <w:spacing w:after="40"/>
            </w:pPr>
            <w:r>
              <w:rPr>
                <w:rFonts w:ascii="Times New Roman" w:hAnsi="Times New Roman"/>
                <w:sz w:val="20"/>
              </w:rPr>
              <w:t>7–8</w:t>
            </w:r>
          </w:p>
        </w:tc>
        <w:tc>
          <w:tcPr>
            <w:tcW w:type="dxa" w:w="1584"/>
          </w:tcPr>
          <w:p>
            <w:pPr>
              <w:spacing w:after="40"/>
            </w:pPr>
            <w:r>
              <w:rPr>
                <w:rFonts w:ascii="Times New Roman" w:hAnsi="Times New Roman"/>
                <w:sz w:val="20"/>
              </w:rPr>
              <w:t>Oct 5 – Oct 16</w:t>
            </w:r>
          </w:p>
        </w:tc>
        <w:tc>
          <w:tcPr>
            <w:tcW w:type="dxa" w:w="5184"/>
          </w:tcPr>
          <w:p>
            <w:pPr>
              <w:spacing w:after="40"/>
            </w:pPr>
            <w:r>
              <w:rPr>
                <w:rFonts w:ascii="Times New Roman" w:hAnsi="Times New Roman"/>
                <w:sz w:val="20"/>
              </w:rPr>
              <w:t>Iso Cluster and Maximum Likelihood classification of the Mars stack</w:t>
            </w:r>
          </w:p>
        </w:tc>
        <w:tc>
          <w:tcPr>
            <w:tcW w:type="dxa" w:w="1872"/>
          </w:tcPr>
          <w:p>
            <w:pPr>
              <w:spacing w:after="40"/>
            </w:pPr>
            <w:r>
              <w:rPr>
                <w:rFonts w:ascii="Times New Roman" w:hAnsi="Times New Roman"/>
                <w:sz w:val="20"/>
              </w:rPr>
              <w:t>Interim presentation; classified raster</w:t>
            </w:r>
          </w:p>
        </w:tc>
      </w:tr>
      <w:tr>
        <w:trPr>
          <w:cantSplit/>
        </w:trPr>
        <w:tc>
          <w:tcPr>
            <w:tcW w:type="dxa" w:w="720"/>
          </w:tcPr>
          <w:p>
            <w:pPr>
              <w:spacing w:after="40"/>
            </w:pPr>
            <w:r>
              <w:rPr>
                <w:rFonts w:ascii="Times New Roman" w:hAnsi="Times New Roman"/>
                <w:sz w:val="20"/>
              </w:rPr>
              <w:t>9–10</w:t>
            </w:r>
          </w:p>
        </w:tc>
        <w:tc>
          <w:tcPr>
            <w:tcW w:type="dxa" w:w="1584"/>
          </w:tcPr>
          <w:p>
            <w:pPr>
              <w:spacing w:after="40"/>
            </w:pPr>
            <w:r>
              <w:rPr>
                <w:rFonts w:ascii="Times New Roman" w:hAnsi="Times New Roman"/>
                <w:sz w:val="20"/>
              </w:rPr>
              <w:t>Oct 19 – Oct 30</w:t>
            </w:r>
          </w:p>
        </w:tc>
        <w:tc>
          <w:tcPr>
            <w:tcW w:type="dxa" w:w="5184"/>
          </w:tcPr>
          <w:p>
            <w:pPr>
              <w:spacing w:after="40"/>
            </w:pPr>
            <w:r>
              <w:rPr>
                <w:rFonts w:ascii="Times New Roman" w:hAnsi="Times New Roman"/>
                <w:sz w:val="20"/>
              </w:rPr>
              <w:t>Digitize lava flow margins, channel centerlines, crater rims</w:t>
            </w:r>
          </w:p>
        </w:tc>
        <w:tc>
          <w:tcPr>
            <w:tcW w:type="dxa" w:w="1872"/>
          </w:tcPr>
          <w:p>
            <w:pPr>
              <w:spacing w:after="40"/>
            </w:pPr>
            <w:r>
              <w:rPr>
                <w:rFonts w:ascii="Times New Roman" w:hAnsi="Times New Roman"/>
                <w:sz w:val="20"/>
              </w:rPr>
              <w:t>Landform feature classes</w:t>
            </w:r>
          </w:p>
        </w:tc>
      </w:tr>
      <w:tr>
        <w:trPr>
          <w:cantSplit/>
        </w:trPr>
        <w:tc>
          <w:tcPr>
            <w:tcW w:type="dxa" w:w="720"/>
          </w:tcPr>
          <w:p>
            <w:pPr>
              <w:spacing w:after="40"/>
            </w:pPr>
            <w:r>
              <w:rPr>
                <w:rFonts w:ascii="Times New Roman" w:hAnsi="Times New Roman"/>
                <w:sz w:val="20"/>
              </w:rPr>
              <w:t>11–12</w:t>
            </w:r>
          </w:p>
        </w:tc>
        <w:tc>
          <w:tcPr>
            <w:tcW w:type="dxa" w:w="1584"/>
          </w:tcPr>
          <w:p>
            <w:pPr>
              <w:spacing w:after="40"/>
            </w:pPr>
            <w:r>
              <w:rPr>
                <w:rFonts w:ascii="Times New Roman" w:hAnsi="Times New Roman"/>
                <w:sz w:val="20"/>
              </w:rPr>
              <w:t>Nov 2 – Nov 13</w:t>
            </w:r>
          </w:p>
        </w:tc>
        <w:tc>
          <w:tcPr>
            <w:tcW w:type="dxa" w:w="5184"/>
          </w:tcPr>
          <w:p>
            <w:pPr>
              <w:spacing w:after="40"/>
            </w:pPr>
            <w:r>
              <w:rPr>
                <w:rFonts w:ascii="Times New Roman" w:hAnsi="Times New Roman"/>
                <w:sz w:val="20"/>
              </w:rPr>
              <w:t>Crater inventory and size-frequency distributions in the type area</w:t>
            </w:r>
          </w:p>
        </w:tc>
        <w:tc>
          <w:tcPr>
            <w:tcW w:type="dxa" w:w="1872"/>
          </w:tcPr>
          <w:p>
            <w:pPr>
              <w:spacing w:after="40"/>
            </w:pPr>
            <w:r>
              <w:rPr>
                <w:rFonts w:ascii="Times New Roman" w:hAnsi="Times New Roman"/>
                <w:sz w:val="20"/>
              </w:rPr>
              <w:t>Crater database</w:t>
            </w:r>
          </w:p>
        </w:tc>
      </w:tr>
      <w:tr>
        <w:trPr>
          <w:cantSplit/>
        </w:trPr>
        <w:tc>
          <w:tcPr>
            <w:tcW w:type="dxa" w:w="720"/>
          </w:tcPr>
          <w:p>
            <w:pPr>
              <w:spacing w:after="40"/>
            </w:pPr>
            <w:r>
              <w:rPr>
                <w:rFonts w:ascii="Times New Roman" w:hAnsi="Times New Roman"/>
                <w:sz w:val="20"/>
              </w:rPr>
              <w:t>13</w:t>
            </w:r>
          </w:p>
        </w:tc>
        <w:tc>
          <w:tcPr>
            <w:tcW w:type="dxa" w:w="1584"/>
          </w:tcPr>
          <w:p>
            <w:pPr>
              <w:spacing w:after="40"/>
            </w:pPr>
            <w:r>
              <w:rPr>
                <w:rFonts w:ascii="Times New Roman" w:hAnsi="Times New Roman"/>
                <w:sz w:val="20"/>
              </w:rPr>
              <w:t>Nov 16 – Nov 20</w:t>
            </w:r>
          </w:p>
        </w:tc>
        <w:tc>
          <w:tcPr>
            <w:tcW w:type="dxa" w:w="5184"/>
          </w:tcPr>
          <w:p>
            <w:pPr>
              <w:spacing w:after="40"/>
            </w:pPr>
            <w:r>
              <w:rPr>
                <w:rFonts w:ascii="Times New Roman" w:hAnsi="Times New Roman"/>
                <w:sz w:val="20"/>
              </w:rPr>
              <w:t>Accuracy assessment against a published geologic map</w:t>
            </w:r>
          </w:p>
        </w:tc>
        <w:tc>
          <w:tcPr>
            <w:tcW w:type="dxa" w:w="1872"/>
          </w:tcPr>
          <w:p>
            <w:pPr>
              <w:spacing w:after="40"/>
            </w:pPr>
            <w:r>
              <w:rPr>
                <w:rFonts w:ascii="Times New Roman" w:hAnsi="Times New Roman"/>
                <w:sz w:val="20"/>
              </w:rPr>
              <w:t>Confusion matrix</w:t>
            </w:r>
          </w:p>
        </w:tc>
      </w:tr>
      <w:tr>
        <w:trPr>
          <w:cantSplit/>
        </w:trPr>
        <w:tc>
          <w:tcPr>
            <w:tcW w:type="dxa" w:w="720"/>
          </w:tcPr>
          <w:p>
            <w:pPr>
              <w:spacing w:after="40"/>
            </w:pPr>
            <w:r>
              <w:rPr>
                <w:rFonts w:ascii="Times New Roman" w:hAnsi="Times New Roman"/>
                <w:sz w:val="20"/>
              </w:rPr>
              <w:t>14</w:t>
            </w:r>
          </w:p>
        </w:tc>
        <w:tc>
          <w:tcPr>
            <w:tcW w:type="dxa" w:w="1584"/>
          </w:tcPr>
          <w:p>
            <w:pPr>
              <w:spacing w:after="40"/>
            </w:pPr>
            <w:r>
              <w:rPr>
                <w:rFonts w:ascii="Times New Roman" w:hAnsi="Times New Roman"/>
                <w:sz w:val="20"/>
              </w:rPr>
              <w:t>Nov 23 – Nov 27</w:t>
            </w:r>
          </w:p>
        </w:tc>
        <w:tc>
          <w:tcPr>
            <w:tcW w:type="dxa" w:w="5184"/>
          </w:tcPr>
          <w:p>
            <w:pPr>
              <w:spacing w:after="40"/>
            </w:pPr>
            <w:r>
              <w:rPr>
                <w:rFonts w:ascii="Times New Roman" w:hAnsi="Times New Roman"/>
                <w:sz w:val="20"/>
              </w:rPr>
              <w:t>Map layouts and figure production (Thanksgiving week — front-load into week 13)</w:t>
            </w:r>
          </w:p>
        </w:tc>
        <w:tc>
          <w:tcPr>
            <w:tcW w:type="dxa" w:w="1872"/>
          </w:tcPr>
          <w:p>
            <w:pPr>
              <w:spacing w:after="40"/>
            </w:pPr>
            <w:r>
              <w:rPr>
                <w:rFonts w:ascii="Times New Roman" w:hAnsi="Times New Roman"/>
                <w:sz w:val="20"/>
              </w:rPr>
              <w:t>Map sheets</w:t>
            </w:r>
          </w:p>
        </w:tc>
      </w:tr>
      <w:tr>
        <w:trPr>
          <w:cantSplit/>
        </w:trPr>
        <w:tc>
          <w:tcPr>
            <w:tcW w:type="dxa" w:w="720"/>
          </w:tcPr>
          <w:p>
            <w:pPr>
              <w:spacing w:after="40"/>
            </w:pPr>
            <w:r>
              <w:rPr>
                <w:rFonts w:ascii="Times New Roman" w:hAnsi="Times New Roman"/>
                <w:sz w:val="20"/>
              </w:rPr>
              <w:t>15</w:t>
            </w:r>
          </w:p>
        </w:tc>
        <w:tc>
          <w:tcPr>
            <w:tcW w:type="dxa" w:w="1584"/>
          </w:tcPr>
          <w:p>
            <w:pPr>
              <w:spacing w:after="40"/>
            </w:pPr>
            <w:r>
              <w:rPr>
                <w:rFonts w:ascii="Times New Roman" w:hAnsi="Times New Roman"/>
                <w:sz w:val="20"/>
              </w:rPr>
              <w:t>Nov 30 – Dec 4</w:t>
            </w:r>
          </w:p>
        </w:tc>
        <w:tc>
          <w:tcPr>
            <w:tcW w:type="dxa" w:w="5184"/>
          </w:tcPr>
          <w:p>
            <w:pPr>
              <w:spacing w:after="40"/>
            </w:pPr>
            <w:r>
              <w:rPr>
                <w:rFonts w:ascii="Times New Roman" w:hAnsi="Times New Roman"/>
                <w:sz w:val="20"/>
              </w:rPr>
              <w:t>Final presentation and written report</w:t>
            </w:r>
          </w:p>
        </w:tc>
        <w:tc>
          <w:tcPr>
            <w:tcW w:type="dxa" w:w="1872"/>
          </w:tcPr>
          <w:p>
            <w:pPr>
              <w:spacing w:after="40"/>
            </w:pPr>
            <w:r>
              <w:rPr>
                <w:rFonts w:ascii="Times New Roman" w:hAnsi="Times New Roman"/>
                <w:sz w:val="20"/>
              </w:rPr>
              <w:t>Final deliverables</w:t>
            </w:r>
          </w:p>
        </w:tc>
      </w:tr>
    </w:tbl>
    <w:p>
      <w:pPr>
        <w:spacing w:after="40" w:before="0"/>
      </w:pPr>
    </w:p>
    <w:p>
      <w:pPr>
        <w:spacing w:after="120" w:before="0"/>
      </w:pPr>
      <w:r>
        <w:rPr>
          <w:rFonts w:ascii="Times New Roman" w:hAnsi="Times New Roman"/>
          <w:b w:val="0"/>
          <w:i/>
          <w:sz w:val="22"/>
        </w:rPr>
        <w:t>The critical path runs through weeks 9 to 12. Crater counting cannot begin until the digitized unit boundaries are final, so any slip in classification propagates directly into the chronology and, from there, into the final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