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28"/>
        </w:rPr>
        <w:t>Remote Sensing Project Prospectus</w:t>
      </w:r>
    </w:p>
    <w:p>
      <w:pPr>
        <w:spacing w:after="200" w:before="0"/>
        <w:jc w:val="center"/>
      </w:pPr>
      <w:r>
        <w:rPr>
          <w:rFonts w:ascii="Times New Roman" w:hAnsi="Times New Roman"/>
          <w:b/>
          <w:i w:val="0"/>
          <w:sz w:val="24"/>
        </w:rPr>
        <w:t>Mars Global Mosaic: Mapping Lava Flows, Fluvial Channels, and Impact Craters in Visible and Infrared</w:t>
      </w:r>
    </w:p>
    <w:p>
      <w:pPr>
        <w:spacing w:after="40" w:before="0"/>
        <w:jc w:val="center"/>
      </w:pPr>
      <w:r>
        <w:rPr>
          <w:rFonts w:ascii="Times New Roman" w:hAnsi="Times New Roman"/>
          <w:b w:val="0"/>
          <w:i w:val="0"/>
          <w:sz w:val="22"/>
        </w:rPr>
        <w:t>Logan Edwards</w:t>
      </w:r>
    </w:p>
    <w:p>
      <w:pPr>
        <w:spacing w:after="40" w:before="0"/>
        <w:jc w:val="center"/>
      </w:pPr>
      <w:r>
        <w:rPr>
          <w:rFonts w:ascii="Times New Roman" w:hAnsi="Times New Roman"/>
          <w:b w:val="0"/>
          <w:i w:val="0"/>
          <w:sz w:val="22"/>
        </w:rPr>
        <w:t>REMOTE SENSING 2026 OCN 4704</w:t>
      </w:r>
    </w:p>
    <w:p>
      <w:pPr>
        <w:spacing w:after="40" w:before="0"/>
        <w:jc w:val="center"/>
      </w:pPr>
      <w:r>
        <w:rPr>
          <w:rFonts w:ascii="Times New Roman" w:hAnsi="Times New Roman"/>
          <w:b w:val="0"/>
          <w:i w:val="0"/>
          <w:sz w:val="22"/>
        </w:rPr>
        <w:t>Fall 2026</w:t>
      </w:r>
    </w:p>
    <w:p>
      <w:pPr>
        <w:spacing w:after="120" w:before="0"/>
      </w:pPr>
    </w:p>
    <w:p>
      <w:pPr>
        <w:keepNext/>
        <w:spacing w:after="120" w:before="240"/>
      </w:pPr>
      <w:r>
        <w:rPr>
          <w:rFonts w:ascii="Times New Roman" w:hAnsi="Times New Roman"/>
          <w:b/>
          <w:i w:val="0"/>
          <w:sz w:val="24"/>
        </w:rPr>
        <w:t>Introduction:</w:t>
      </w:r>
    </w:p>
    <w:p>
      <w:pPr>
        <w:keepNext/>
        <w:spacing w:after="80" w:before="200"/>
      </w:pPr>
      <w:r>
        <w:rPr>
          <w:rFonts w:ascii="Times New Roman" w:hAnsi="Times New Roman"/>
          <w:b/>
          <w:i/>
          <w:sz w:val="24"/>
        </w:rPr>
        <w:t>Background: statement of goals and mission</w:t>
      </w:r>
    </w:p>
    <w:p>
      <w:pPr>
        <w:spacing w:after="120" w:before="0"/>
      </w:pPr>
      <w:r>
        <w:rPr>
          <w:rFonts w:ascii="Times New Roman" w:hAnsi="Times New Roman"/>
          <w:b w:val="0"/>
          <w:i w:val="0"/>
          <w:sz w:val="24"/>
        </w:rPr>
        <w:t>Assemble a co-registered global visible and thermal-infrared mosaic of Mars in ArcGIS Pro from three existing global products, and use it to map and classify three landform families — volcanic flow units, fluvial channels and valley networks, and impact craters — producing one internally consistent global landform inventory.</w:t>
      </w:r>
    </w:p>
    <w:p>
      <w:pPr>
        <w:pStyle w:val="ListBullet"/>
        <w:spacing w:after="80"/>
      </w:pPr>
      <w:r>
        <w:rPr>
          <w:rFonts w:ascii="Times New Roman" w:hAnsi="Times New Roman"/>
          <w:sz w:val="24"/>
        </w:rPr>
        <w:t>Three global products already cover Mars end to end at better than 250 m per pixel, in three different parts of the spectrum: Viking MDIM 2.1 colour (visible, 232 m), THEMIS Day IR (thermal infrared, 100 m), and the HRSC/MOLA blended DEM (topography, 200 m). All three are downloaded and loaded.</w:t>
      </w:r>
    </w:p>
    <w:p>
      <w:pPr>
        <w:pStyle w:val="ListBullet"/>
        <w:spacing w:after="80"/>
      </w:pPr>
      <w:r>
        <w:rPr>
          <w:rFonts w:ascii="Times New Roman" w:hAnsi="Times New Roman"/>
          <w:sz w:val="24"/>
        </w:rPr>
        <w:t>They are distributed separately and in two different coordinate systems, so no single product lets you interrogate morphology, thermal response, and slope at the same pixel. Building that stack is the core technical task of this project.</w:t>
      </w:r>
    </w:p>
    <w:p>
      <w:pPr>
        <w:pStyle w:val="ListBullet"/>
        <w:spacing w:after="80"/>
      </w:pPr>
      <w:r>
        <w:rPr>
          <w:rFonts w:ascii="Times New Roman" w:hAnsi="Times New Roman"/>
          <w:sz w:val="24"/>
        </w:rPr>
        <w:t>The three target landform families each record a different process: volcanic resurfacing, flowing water, and impact. Each is expressed differently across the three datasets, which is what makes a fused stack worth building.</w:t>
      </w:r>
    </w:p>
    <w:p>
      <w:pPr>
        <w:pStyle w:val="ListBullet"/>
        <w:spacing w:after="80"/>
      </w:pPr>
      <w:r>
        <w:rPr>
          <w:rFonts w:ascii="Times New Roman" w:hAnsi="Times New Roman"/>
          <w:sz w:val="24"/>
        </w:rPr>
        <w:t>The methods are the same ones used for terrestrial scenes — band compositing, gradient and slope derivatives, unsupervised and supervised classification, accuracy assessment — applied to a planetary surface with no water column and no vegetation to correct for.</w:t>
      </w:r>
    </w:p>
    <w:p>
      <w:pPr>
        <w:keepNext/>
        <w:spacing w:after="80" w:before="200"/>
      </w:pPr>
      <w:r>
        <w:rPr>
          <w:rFonts w:ascii="Times New Roman" w:hAnsi="Times New Roman"/>
          <w:b/>
          <w:i/>
          <w:sz w:val="24"/>
        </w:rPr>
        <w:t>Tasks required to accomplish the goal and meet the mission</w:t>
      </w:r>
    </w:p>
    <w:p>
      <w:pPr>
        <w:spacing w:after="120" w:before="0"/>
      </w:pPr>
      <w:r>
        <w:rPr>
          <w:rFonts w:ascii="Times New Roman" w:hAnsi="Times New Roman"/>
          <w:b w:val="0"/>
          <w:i w:val="0"/>
          <w:sz w:val="24"/>
        </w:rPr>
        <w:t>Ten tasks carry the project from the data already on disk to a finished landform map. They are ordered by dependency, not by effort. Tasks 1 and 2 are complete. Task 3 — putting every layer into one coordinate system — is the gate: the band composite in task 5 has already failed three times without it, and everything downstream of task 5 waits on that composite.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506"/>
            <w:shd w:val="clear" w:fill="DCDCDC"/>
          </w:tcPr>
          <w:p>
            <w:pPr>
              <w:spacing w:after="40"/>
            </w:pPr>
            <w:r>
              <w:rPr>
                <w:rFonts w:ascii="Times New Roman" w:hAnsi="Times New Roman"/>
                <w:b/>
                <w:sz w:val="20"/>
              </w:rPr>
              <w:t>#</w:t>
            </w:r>
          </w:p>
        </w:tc>
        <w:tc>
          <w:tcPr>
            <w:tcW w:type="dxa" w:w="2530"/>
            <w:shd w:val="clear" w:fill="DCDCDC"/>
          </w:tcPr>
          <w:p>
            <w:pPr>
              <w:spacing w:after="40"/>
            </w:pPr>
            <w:r>
              <w:rPr>
                <w:rFonts w:ascii="Times New Roman" w:hAnsi="Times New Roman"/>
                <w:b/>
                <w:sz w:val="20"/>
              </w:rPr>
              <w:t>Task</w:t>
            </w:r>
          </w:p>
        </w:tc>
        <w:tc>
          <w:tcPr>
            <w:tcW w:type="dxa" w:w="6324"/>
            <w:shd w:val="clear" w:fill="DCDCDC"/>
          </w:tcPr>
          <w:p>
            <w:pPr>
              <w:spacing w:after="40"/>
            </w:pPr>
            <w:r>
              <w:rPr>
                <w:rFonts w:ascii="Times New Roman" w:hAnsi="Times New Roman"/>
                <w:b/>
                <w:sz w:val="20"/>
              </w:rPr>
              <w:t>What it involves</w:t>
            </w:r>
          </w:p>
        </w:tc>
      </w:tr>
      <w:tr>
        <w:trPr>
          <w:cantSplit/>
        </w:trPr>
        <w:tc>
          <w:tcPr>
            <w:tcW w:type="dxa" w:w="506"/>
          </w:tcPr>
          <w:p>
            <w:pPr>
              <w:spacing w:after="40"/>
            </w:pPr>
            <w:r>
              <w:rPr>
                <w:rFonts w:ascii="Times New Roman" w:hAnsi="Times New Roman"/>
                <w:sz w:val="20"/>
              </w:rPr>
              <w:t>1</w:t>
            </w:r>
          </w:p>
        </w:tc>
        <w:tc>
          <w:tcPr>
            <w:tcW w:type="dxa" w:w="2530"/>
          </w:tcPr>
          <w:p>
            <w:pPr>
              <w:spacing w:after="40"/>
            </w:pPr>
            <w:r>
              <w:rPr>
                <w:rFonts w:ascii="Times New Roman" w:hAnsi="Times New Roman"/>
                <w:sz w:val="20"/>
              </w:rPr>
              <w:t>Acquire the global raster set</w:t>
            </w:r>
          </w:p>
        </w:tc>
        <w:tc>
          <w:tcPr>
            <w:tcW w:type="dxa" w:w="6324"/>
          </w:tcPr>
          <w:p>
            <w:pPr>
              <w:spacing w:after="40"/>
            </w:pPr>
            <w:r>
              <w:rPr>
                <w:rFonts w:ascii="Times New Roman" w:hAnsi="Times New Roman"/>
                <w:sz w:val="20"/>
              </w:rPr>
              <w:t>Viking MDIM 2.1 colour (232 m), THEMIS Day IR v12 (100 m), HRSC/MOLA blended DEM (200 m). All three are on disk with statistics built. Pyramids are not built on any of them, which is worth doing before the next global run.</w:t>
            </w:r>
          </w:p>
        </w:tc>
      </w:tr>
      <w:tr>
        <w:trPr>
          <w:cantSplit/>
        </w:trPr>
        <w:tc>
          <w:tcPr>
            <w:tcW w:type="dxa" w:w="506"/>
          </w:tcPr>
          <w:p>
            <w:pPr>
              <w:spacing w:after="40"/>
            </w:pPr>
            <w:r>
              <w:rPr>
                <w:rFonts w:ascii="Times New Roman" w:hAnsi="Times New Roman"/>
                <w:sz w:val="20"/>
              </w:rPr>
              <w:t>2</w:t>
            </w:r>
          </w:p>
        </w:tc>
        <w:tc>
          <w:tcPr>
            <w:tcW w:type="dxa" w:w="2530"/>
          </w:tcPr>
          <w:p>
            <w:pPr>
              <w:spacing w:after="40"/>
            </w:pPr>
            <w:r>
              <w:rPr>
                <w:rFonts w:ascii="Times New Roman" w:hAnsi="Times New Roman"/>
                <w:sz w:val="20"/>
              </w:rPr>
              <w:t>Build a grouped mosaic viewer</w:t>
            </w:r>
          </w:p>
        </w:tc>
        <w:tc>
          <w:tcPr>
            <w:tcW w:type="dxa" w:w="6324"/>
          </w:tcPr>
          <w:p>
            <w:pPr>
              <w:spacing w:after="40"/>
            </w:pPr>
            <w:r>
              <w:rPr>
                <w:rFonts w:ascii="Times New Roman" w:hAnsi="Times New Roman"/>
                <w:sz w:val="20"/>
              </w:rPr>
              <w:t>One map holding three groups (Viking, IR, HRSC MOLA), each pairing the source raster with its derived product, so layers can be swapped against each other. Complete.</w:t>
            </w:r>
          </w:p>
        </w:tc>
      </w:tr>
      <w:tr>
        <w:trPr>
          <w:cantSplit/>
        </w:trPr>
        <w:tc>
          <w:tcPr>
            <w:tcW w:type="dxa" w:w="506"/>
          </w:tcPr>
          <w:p>
            <w:pPr>
              <w:spacing w:after="40"/>
            </w:pPr>
            <w:r>
              <w:rPr>
                <w:rFonts w:ascii="Times New Roman" w:hAnsi="Times New Roman"/>
                <w:sz w:val="20"/>
              </w:rPr>
              <w:t>3</w:t>
            </w:r>
          </w:p>
        </w:tc>
        <w:tc>
          <w:tcPr>
            <w:tcW w:type="dxa" w:w="2530"/>
          </w:tcPr>
          <w:p>
            <w:pPr>
              <w:spacing w:after="40"/>
            </w:pPr>
            <w:r>
              <w:rPr>
                <w:rFonts w:ascii="Times New Roman" w:hAnsi="Times New Roman"/>
                <w:sz w:val="20"/>
              </w:rPr>
              <w:t>Harmonize the coordinate systems</w:t>
            </w:r>
          </w:p>
        </w:tc>
        <w:tc>
          <w:tcPr>
            <w:tcW w:type="dxa" w:w="6324"/>
          </w:tcPr>
          <w:p>
            <w:pPr>
              <w:spacing w:after="40"/>
            </w:pPr>
            <w:r>
              <w:rPr>
                <w:rFonts w:ascii="Times New Roman" w:hAnsi="Times New Roman"/>
                <w:sz w:val="20"/>
              </w:rPr>
              <w:t>Three frames, not two: the DEM is in GCS_Mars_2000_Sphere (degrees, central meridian 0); Viking is SimpleCylindrical_Mars in metres on central meridian 0; THEMIS is SimpleCylindrical_Mars in metres on central meridian 180. Project everything into one frame, and check the meridian, not just the units.</w:t>
            </w:r>
          </w:p>
        </w:tc>
      </w:tr>
      <w:tr>
        <w:trPr>
          <w:cantSplit/>
        </w:trPr>
        <w:tc>
          <w:tcPr>
            <w:tcW w:type="dxa" w:w="506"/>
          </w:tcPr>
          <w:p>
            <w:pPr>
              <w:spacing w:after="40"/>
            </w:pPr>
            <w:r>
              <w:rPr>
                <w:rFonts w:ascii="Times New Roman" w:hAnsi="Times New Roman"/>
                <w:sz w:val="20"/>
              </w:rPr>
              <w:t>4</w:t>
            </w:r>
          </w:p>
        </w:tc>
        <w:tc>
          <w:tcPr>
            <w:tcW w:type="dxa" w:w="2530"/>
          </w:tcPr>
          <w:p>
            <w:pPr>
              <w:spacing w:after="40"/>
            </w:pPr>
            <w:r>
              <w:rPr>
                <w:rFonts w:ascii="Times New Roman" w:hAnsi="Times New Roman"/>
                <w:sz w:val="20"/>
              </w:rPr>
              <w:t>Rebuild the terrain derivatives correctly</w:t>
            </w:r>
          </w:p>
        </w:tc>
        <w:tc>
          <w:tcPr>
            <w:tcW w:type="dxa" w:w="6324"/>
          </w:tcPr>
          <w:p>
            <w:pPr>
              <w:spacing w:after="40"/>
            </w:pPr>
            <w:r>
              <w:rPr>
                <w:rFonts w:ascii="Times New Roman" w:hAnsi="Times New Roman"/>
                <w:sz w:val="20"/>
              </w:rPr>
              <w:t>Re-run Slope and Hillshade on the projected DEM so the z-factor is valid; the current versions were computed against degree units and carry WARNING 000869.</w:t>
            </w:r>
          </w:p>
        </w:tc>
      </w:tr>
      <w:tr>
        <w:trPr>
          <w:cantSplit/>
        </w:trPr>
        <w:tc>
          <w:tcPr>
            <w:tcW w:type="dxa" w:w="506"/>
          </w:tcPr>
          <w:p>
            <w:pPr>
              <w:spacing w:after="40"/>
            </w:pPr>
            <w:r>
              <w:rPr>
                <w:rFonts w:ascii="Times New Roman" w:hAnsi="Times New Roman"/>
                <w:sz w:val="20"/>
              </w:rPr>
              <w:t>5</w:t>
            </w:r>
          </w:p>
        </w:tc>
        <w:tc>
          <w:tcPr>
            <w:tcW w:type="dxa" w:w="2530"/>
          </w:tcPr>
          <w:p>
            <w:pPr>
              <w:spacing w:after="40"/>
            </w:pPr>
            <w:r>
              <w:rPr>
                <w:rFonts w:ascii="Times New Roman" w:hAnsi="Times New Roman"/>
                <w:sz w:val="20"/>
              </w:rPr>
              <w:t>Build the visible + infrared composite</w:t>
            </w:r>
          </w:p>
        </w:tc>
        <w:tc>
          <w:tcPr>
            <w:tcW w:type="dxa" w:w="6324"/>
          </w:tcPr>
          <w:p>
            <w:pPr>
              <w:spacing w:after="40"/>
            </w:pPr>
            <w:r>
              <w:rPr>
                <w:rFonts w:ascii="Times New Roman" w:hAnsi="Times New Roman"/>
                <w:sz w:val="20"/>
              </w:rPr>
              <w:t>Composite Bands over the co-registered Viking colour and THEMIS Day IR — four bands. Elevation stays a separate analysis layer: Iso Cluster measures distance in raw band values, so a band running −8,528 to +21,226 m would swamp four running 1–255. Three attempts at global scale on 9 September, all cancelled before completing; the fix is to project first and run over bounded extents.</w:t>
            </w:r>
          </w:p>
        </w:tc>
      </w:tr>
      <w:tr>
        <w:trPr>
          <w:cantSplit/>
        </w:trPr>
        <w:tc>
          <w:tcPr>
            <w:tcW w:type="dxa" w:w="506"/>
          </w:tcPr>
          <w:p>
            <w:pPr>
              <w:spacing w:after="40"/>
            </w:pPr>
            <w:r>
              <w:rPr>
                <w:rFonts w:ascii="Times New Roman" w:hAnsi="Times New Roman"/>
                <w:sz w:val="20"/>
              </w:rPr>
              <w:t>6</w:t>
            </w:r>
          </w:p>
        </w:tc>
        <w:tc>
          <w:tcPr>
            <w:tcW w:type="dxa" w:w="2530"/>
          </w:tcPr>
          <w:p>
            <w:pPr>
              <w:spacing w:after="40"/>
            </w:pPr>
            <w:r>
              <w:rPr>
                <w:rFonts w:ascii="Times New Roman" w:hAnsi="Times New Roman"/>
                <w:sz w:val="20"/>
              </w:rPr>
              <w:t>Derive image-gradient products</w:t>
            </w:r>
          </w:p>
        </w:tc>
        <w:tc>
          <w:tcPr>
            <w:tcW w:type="dxa" w:w="6324"/>
          </w:tcPr>
          <w:p>
            <w:pPr>
              <w:spacing w:after="40"/>
            </w:pPr>
            <w:r>
              <w:rPr>
                <w:rFonts w:ascii="Times New Roman" w:hAnsi="Times New Roman"/>
                <w:sz w:val="20"/>
              </w:rPr>
              <w:t>Slope on the THEMIS and Viking rasters is a DN gradient, not terrain slope — an edge and texture measure that highlights flow margins and crater rims. Label and use it as such.</w:t>
            </w:r>
          </w:p>
        </w:tc>
      </w:tr>
      <w:tr>
        <w:trPr>
          <w:cantSplit/>
        </w:trPr>
        <w:tc>
          <w:tcPr>
            <w:tcW w:type="dxa" w:w="506"/>
          </w:tcPr>
          <w:p>
            <w:pPr>
              <w:spacing w:after="40"/>
            </w:pPr>
            <w:r>
              <w:rPr>
                <w:rFonts w:ascii="Times New Roman" w:hAnsi="Times New Roman"/>
                <w:sz w:val="20"/>
              </w:rPr>
              <w:t>7</w:t>
            </w:r>
          </w:p>
        </w:tc>
        <w:tc>
          <w:tcPr>
            <w:tcW w:type="dxa" w:w="2530"/>
          </w:tcPr>
          <w:p>
            <w:pPr>
              <w:spacing w:after="40"/>
            </w:pPr>
            <w:r>
              <w:rPr>
                <w:rFonts w:ascii="Times New Roman" w:hAnsi="Times New Roman"/>
                <w:sz w:val="20"/>
              </w:rPr>
              <w:t>Classify surface units</w:t>
            </w:r>
          </w:p>
        </w:tc>
        <w:tc>
          <w:tcPr>
            <w:tcW w:type="dxa" w:w="6324"/>
          </w:tcPr>
          <w:p>
            <w:pPr>
              <w:spacing w:after="40"/>
            </w:pPr>
            <w:r>
              <w:rPr>
                <w:rFonts w:ascii="Times New Roman" w:hAnsi="Times New Roman"/>
                <w:sz w:val="20"/>
              </w:rPr>
              <w:t>Iso Cluster unsupervised classification, then Maximum Likelihood against training polygons. The workflow has already been rehearsed end to end on the Mercury MESSENGER basemap; apply it to the Mars stack.</w:t>
            </w:r>
          </w:p>
        </w:tc>
      </w:tr>
      <w:tr>
        <w:trPr>
          <w:cantSplit/>
        </w:trPr>
        <w:tc>
          <w:tcPr>
            <w:tcW w:type="dxa" w:w="506"/>
          </w:tcPr>
          <w:p>
            <w:pPr>
              <w:spacing w:after="40"/>
            </w:pPr>
            <w:r>
              <w:rPr>
                <w:rFonts w:ascii="Times New Roman" w:hAnsi="Times New Roman"/>
                <w:sz w:val="20"/>
              </w:rPr>
              <w:t>8</w:t>
            </w:r>
          </w:p>
        </w:tc>
        <w:tc>
          <w:tcPr>
            <w:tcW w:type="dxa" w:w="2530"/>
          </w:tcPr>
          <w:p>
            <w:pPr>
              <w:spacing w:after="40"/>
            </w:pPr>
            <w:r>
              <w:rPr>
                <w:rFonts w:ascii="Times New Roman" w:hAnsi="Times New Roman"/>
                <w:sz w:val="20"/>
              </w:rPr>
              <w:t>Digitize landform vectors</w:t>
            </w:r>
          </w:p>
        </w:tc>
        <w:tc>
          <w:tcPr>
            <w:tcW w:type="dxa" w:w="6324"/>
          </w:tcPr>
          <w:p>
            <w:pPr>
              <w:spacing w:after="40"/>
            </w:pPr>
            <w:r>
              <w:rPr>
                <w:rFonts w:ascii="Times New Roman" w:hAnsi="Times New Roman"/>
                <w:sz w:val="20"/>
              </w:rPr>
              <w:t>Lava flow margins, channel centerlines, and crater rims as three feature classes in the project geodatabase.</w:t>
            </w:r>
          </w:p>
        </w:tc>
      </w:tr>
      <w:tr>
        <w:trPr>
          <w:cantSplit/>
        </w:trPr>
        <w:tc>
          <w:tcPr>
            <w:tcW w:type="dxa" w:w="506"/>
          </w:tcPr>
          <w:p>
            <w:pPr>
              <w:spacing w:after="40"/>
            </w:pPr>
            <w:r>
              <w:rPr>
                <w:rFonts w:ascii="Times New Roman" w:hAnsi="Times New Roman"/>
                <w:sz w:val="20"/>
              </w:rPr>
              <w:t>9</w:t>
            </w:r>
          </w:p>
        </w:tc>
        <w:tc>
          <w:tcPr>
            <w:tcW w:type="dxa" w:w="2530"/>
          </w:tcPr>
          <w:p>
            <w:pPr>
              <w:spacing w:after="40"/>
            </w:pPr>
            <w:r>
              <w:rPr>
                <w:rFonts w:ascii="Times New Roman" w:hAnsi="Times New Roman"/>
                <w:sz w:val="20"/>
              </w:rPr>
              <w:t>Build a real crater inventory</w:t>
            </w:r>
          </w:p>
        </w:tc>
        <w:tc>
          <w:tcPr>
            <w:tcW w:type="dxa" w:w="6324"/>
          </w:tcPr>
          <w:p>
            <w:pPr>
              <w:spacing w:after="40"/>
            </w:pPr>
            <w:r>
              <w:rPr>
                <w:rFonts w:ascii="Times New Roman" w:hAnsi="Times New Roman"/>
                <w:sz w:val="20"/>
              </w:rPr>
              <w:t>The IAU nomenclature layers already loaded are a gazetteer of 1,113 named craters, not a crater-count database. Either digitize craters in the type area or import a published catalogue.</w:t>
            </w:r>
          </w:p>
        </w:tc>
      </w:tr>
      <w:tr>
        <w:trPr>
          <w:cantSplit/>
        </w:trPr>
        <w:tc>
          <w:tcPr>
            <w:tcW w:type="dxa" w:w="506"/>
          </w:tcPr>
          <w:p>
            <w:pPr>
              <w:spacing w:after="40"/>
            </w:pPr>
            <w:r>
              <w:rPr>
                <w:rFonts w:ascii="Times New Roman" w:hAnsi="Times New Roman"/>
                <w:sz w:val="20"/>
              </w:rPr>
              <w:t>10</w:t>
            </w:r>
          </w:p>
        </w:tc>
        <w:tc>
          <w:tcPr>
            <w:tcW w:type="dxa" w:w="2530"/>
          </w:tcPr>
          <w:p>
            <w:pPr>
              <w:spacing w:after="40"/>
            </w:pPr>
            <w:r>
              <w:rPr>
                <w:rFonts w:ascii="Times New Roman" w:hAnsi="Times New Roman"/>
                <w:sz w:val="20"/>
              </w:rPr>
              <w:t>Produce the map layouts</w:t>
            </w:r>
          </w:p>
        </w:tc>
        <w:tc>
          <w:tcPr>
            <w:tcW w:type="dxa" w:w="6324"/>
          </w:tcPr>
          <w:p>
            <w:pPr>
              <w:spacing w:after="40"/>
            </w:pPr>
            <w:r>
              <w:rPr>
                <w:rFonts w:ascii="Times New Roman" w:hAnsi="Times New Roman"/>
                <w:sz w:val="20"/>
              </w:rPr>
              <w:t>No layouts exist in the project yet. Global sheets plus detail panels for the two saved views: the Ius Chasma type area and the Jezero context map.</w:t>
            </w:r>
          </w:p>
        </w:tc>
      </w:tr>
    </w:tbl>
    <w:p>
      <w:pPr>
        <w:spacing w:after="40" w:before="0"/>
      </w:pPr>
    </w:p>
    <w:p>
      <w:pPr>
        <w:keepNext/>
        <w:spacing w:after="80" w:before="200"/>
      </w:pPr>
      <w:r>
        <w:rPr>
          <w:rFonts w:ascii="Times New Roman" w:hAnsi="Times New Roman"/>
          <w:b/>
          <w:i/>
          <w:sz w:val="24"/>
        </w:rPr>
        <w:t>Significance and importance of the mission</w:t>
      </w:r>
    </w:p>
    <w:p>
      <w:pPr>
        <w:pStyle w:val="ListBullet"/>
        <w:spacing w:after="80"/>
      </w:pPr>
      <w:r>
        <w:rPr>
          <w:rFonts w:ascii="Times New Roman" w:hAnsi="Times New Roman"/>
          <w:sz w:val="24"/>
        </w:rPr>
        <w:t>The fusion is the contribution. The three source products are individually standard, but stacking them into one analysis raster in a common projection is what allows a unit to be described by morphology, thermal response, and slope simultaneously.</w:t>
      </w:r>
    </w:p>
    <w:p>
      <w:pPr>
        <w:pStyle w:val="ListBullet"/>
        <w:spacing w:after="80"/>
      </w:pPr>
      <w:r>
        <w:rPr>
          <w:rFonts w:ascii="Times New Roman" w:hAnsi="Times New Roman"/>
          <w:sz w:val="24"/>
        </w:rPr>
        <w:t>Thermal infrared responds to particle size and surface coherence, which visible albedo does not. Where Mars is dust-mantled, the THEMIS layer should recover flow boundaries the Viking colour mosaic cannot — a claim this project can measure.</w:t>
      </w:r>
    </w:p>
    <w:p>
      <w:pPr>
        <w:pStyle w:val="ListBullet"/>
        <w:spacing w:after="80"/>
      </w:pPr>
      <w:r>
        <w:rPr>
          <w:rFonts w:ascii="Times New Roman" w:hAnsi="Times New Roman"/>
          <w:sz w:val="24"/>
        </w:rPr>
        <w:t>Discriminating volcanic from fluvial channels is a live problem: Athabasca Valles was mapped as a fluvial outflow channel for decades before being reinterpreted as flood lava. Morphology plus thermal response addresses it.</w:t>
      </w:r>
    </w:p>
    <w:p>
      <w:pPr>
        <w:pStyle w:val="ListBullet"/>
        <w:spacing w:after="80"/>
      </w:pPr>
      <w:r>
        <w:rPr>
          <w:rFonts w:ascii="Times New Roman" w:hAnsi="Times New Roman"/>
          <w:sz w:val="24"/>
        </w:rPr>
        <w:t>The workflow transfers terrestrial remote sensing methods to a planetary target with no water column and no vegetation, and only ~6 mbar of CO₂ overhead — the signal is almost entirely surface physics.</w:t>
      </w:r>
    </w:p>
    <w:p>
      <w:pPr>
        <w:pStyle w:val="ListBullet"/>
        <w:spacing w:after="80"/>
      </w:pPr>
      <w:r>
        <w:rPr>
          <w:rFonts w:ascii="Times New Roman" w:hAnsi="Times New Roman"/>
          <w:sz w:val="24"/>
        </w:rPr>
        <w:t>The result is testable without any privileged data. Unit boundaries can be checked against the published USGS global geologic map of Mars, and crater-rim detection against the 141 IAU-named craters above 100 km already in the geodatabase. Both are free, and neither depends on imagery this project does not hold.</w:t>
      </w:r>
    </w:p>
    <w:p>
      <w:r>
        <w:br w:type="page"/>
      </w:r>
    </w:p>
    <w:p>
      <w:pPr>
        <w:keepNext/>
        <w:spacing w:after="120" w:before="240"/>
      </w:pPr>
      <w:r>
        <w:rPr>
          <w:rFonts w:ascii="Times New Roman" w:hAnsi="Times New Roman"/>
          <w:b/>
          <w:i w:val="0"/>
          <w:sz w:val="24"/>
        </w:rPr>
        <w:t>Methods</w:t>
      </w:r>
    </w:p>
    <w:p>
      <w:pPr>
        <w:keepNext/>
        <w:spacing w:after="80" w:before="200"/>
      </w:pPr>
      <w:r>
        <w:rPr>
          <w:rFonts w:ascii="Times New Roman" w:hAnsi="Times New Roman"/>
          <w:b/>
          <w:i/>
          <w:sz w:val="24"/>
        </w:rPr>
        <w:t>Which part of the electromagnetic spectrum can be applied in the mission</w:t>
      </w:r>
    </w:p>
    <w:p>
      <w:pPr>
        <w:spacing w:after="120" w:before="0"/>
      </w:pPr>
      <w:r>
        <w:rPr>
          <w:rFonts w:ascii="Times New Roman" w:hAnsi="Times New Roman"/>
          <w:b w:val="0"/>
          <w:i w:val="0"/>
          <w:sz w:val="24"/>
        </w:rPr>
        <w:t>Four regions of the spectrum carry usable information about the three target landform families. Each answers a different question, and the project depends on using them together rather than choosing among them.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152"/>
            <w:shd w:val="clear" w:fill="DCDCDC"/>
          </w:tcPr>
          <w:p>
            <w:pPr>
              <w:spacing w:after="40"/>
            </w:pPr>
            <w:r>
              <w:rPr>
                <w:rFonts w:ascii="Times New Roman" w:hAnsi="Times New Roman"/>
                <w:b/>
                <w:sz w:val="20"/>
              </w:rPr>
              <w:t>Region</w:t>
            </w:r>
          </w:p>
        </w:tc>
        <w:tc>
          <w:tcPr>
            <w:tcW w:type="dxa" w:w="1728"/>
            <w:shd w:val="clear" w:fill="DCDCDC"/>
          </w:tcPr>
          <w:p>
            <w:pPr>
              <w:spacing w:after="40"/>
            </w:pPr>
            <w:r>
              <w:rPr>
                <w:rFonts w:ascii="Times New Roman" w:hAnsi="Times New Roman"/>
                <w:b/>
                <w:sz w:val="20"/>
              </w:rPr>
              <w:t>Wavelength</w:t>
            </w:r>
          </w:p>
        </w:tc>
        <w:tc>
          <w:tcPr>
            <w:tcW w:type="dxa" w:w="6480"/>
            <w:shd w:val="clear" w:fill="DCDCDC"/>
          </w:tcPr>
          <w:p>
            <w:pPr>
              <w:spacing w:after="40"/>
            </w:pPr>
            <w:r>
              <w:rPr>
                <w:rFonts w:ascii="Times New Roman" w:hAnsi="Times New Roman"/>
                <w:b/>
                <w:sz w:val="20"/>
              </w:rPr>
              <w:t>What it contributes to the mission</w:t>
            </w:r>
          </w:p>
        </w:tc>
      </w:tr>
      <w:tr>
        <w:trPr>
          <w:cantSplit/>
        </w:trPr>
        <w:tc>
          <w:tcPr>
            <w:tcW w:type="dxa" w:w="1152"/>
          </w:tcPr>
          <w:p>
            <w:pPr>
              <w:spacing w:after="40"/>
            </w:pPr>
            <w:r>
              <w:rPr>
                <w:rFonts w:ascii="Times New Roman" w:hAnsi="Times New Roman"/>
                <w:sz w:val="20"/>
              </w:rPr>
              <w:t>Visible</w:t>
            </w:r>
          </w:p>
        </w:tc>
        <w:tc>
          <w:tcPr>
            <w:tcW w:type="dxa" w:w="1728"/>
          </w:tcPr>
          <w:p>
            <w:pPr>
              <w:spacing w:after="40"/>
            </w:pPr>
            <w:r>
              <w:rPr>
                <w:rFonts w:ascii="Times New Roman" w:hAnsi="Times New Roman"/>
                <w:sz w:val="20"/>
              </w:rPr>
              <w:t>0.4 – 0.7 µm</w:t>
            </w:r>
          </w:p>
        </w:tc>
        <w:tc>
          <w:tcPr>
            <w:tcW w:type="dxa" w:w="6480"/>
          </w:tcPr>
          <w:p>
            <w:pPr>
              <w:spacing w:after="40"/>
            </w:pPr>
            <w:r>
              <w:rPr>
                <w:rFonts w:ascii="Times New Roman" w:hAnsi="Times New Roman"/>
                <w:sz w:val="20"/>
              </w:rPr>
              <w:t>Viking MDIM 2.1 colour. Morphology, albedo contrast, and shadow relief; the ferric absorption edge separates bright dust from darker basaltic surfaces.</w:t>
            </w:r>
          </w:p>
        </w:tc>
      </w:tr>
      <w:tr>
        <w:trPr>
          <w:cantSplit/>
        </w:trPr>
        <w:tc>
          <w:tcPr>
            <w:tcW w:type="dxa" w:w="1152"/>
          </w:tcPr>
          <w:p>
            <w:pPr>
              <w:spacing w:after="40"/>
            </w:pPr>
            <w:r>
              <w:rPr>
                <w:rFonts w:ascii="Times New Roman" w:hAnsi="Times New Roman"/>
                <w:sz w:val="20"/>
              </w:rPr>
              <w:t>Thermal IR</w:t>
            </w:r>
          </w:p>
        </w:tc>
        <w:tc>
          <w:tcPr>
            <w:tcW w:type="dxa" w:w="1728"/>
          </w:tcPr>
          <w:p>
            <w:pPr>
              <w:spacing w:after="40"/>
            </w:pPr>
            <w:r>
              <w:rPr>
                <w:rFonts w:ascii="Times New Roman" w:hAnsi="Times New Roman"/>
                <w:sz w:val="20"/>
              </w:rPr>
              <w:t>6.8 – 14.9 µm</w:t>
            </w:r>
          </w:p>
        </w:tc>
        <w:tc>
          <w:tcPr>
            <w:tcW w:type="dxa" w:w="6480"/>
          </w:tcPr>
          <w:p>
            <w:pPr>
              <w:spacing w:after="40"/>
            </w:pPr>
            <w:r>
              <w:rPr>
                <w:rFonts w:ascii="Times New Roman" w:hAnsi="Times New Roman"/>
                <w:sz w:val="20"/>
              </w:rPr>
              <w:t>THEMIS Day IR. Daytime brightness temperature carries both morphology and silicate composition through the Si–O reststrahlen bands.</w:t>
            </w:r>
          </w:p>
        </w:tc>
      </w:tr>
      <w:tr>
        <w:trPr>
          <w:cantSplit/>
        </w:trPr>
        <w:tc>
          <w:tcPr>
            <w:tcW w:type="dxa" w:w="1152"/>
          </w:tcPr>
          <w:p>
            <w:pPr>
              <w:spacing w:after="40"/>
            </w:pPr>
            <w:r>
              <w:rPr>
                <w:rFonts w:ascii="Times New Roman" w:hAnsi="Times New Roman"/>
                <w:sz w:val="20"/>
              </w:rPr>
              <w:t>Thermal IR (night)</w:t>
            </w:r>
          </w:p>
        </w:tc>
        <w:tc>
          <w:tcPr>
            <w:tcW w:type="dxa" w:w="1728"/>
          </w:tcPr>
          <w:p>
            <w:pPr>
              <w:spacing w:after="40"/>
            </w:pPr>
            <w:r>
              <w:rPr>
                <w:rFonts w:ascii="Times New Roman" w:hAnsi="Times New Roman"/>
                <w:sz w:val="20"/>
              </w:rPr>
              <w:t>6.8 – 14.9 µm</w:t>
            </w:r>
          </w:p>
        </w:tc>
        <w:tc>
          <w:tcPr>
            <w:tcW w:type="dxa" w:w="6480"/>
          </w:tcPr>
          <w:p>
            <w:pPr>
              <w:spacing w:after="40"/>
            </w:pPr>
            <w:r>
              <w:rPr>
                <w:rFonts w:ascii="Times New Roman" w:hAnsi="Times New Roman"/>
                <w:sz w:val="20"/>
              </w:rPr>
              <w:t>THEMIS Night IR — not yet acquired. Paired with the day mosaic it yields thermal inertia, the single best dust-versus-bedrock discriminator from orbit.</w:t>
            </w:r>
          </w:p>
        </w:tc>
      </w:tr>
      <w:tr>
        <w:trPr>
          <w:cantSplit/>
        </w:trPr>
        <w:tc>
          <w:tcPr>
            <w:tcW w:type="dxa" w:w="1152"/>
          </w:tcPr>
          <w:p>
            <w:pPr>
              <w:spacing w:after="40"/>
            </w:pPr>
            <w:r>
              <w:rPr>
                <w:rFonts w:ascii="Times New Roman" w:hAnsi="Times New Roman"/>
                <w:sz w:val="20"/>
              </w:rPr>
              <w:t>Laser altimetry</w:t>
            </w:r>
          </w:p>
        </w:tc>
        <w:tc>
          <w:tcPr>
            <w:tcW w:type="dxa" w:w="1728"/>
          </w:tcPr>
          <w:p>
            <w:pPr>
              <w:spacing w:after="40"/>
            </w:pPr>
            <w:r>
              <w:rPr>
                <w:rFonts w:ascii="Times New Roman" w:hAnsi="Times New Roman"/>
                <w:sz w:val="20"/>
              </w:rPr>
              <w:t>1064 nm (active)</w:t>
            </w:r>
          </w:p>
        </w:tc>
        <w:tc>
          <w:tcPr>
            <w:tcW w:type="dxa" w:w="6480"/>
          </w:tcPr>
          <w:p>
            <w:pPr>
              <w:spacing w:after="40"/>
            </w:pPr>
            <w:r>
              <w:rPr>
                <w:rFonts w:ascii="Times New Roman" w:hAnsi="Times New Roman"/>
                <w:sz w:val="20"/>
              </w:rPr>
              <w:t>HRSC/MOLA blended DEM. Not passive imaging, but it supplies the slope, gradient, and drainage context that separates channels from albedo streaks.</w:t>
            </w:r>
          </w:p>
        </w:tc>
      </w:tr>
    </w:tbl>
    <w:p>
      <w:pPr>
        <w:spacing w:after="40" w:before="0"/>
      </w:pPr>
    </w:p>
    <w:p>
      <w:pPr>
        <w:pStyle w:val="ListBullet"/>
        <w:spacing w:after="80"/>
      </w:pPr>
      <w:r>
        <w:rPr>
          <w:rFonts w:ascii="Times New Roman" w:hAnsi="Times New Roman"/>
          <w:sz w:val="24"/>
        </w:rPr>
        <w:t>The martian atmosphere is ~6 mbar of CO₂. It is effectively transparent across the visible and near-infrared; the THEMIS bands are placed to avoid the strong 15 µm CO₂ band.</w:t>
      </w:r>
    </w:p>
    <w:p>
      <w:pPr>
        <w:pStyle w:val="ListBullet"/>
        <w:spacing w:after="80"/>
      </w:pPr>
      <w:r>
        <w:rPr>
          <w:rFonts w:ascii="Times New Roman" w:hAnsi="Times New Roman"/>
          <w:sz w:val="24"/>
        </w:rPr>
        <w:t>Radar sounding (SHARAD, MARSIS) is deliberately excluded: it probes the subsurface rather than surface landforms, and has no global coverage at the resolution this project needs.</w:t>
      </w:r>
    </w:p>
    <w:p>
      <w:pPr>
        <w:keepNext/>
        <w:spacing w:after="80" w:before="200"/>
      </w:pPr>
      <w:r>
        <w:rPr>
          <w:rFonts w:ascii="Times New Roman" w:hAnsi="Times New Roman"/>
          <w:b/>
          <w:i/>
          <w:sz w:val="24"/>
        </w:rPr>
        <w:t>Potential remote sensing data sources</w:t>
      </w:r>
    </w:p>
    <w:p>
      <w:pPr>
        <w:spacing w:after="120" w:before="0"/>
      </w:pPr>
      <w:r>
        <w:rPr>
          <w:rFonts w:ascii="Times New Roman" w:hAnsi="Times New Roman"/>
          <w:b w:val="0"/>
          <w:i w:val="0"/>
          <w:sz w:val="24"/>
        </w:rPr>
        <w:t>Every dataset below is public and free, served as GeoTIFF, which ArcGIS Pro ingests directly — no ISIS preprocessing is required. The first table is what is already downloaded and loaded into the project; the properties given were measured from the files themselves rather than quoted from the product documentation.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39"/>
            <w:shd w:val="clear" w:fill="DCDCDC"/>
          </w:tcPr>
          <w:p>
            <w:pPr>
              <w:spacing w:after="40"/>
            </w:pPr>
            <w:r>
              <w:rPr>
                <w:rFonts w:ascii="Times New Roman" w:hAnsi="Times New Roman"/>
                <w:b/>
                <w:sz w:val="18"/>
              </w:rPr>
              <w:t>Dataset</w:t>
            </w:r>
          </w:p>
        </w:tc>
        <w:tc>
          <w:tcPr>
            <w:tcW w:type="dxa" w:w="1337"/>
            <w:shd w:val="clear" w:fill="DCDCDC"/>
          </w:tcPr>
          <w:p>
            <w:pPr>
              <w:spacing w:after="40"/>
            </w:pPr>
            <w:r>
              <w:rPr>
                <w:rFonts w:ascii="Times New Roman" w:hAnsi="Times New Roman"/>
                <w:b/>
                <w:sz w:val="18"/>
              </w:rPr>
              <w:t>Mission</w:t>
            </w:r>
          </w:p>
        </w:tc>
        <w:tc>
          <w:tcPr>
            <w:tcW w:type="dxa" w:w="1605"/>
            <w:shd w:val="clear" w:fill="DCDCDC"/>
          </w:tcPr>
          <w:p>
            <w:pPr>
              <w:spacing w:after="40"/>
            </w:pPr>
            <w:r>
              <w:rPr>
                <w:rFonts w:ascii="Times New Roman" w:hAnsi="Times New Roman"/>
                <w:b/>
                <w:sz w:val="18"/>
              </w:rPr>
              <w:t>Type</w:t>
            </w:r>
          </w:p>
        </w:tc>
        <w:tc>
          <w:tcPr>
            <w:tcW w:type="dxa" w:w="1070"/>
            <w:shd w:val="clear" w:fill="DCDCDC"/>
          </w:tcPr>
          <w:p>
            <w:pPr>
              <w:spacing w:after="40"/>
            </w:pPr>
            <w:r>
              <w:rPr>
                <w:rFonts w:ascii="Times New Roman" w:hAnsi="Times New Roman"/>
                <w:b/>
                <w:sz w:val="18"/>
              </w:rPr>
              <w:t>Resolution</w:t>
            </w:r>
          </w:p>
        </w:tc>
        <w:tc>
          <w:tcPr>
            <w:tcW w:type="dxa" w:w="3209"/>
            <w:shd w:val="clear" w:fill="DCDCDC"/>
          </w:tcPr>
          <w:p>
            <w:pPr>
              <w:spacing w:after="40"/>
            </w:pPr>
            <w:r>
              <w:rPr>
                <w:rFonts w:ascii="Times New Roman" w:hAnsi="Times New Roman"/>
                <w:b/>
                <w:sz w:val="18"/>
              </w:rPr>
              <w:t>Measured properties</w:t>
            </w:r>
          </w:p>
        </w:tc>
      </w:tr>
      <w:tr>
        <w:trPr>
          <w:cantSplit/>
        </w:trPr>
        <w:tc>
          <w:tcPr>
            <w:tcW w:type="dxa" w:w="2139"/>
          </w:tcPr>
          <w:p>
            <w:pPr>
              <w:spacing w:after="40"/>
            </w:pPr>
            <w:r>
              <w:rPr>
                <w:rFonts w:ascii="Times New Roman" w:hAnsi="Times New Roman"/>
                <w:sz w:val="18"/>
              </w:rPr>
              <w:t>Mars_MO_THEMIS-IR-Day_mosaic_global_100m_v12.tif</w:t>
            </w:r>
          </w:p>
        </w:tc>
        <w:tc>
          <w:tcPr>
            <w:tcW w:type="dxa" w:w="1337"/>
          </w:tcPr>
          <w:p>
            <w:pPr>
              <w:spacing w:after="40"/>
            </w:pPr>
            <w:r>
              <w:rPr>
                <w:rFonts w:ascii="Times New Roman" w:hAnsi="Times New Roman"/>
                <w:sz w:val="18"/>
              </w:rPr>
              <w:t>Mars Odyssey THEMIS</w:t>
            </w:r>
          </w:p>
        </w:tc>
        <w:tc>
          <w:tcPr>
            <w:tcW w:type="dxa" w:w="1605"/>
          </w:tcPr>
          <w:p>
            <w:pPr>
              <w:spacing w:after="40"/>
            </w:pPr>
            <w:r>
              <w:rPr>
                <w:rFonts w:ascii="Times New Roman" w:hAnsi="Times New Roman"/>
                <w:sz w:val="18"/>
              </w:rPr>
              <w:t>Thermal IR, 1 band, 8-bit</w:t>
            </w:r>
          </w:p>
        </w:tc>
        <w:tc>
          <w:tcPr>
            <w:tcW w:type="dxa" w:w="1070"/>
          </w:tcPr>
          <w:p>
            <w:pPr>
              <w:spacing w:after="40"/>
            </w:pPr>
            <w:r>
              <w:rPr>
                <w:rFonts w:ascii="Times New Roman" w:hAnsi="Times New Roman"/>
                <w:sz w:val="18"/>
              </w:rPr>
              <w:t>100 m/px</w:t>
            </w:r>
          </w:p>
        </w:tc>
        <w:tc>
          <w:tcPr>
            <w:tcW w:type="dxa" w:w="3209"/>
          </w:tcPr>
          <w:p>
            <w:pPr>
              <w:spacing w:after="40"/>
            </w:pPr>
            <w:r>
              <w:rPr>
                <w:rFonts w:ascii="Times New Roman" w:hAnsi="Times New Roman"/>
                <w:sz w:val="18"/>
              </w:rPr>
              <w:t>213,390 × 106,696 px; 22.14 of 22.77 billion valid (97.3% coverage); DN 1–255, mean 125.7, σ 34.4</w:t>
            </w:r>
          </w:p>
        </w:tc>
      </w:tr>
      <w:tr>
        <w:trPr>
          <w:cantSplit/>
        </w:trPr>
        <w:tc>
          <w:tcPr>
            <w:tcW w:type="dxa" w:w="2139"/>
          </w:tcPr>
          <w:p>
            <w:pPr>
              <w:spacing w:after="40"/>
            </w:pPr>
            <w:r>
              <w:rPr>
                <w:rFonts w:ascii="Times New Roman" w:hAnsi="Times New Roman"/>
                <w:sz w:val="18"/>
              </w:rPr>
              <w:t>Mars_Viking_MDIM21_ClrMosaic_global_232m.tif</w:t>
            </w:r>
          </w:p>
        </w:tc>
        <w:tc>
          <w:tcPr>
            <w:tcW w:type="dxa" w:w="1337"/>
          </w:tcPr>
          <w:p>
            <w:pPr>
              <w:spacing w:after="40"/>
            </w:pPr>
            <w:r>
              <w:rPr>
                <w:rFonts w:ascii="Times New Roman" w:hAnsi="Times New Roman"/>
                <w:sz w:val="18"/>
              </w:rPr>
              <w:t>Viking Orbiter</w:t>
            </w:r>
          </w:p>
        </w:tc>
        <w:tc>
          <w:tcPr>
            <w:tcW w:type="dxa" w:w="1605"/>
          </w:tcPr>
          <w:p>
            <w:pPr>
              <w:spacing w:after="40"/>
            </w:pPr>
            <w:r>
              <w:rPr>
                <w:rFonts w:ascii="Times New Roman" w:hAnsi="Times New Roman"/>
                <w:sz w:val="18"/>
              </w:rPr>
              <w:t>Visible colour, 3 bands</w:t>
            </w:r>
          </w:p>
        </w:tc>
        <w:tc>
          <w:tcPr>
            <w:tcW w:type="dxa" w:w="1070"/>
          </w:tcPr>
          <w:p>
            <w:pPr>
              <w:spacing w:after="40"/>
            </w:pPr>
            <w:r>
              <w:rPr>
                <w:rFonts w:ascii="Times New Roman" w:hAnsi="Times New Roman"/>
                <w:sz w:val="18"/>
              </w:rPr>
              <w:t>232 m/px</w:t>
            </w:r>
          </w:p>
        </w:tc>
        <w:tc>
          <w:tcPr>
            <w:tcW w:type="dxa" w:w="3209"/>
          </w:tcPr>
          <w:p>
            <w:pPr>
              <w:spacing w:after="40"/>
            </w:pPr>
            <w:r>
              <w:rPr>
                <w:rFonts w:ascii="Times New Roman" w:hAnsi="Times New Roman"/>
                <w:sz w:val="18"/>
              </w:rPr>
              <w:t>92,160 × 46,080 px; band 1 DN 18–207, mean 122.8, σ 31.6</w:t>
            </w:r>
          </w:p>
        </w:tc>
      </w:tr>
      <w:tr>
        <w:trPr>
          <w:cantSplit/>
        </w:trPr>
        <w:tc>
          <w:tcPr>
            <w:tcW w:type="dxa" w:w="2139"/>
          </w:tcPr>
          <w:p>
            <w:pPr>
              <w:spacing w:after="40"/>
            </w:pPr>
            <w:r>
              <w:rPr>
                <w:rFonts w:ascii="Times New Roman" w:hAnsi="Times New Roman"/>
                <w:sz w:val="18"/>
              </w:rPr>
              <w:t>Mars_HRSC_MOLA_BlendDEM_Global_200mp_v2.tif</w:t>
            </w:r>
          </w:p>
        </w:tc>
        <w:tc>
          <w:tcPr>
            <w:tcW w:type="dxa" w:w="1337"/>
          </w:tcPr>
          <w:p>
            <w:pPr>
              <w:spacing w:after="40"/>
            </w:pPr>
            <w:r>
              <w:rPr>
                <w:rFonts w:ascii="Times New Roman" w:hAnsi="Times New Roman"/>
                <w:sz w:val="18"/>
              </w:rPr>
              <w:t>Mars Express / MGS</w:t>
            </w:r>
          </w:p>
        </w:tc>
        <w:tc>
          <w:tcPr>
            <w:tcW w:type="dxa" w:w="1605"/>
          </w:tcPr>
          <w:p>
            <w:pPr>
              <w:spacing w:after="40"/>
            </w:pPr>
            <w:r>
              <w:rPr>
                <w:rFonts w:ascii="Times New Roman" w:hAnsi="Times New Roman"/>
                <w:sz w:val="18"/>
              </w:rPr>
              <w:t>Elevation, 1 band, 16-bit</w:t>
            </w:r>
          </w:p>
        </w:tc>
        <w:tc>
          <w:tcPr>
            <w:tcW w:type="dxa" w:w="1070"/>
          </w:tcPr>
          <w:p>
            <w:pPr>
              <w:spacing w:after="40"/>
            </w:pPr>
            <w:r>
              <w:rPr>
                <w:rFonts w:ascii="Times New Roman" w:hAnsi="Times New Roman"/>
                <w:sz w:val="18"/>
              </w:rPr>
              <w:t>200 m/px</w:t>
            </w:r>
          </w:p>
        </w:tc>
        <w:tc>
          <w:tcPr>
            <w:tcW w:type="dxa" w:w="3209"/>
          </w:tcPr>
          <w:p>
            <w:pPr>
              <w:spacing w:after="40"/>
            </w:pPr>
            <w:r>
              <w:rPr>
                <w:rFonts w:ascii="Times New Roman" w:hAnsi="Times New Roman"/>
                <w:sz w:val="18"/>
              </w:rPr>
              <w:t>106,694 × 53,347 px; −8,528 m to +21,226 m, mean −720.5 m</w:t>
            </w:r>
          </w:p>
        </w:tc>
      </w:tr>
      <w:tr>
        <w:trPr>
          <w:cantSplit/>
        </w:trPr>
        <w:tc>
          <w:tcPr>
            <w:tcW w:type="dxa" w:w="2139"/>
          </w:tcPr>
          <w:p>
            <w:pPr>
              <w:spacing w:after="40"/>
            </w:pPr>
            <w:r>
              <w:rPr>
                <w:rFonts w:ascii="Times New Roman" w:hAnsi="Times New Roman"/>
                <w:sz w:val="18"/>
              </w:rPr>
              <w:t>MARS_nomenclature_* (5 feature classes)</w:t>
            </w:r>
          </w:p>
        </w:tc>
        <w:tc>
          <w:tcPr>
            <w:tcW w:type="dxa" w:w="1337"/>
          </w:tcPr>
          <w:p>
            <w:pPr>
              <w:spacing w:after="40"/>
            </w:pPr>
            <w:r>
              <w:rPr>
                <w:rFonts w:ascii="Times New Roman" w:hAnsi="Times New Roman"/>
                <w:sz w:val="18"/>
              </w:rPr>
              <w:t>IAU / USGS, March 2019</w:t>
            </w:r>
          </w:p>
        </w:tc>
        <w:tc>
          <w:tcPr>
            <w:tcW w:type="dxa" w:w="1605"/>
          </w:tcPr>
          <w:p>
            <w:pPr>
              <w:spacing w:after="40"/>
            </w:pPr>
            <w:r>
              <w:rPr>
                <w:rFonts w:ascii="Times New Roman" w:hAnsi="Times New Roman"/>
                <w:sz w:val="18"/>
              </w:rPr>
              <w:t>Point and polygon gazetteer</w:t>
            </w:r>
          </w:p>
        </w:tc>
        <w:tc>
          <w:tcPr>
            <w:tcW w:type="dxa" w:w="1070"/>
          </w:tcPr>
          <w:p>
            <w:pPr>
              <w:spacing w:after="40"/>
            </w:pPr>
            <w:r>
              <w:rPr>
                <w:rFonts w:ascii="Times New Roman" w:hAnsi="Times New Roman"/>
                <w:sz w:val="18"/>
              </w:rPr>
              <w:t>n/a</w:t>
            </w:r>
          </w:p>
        </w:tc>
        <w:tc>
          <w:tcPr>
            <w:tcW w:type="dxa" w:w="3209"/>
          </w:tcPr>
          <w:p>
            <w:pPr>
              <w:spacing w:after="40"/>
            </w:pPr>
            <w:r>
              <w:rPr>
                <w:rFonts w:ascii="Times New Roman" w:hAnsi="Times New Roman"/>
                <w:sz w:val="18"/>
              </w:rPr>
              <w:t>141 craters &gt;100 km; 972 craters &lt;100 km; 126 albedo; 303 classical albedo; 337 other</w:t>
            </w:r>
          </w:p>
        </w:tc>
      </w:tr>
    </w:tbl>
    <w:p>
      <w:pPr>
        <w:spacing w:after="40" w:before="0"/>
      </w:pPr>
    </w:p>
    <w:p>
      <w:pPr>
        <w:spacing w:after="120" w:before="120"/>
      </w:pPr>
      <w:r>
        <w:rPr>
          <w:rFonts w:ascii="Times New Roman" w:hAnsi="Times New Roman"/>
          <w:b w:val="0"/>
          <w:i w:val="0"/>
          <w:sz w:val="24"/>
        </w:rPr>
        <w:t>The following are not yet acquired, and the project plan depends on them: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160"/>
            <w:shd w:val="clear" w:fill="DCDCDC"/>
          </w:tcPr>
          <w:p>
            <w:pPr>
              <w:spacing w:after="40"/>
            </w:pPr>
            <w:r>
              <w:rPr>
                <w:rFonts w:ascii="Times New Roman" w:hAnsi="Times New Roman"/>
                <w:b/>
                <w:sz w:val="19"/>
              </w:rPr>
              <w:t>Dataset</w:t>
            </w:r>
          </w:p>
        </w:tc>
        <w:tc>
          <w:tcPr>
            <w:tcW w:type="dxa" w:w="1152"/>
            <w:shd w:val="clear" w:fill="DCDCDC"/>
          </w:tcPr>
          <w:p>
            <w:pPr>
              <w:spacing w:after="40"/>
            </w:pPr>
            <w:r>
              <w:rPr>
                <w:rFonts w:ascii="Times New Roman" w:hAnsi="Times New Roman"/>
                <w:b/>
                <w:sz w:val="19"/>
              </w:rPr>
              <w:t>Resolution</w:t>
            </w:r>
          </w:p>
        </w:tc>
        <w:tc>
          <w:tcPr>
            <w:tcW w:type="dxa" w:w="6048"/>
            <w:shd w:val="clear" w:fill="DCDCDC"/>
          </w:tcPr>
          <w:p>
            <w:pPr>
              <w:spacing w:after="40"/>
            </w:pPr>
            <w:r>
              <w:rPr>
                <w:rFonts w:ascii="Times New Roman" w:hAnsi="Times New Roman"/>
                <w:b/>
                <w:sz w:val="19"/>
              </w:rPr>
              <w:t>Why it is needed</w:t>
            </w:r>
          </w:p>
        </w:tc>
      </w:tr>
      <w:tr>
        <w:trPr>
          <w:cantSplit/>
        </w:trPr>
        <w:tc>
          <w:tcPr>
            <w:tcW w:type="dxa" w:w="2160"/>
          </w:tcPr>
          <w:p>
            <w:pPr>
              <w:spacing w:after="40"/>
            </w:pPr>
            <w:r>
              <w:rPr>
                <w:rFonts w:ascii="Times New Roman" w:hAnsi="Times New Roman"/>
                <w:sz w:val="19"/>
              </w:rPr>
              <w:t>THEMIS Night IR global mosaic</w:t>
            </w:r>
          </w:p>
        </w:tc>
        <w:tc>
          <w:tcPr>
            <w:tcW w:type="dxa" w:w="1152"/>
          </w:tcPr>
          <w:p>
            <w:pPr>
              <w:spacing w:after="40"/>
            </w:pPr>
            <w:r>
              <w:rPr>
                <w:rFonts w:ascii="Times New Roman" w:hAnsi="Times New Roman"/>
                <w:sz w:val="19"/>
              </w:rPr>
              <w:t>100 m/px</w:t>
            </w:r>
          </w:p>
        </w:tc>
        <w:tc>
          <w:tcPr>
            <w:tcW w:type="dxa" w:w="6048"/>
          </w:tcPr>
          <w:p>
            <w:pPr>
              <w:spacing w:after="40"/>
            </w:pPr>
            <w:r>
              <w:rPr>
                <w:rFonts w:ascii="Times New Roman" w:hAnsi="Times New Roman"/>
                <w:sz w:val="19"/>
              </w:rPr>
              <w:t>The highest-value missing dataset. Same source and format as the day mosaic already held; day–night pairing is what turns brightness temperature into thermal inertia.</w:t>
            </w:r>
          </w:p>
        </w:tc>
      </w:tr>
      <w:tr>
        <w:trPr>
          <w:cantSplit/>
        </w:trPr>
        <w:tc>
          <w:tcPr>
            <w:tcW w:type="dxa" w:w="2160"/>
          </w:tcPr>
          <w:p>
            <w:pPr>
              <w:spacing w:after="40"/>
            </w:pPr>
            <w:r>
              <w:rPr>
                <w:rFonts w:ascii="Times New Roman" w:hAnsi="Times New Roman"/>
                <w:sz w:val="19"/>
              </w:rPr>
              <w:t>CTX mosaic tiles (bounded, not global)</w:t>
            </w:r>
          </w:p>
        </w:tc>
        <w:tc>
          <w:tcPr>
            <w:tcW w:type="dxa" w:w="1152"/>
          </w:tcPr>
          <w:p>
            <w:pPr>
              <w:spacing w:after="40"/>
            </w:pPr>
            <w:r>
              <w:rPr>
                <w:rFonts w:ascii="Times New Roman" w:hAnsi="Times New Roman"/>
                <w:sz w:val="19"/>
              </w:rPr>
              <w:t>5–6 m/px</w:t>
            </w:r>
          </w:p>
        </w:tc>
        <w:tc>
          <w:tcPr>
            <w:tcW w:type="dxa" w:w="6048"/>
          </w:tcPr>
          <w:p>
            <w:pPr>
              <w:spacing w:after="40"/>
            </w:pPr>
            <w:r>
              <w:rPr>
                <w:rFonts w:ascii="Times New Roman" w:hAnsi="Times New Roman"/>
                <w:sz w:val="19"/>
              </w:rPr>
              <w:t>Needed only over the type area, to resolve channel margins and craters below the ~1 km limit of the 100 m base. A global CTX mosaic is multi-terabyte and is explicitly out of scope.</w:t>
            </w:r>
          </w:p>
        </w:tc>
      </w:tr>
      <w:tr>
        <w:trPr>
          <w:cantSplit/>
        </w:trPr>
        <w:tc>
          <w:tcPr>
            <w:tcW w:type="dxa" w:w="2160"/>
          </w:tcPr>
          <w:p>
            <w:pPr>
              <w:spacing w:after="40"/>
            </w:pPr>
            <w:r>
              <w:rPr>
                <w:rFonts w:ascii="Times New Roman" w:hAnsi="Times New Roman"/>
                <w:sz w:val="19"/>
              </w:rPr>
              <w:t>A crater catalogue or digitized crater layer</w:t>
            </w:r>
          </w:p>
        </w:tc>
        <w:tc>
          <w:tcPr>
            <w:tcW w:type="dxa" w:w="1152"/>
          </w:tcPr>
          <w:p>
            <w:pPr>
              <w:spacing w:after="40"/>
            </w:pPr>
            <w:r>
              <w:rPr>
                <w:rFonts w:ascii="Times New Roman" w:hAnsi="Times New Roman"/>
                <w:sz w:val="19"/>
              </w:rPr>
              <w:t>n/a</w:t>
            </w:r>
          </w:p>
        </w:tc>
        <w:tc>
          <w:tcPr>
            <w:tcW w:type="dxa" w:w="6048"/>
          </w:tcPr>
          <w:p>
            <w:pPr>
              <w:spacing w:after="40"/>
            </w:pPr>
            <w:r>
              <w:rPr>
                <w:rFonts w:ascii="Times New Roman" w:hAnsi="Times New Roman"/>
                <w:sz w:val="19"/>
              </w:rPr>
              <w:t>The IAU layers are named features only. Crater statistics need either a published catalogue or craters digitized in the type area.</w:t>
            </w:r>
          </w:p>
        </w:tc>
      </w:tr>
    </w:tbl>
    <w:p>
      <w:pPr>
        <w:spacing w:after="40" w:before="0"/>
      </w:pPr>
    </w:p>
    <w:p>
      <w:pPr>
        <w:keepNext/>
        <w:spacing w:after="80" w:before="200"/>
      </w:pPr>
      <w:r>
        <w:rPr>
          <w:rFonts w:ascii="Times New Roman" w:hAnsi="Times New Roman"/>
          <w:b/>
          <w:i/>
          <w:sz w:val="24"/>
        </w:rPr>
        <w:t>Which spectral bands</w:t>
      </w:r>
    </w:p>
    <w:p>
      <w:pPr>
        <w:spacing w:after="120" w:before="0"/>
      </w:pPr>
      <w:r>
        <w:rPr>
          <w:rFonts w:ascii="Times New Roman" w:hAnsi="Times New Roman"/>
          <w:b w:val="0"/>
          <w:i w:val="0"/>
          <w:sz w:val="24"/>
        </w:rPr>
        <w:t>The band set is chosen so that each of the three landform families is addressed by at least two independent lines of evidence — one morphological and one spectral or thermophysical.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139"/>
            <w:shd w:val="clear" w:fill="DCDCDC"/>
          </w:tcPr>
          <w:p>
            <w:pPr>
              <w:spacing w:after="40"/>
            </w:pPr>
            <w:r>
              <w:rPr>
                <w:rFonts w:ascii="Times New Roman" w:hAnsi="Times New Roman"/>
                <w:b/>
                <w:sz w:val="19"/>
              </w:rPr>
              <w:t>Band or product</w:t>
            </w:r>
          </w:p>
        </w:tc>
        <w:tc>
          <w:tcPr>
            <w:tcW w:type="dxa" w:w="1471"/>
            <w:shd w:val="clear" w:fill="DCDCDC"/>
          </w:tcPr>
          <w:p>
            <w:pPr>
              <w:spacing w:after="40"/>
            </w:pPr>
            <w:r>
              <w:rPr>
                <w:rFonts w:ascii="Times New Roman" w:hAnsi="Times New Roman"/>
                <w:b/>
                <w:sz w:val="19"/>
              </w:rPr>
              <w:t>Wavelength</w:t>
            </w:r>
          </w:p>
        </w:tc>
        <w:tc>
          <w:tcPr>
            <w:tcW w:type="dxa" w:w="5750"/>
            <w:shd w:val="clear" w:fill="DCDCDC"/>
          </w:tcPr>
          <w:p>
            <w:pPr>
              <w:spacing w:after="40"/>
            </w:pPr>
            <w:r>
              <w:rPr>
                <w:rFonts w:ascii="Times New Roman" w:hAnsi="Times New Roman"/>
                <w:b/>
                <w:sz w:val="19"/>
              </w:rPr>
              <w:t>Why this band</w:t>
            </w:r>
          </w:p>
        </w:tc>
      </w:tr>
      <w:tr>
        <w:trPr>
          <w:cantSplit/>
        </w:trPr>
        <w:tc>
          <w:tcPr>
            <w:tcW w:type="dxa" w:w="2139"/>
          </w:tcPr>
          <w:p>
            <w:pPr>
              <w:spacing w:after="40"/>
            </w:pPr>
            <w:r>
              <w:rPr>
                <w:rFonts w:ascii="Times New Roman" w:hAnsi="Times New Roman"/>
                <w:sz w:val="19"/>
              </w:rPr>
              <w:t>THEMIS Day IR (v12 mosaic)</w:t>
            </w:r>
          </w:p>
        </w:tc>
        <w:tc>
          <w:tcPr>
            <w:tcW w:type="dxa" w:w="1471"/>
          </w:tcPr>
          <w:p>
            <w:pPr>
              <w:spacing w:after="40"/>
            </w:pPr>
            <w:r>
              <w:rPr>
                <w:rFonts w:ascii="Times New Roman" w:hAnsi="Times New Roman"/>
                <w:sz w:val="19"/>
              </w:rPr>
              <w:t>6.8–14.9 µm</w:t>
            </w:r>
          </w:p>
        </w:tc>
        <w:tc>
          <w:tcPr>
            <w:tcW w:type="dxa" w:w="5750"/>
          </w:tcPr>
          <w:p>
            <w:pPr>
              <w:spacing w:after="40"/>
            </w:pPr>
            <w:r>
              <w:rPr>
                <w:rFonts w:ascii="Times New Roman" w:hAnsi="Times New Roman"/>
                <w:sz w:val="19"/>
              </w:rPr>
              <w:t>The global morphology and composition base; the highest-resolution global layer held, at 100 m</w:t>
            </w:r>
          </w:p>
        </w:tc>
      </w:tr>
      <w:tr>
        <w:trPr>
          <w:cantSplit/>
        </w:trPr>
        <w:tc>
          <w:tcPr>
            <w:tcW w:type="dxa" w:w="2139"/>
          </w:tcPr>
          <w:p>
            <w:pPr>
              <w:spacing w:after="40"/>
            </w:pPr>
            <w:r>
              <w:rPr>
                <w:rFonts w:ascii="Times New Roman" w:hAnsi="Times New Roman"/>
                <w:sz w:val="19"/>
              </w:rPr>
              <w:t>Viking MDIM 2.1 band 1 (red)</w:t>
            </w:r>
          </w:p>
        </w:tc>
        <w:tc>
          <w:tcPr>
            <w:tcW w:type="dxa" w:w="1471"/>
          </w:tcPr>
          <w:p>
            <w:pPr>
              <w:spacing w:after="40"/>
            </w:pPr>
            <w:r>
              <w:rPr>
                <w:rFonts w:ascii="Times New Roman" w:hAnsi="Times New Roman"/>
                <w:sz w:val="19"/>
              </w:rPr>
              <w:t>≈ 0.59 µm</w:t>
            </w:r>
          </w:p>
        </w:tc>
        <w:tc>
          <w:tcPr>
            <w:tcW w:type="dxa" w:w="5750"/>
          </w:tcPr>
          <w:p>
            <w:pPr>
              <w:spacing w:after="40"/>
            </w:pPr>
            <w:r>
              <w:rPr>
                <w:rFonts w:ascii="Times New Roman" w:hAnsi="Times New Roman"/>
                <w:sz w:val="19"/>
              </w:rPr>
              <w:t>Best contrast between ferric dust and darker basaltic surfaces</w:t>
            </w:r>
          </w:p>
        </w:tc>
      </w:tr>
      <w:tr>
        <w:trPr>
          <w:cantSplit/>
        </w:trPr>
        <w:tc>
          <w:tcPr>
            <w:tcW w:type="dxa" w:w="2139"/>
          </w:tcPr>
          <w:p>
            <w:pPr>
              <w:spacing w:after="40"/>
            </w:pPr>
            <w:r>
              <w:rPr>
                <w:rFonts w:ascii="Times New Roman" w:hAnsi="Times New Roman"/>
                <w:sz w:val="19"/>
              </w:rPr>
              <w:t>Viking MDIM 2.1 bands 1/2/3</w:t>
            </w:r>
          </w:p>
        </w:tc>
        <w:tc>
          <w:tcPr>
            <w:tcW w:type="dxa" w:w="1471"/>
          </w:tcPr>
          <w:p>
            <w:pPr>
              <w:spacing w:after="40"/>
            </w:pPr>
            <w:r>
              <w:rPr>
                <w:rFonts w:ascii="Times New Roman" w:hAnsi="Times New Roman"/>
                <w:sz w:val="19"/>
              </w:rPr>
              <w:t>visible RGB</w:t>
            </w:r>
          </w:p>
        </w:tc>
        <w:tc>
          <w:tcPr>
            <w:tcW w:type="dxa" w:w="5750"/>
          </w:tcPr>
          <w:p>
            <w:pPr>
              <w:spacing w:after="40"/>
            </w:pPr>
            <w:r>
              <w:rPr>
                <w:rFonts w:ascii="Times New Roman" w:hAnsi="Times New Roman"/>
                <w:sz w:val="19"/>
              </w:rPr>
              <w:t>Natural-colour context and unit boundary confirmation; currently displayed with a 0.5% min-max stretch</w:t>
            </w:r>
          </w:p>
        </w:tc>
      </w:tr>
      <w:tr>
        <w:trPr>
          <w:cantSplit/>
        </w:trPr>
        <w:tc>
          <w:tcPr>
            <w:tcW w:type="dxa" w:w="2139"/>
          </w:tcPr>
          <w:p>
            <w:pPr>
              <w:spacing w:after="40"/>
            </w:pPr>
            <w:r>
              <w:rPr>
                <w:rFonts w:ascii="Times New Roman" w:hAnsi="Times New Roman"/>
                <w:sz w:val="19"/>
              </w:rPr>
              <w:t>HRSC/MOLA elevation</w:t>
            </w:r>
          </w:p>
        </w:tc>
        <w:tc>
          <w:tcPr>
            <w:tcW w:type="dxa" w:w="1471"/>
          </w:tcPr>
          <w:p>
            <w:pPr>
              <w:spacing w:after="40"/>
            </w:pPr>
            <w:r>
              <w:rPr>
                <w:rFonts w:ascii="Times New Roman" w:hAnsi="Times New Roman"/>
                <w:sz w:val="19"/>
              </w:rPr>
              <w:t>n/a (altimetry)</w:t>
            </w:r>
          </w:p>
        </w:tc>
        <w:tc>
          <w:tcPr>
            <w:tcW w:type="dxa" w:w="5750"/>
          </w:tcPr>
          <w:p>
            <w:pPr>
              <w:spacing w:after="40"/>
            </w:pPr>
            <w:r>
              <w:rPr>
                <w:rFonts w:ascii="Times New Roman" w:hAnsi="Times New Roman"/>
                <w:sz w:val="19"/>
              </w:rPr>
              <w:t>Absolute elevation; the vertical reference for every channel gradient measured</w:t>
            </w:r>
          </w:p>
        </w:tc>
      </w:tr>
      <w:tr>
        <w:trPr>
          <w:cantSplit/>
        </w:trPr>
        <w:tc>
          <w:tcPr>
            <w:tcW w:type="dxa" w:w="2139"/>
          </w:tcPr>
          <w:p>
            <w:pPr>
              <w:spacing w:after="40"/>
            </w:pPr>
            <w:r>
              <w:rPr>
                <w:rFonts w:ascii="Times New Roman" w:hAnsi="Times New Roman"/>
                <w:sz w:val="19"/>
              </w:rPr>
              <w:t>Derived: slope, percent rise</w:t>
            </w:r>
          </w:p>
        </w:tc>
        <w:tc>
          <w:tcPr>
            <w:tcW w:type="dxa" w:w="1471"/>
          </w:tcPr>
          <w:p>
            <w:pPr>
              <w:spacing w:after="40"/>
            </w:pPr>
            <w:r>
              <w:rPr>
                <w:rFonts w:ascii="Times New Roman" w:hAnsi="Times New Roman"/>
                <w:sz w:val="19"/>
              </w:rPr>
              <w:t>from elevation</w:t>
            </w:r>
          </w:p>
        </w:tc>
        <w:tc>
          <w:tcPr>
            <w:tcW w:type="dxa" w:w="5750"/>
          </w:tcPr>
          <w:p>
            <w:pPr>
              <w:spacing w:after="40"/>
            </w:pPr>
            <w:r>
              <w:rPr>
                <w:rFonts w:ascii="Times New Roman" w:hAnsi="Times New Roman"/>
                <w:sz w:val="19"/>
              </w:rPr>
              <w:t>Terrain slope for channel gradients and flow-front steepness</w:t>
            </w:r>
          </w:p>
        </w:tc>
      </w:tr>
      <w:tr>
        <w:trPr>
          <w:cantSplit/>
        </w:trPr>
        <w:tc>
          <w:tcPr>
            <w:tcW w:type="dxa" w:w="2139"/>
          </w:tcPr>
          <w:p>
            <w:pPr>
              <w:spacing w:after="40"/>
            </w:pPr>
            <w:r>
              <w:rPr>
                <w:rFonts w:ascii="Times New Roman" w:hAnsi="Times New Roman"/>
                <w:sz w:val="19"/>
              </w:rPr>
              <w:t>Derived: hillshade 225°/45°</w:t>
            </w:r>
          </w:p>
        </w:tc>
        <w:tc>
          <w:tcPr>
            <w:tcW w:type="dxa" w:w="1471"/>
          </w:tcPr>
          <w:p>
            <w:pPr>
              <w:spacing w:after="40"/>
            </w:pPr>
            <w:r>
              <w:rPr>
                <w:rFonts w:ascii="Times New Roman" w:hAnsi="Times New Roman"/>
                <w:sz w:val="19"/>
              </w:rPr>
              <w:t>from elevation</w:t>
            </w:r>
          </w:p>
        </w:tc>
        <w:tc>
          <w:tcPr>
            <w:tcW w:type="dxa" w:w="5750"/>
          </w:tcPr>
          <w:p>
            <w:pPr>
              <w:spacing w:after="40"/>
            </w:pPr>
            <w:r>
              <w:rPr>
                <w:rFonts w:ascii="Times New Roman" w:hAnsi="Times New Roman"/>
                <w:sz w:val="19"/>
              </w:rPr>
              <w:t>Shaded relief for visual interpretation of flow lobes and crater rims</w:t>
            </w:r>
          </w:p>
        </w:tc>
      </w:tr>
      <w:tr>
        <w:trPr>
          <w:cantSplit/>
        </w:trPr>
        <w:tc>
          <w:tcPr>
            <w:tcW w:type="dxa" w:w="2139"/>
          </w:tcPr>
          <w:p>
            <w:pPr>
              <w:spacing w:after="40"/>
            </w:pPr>
            <w:r>
              <w:rPr>
                <w:rFonts w:ascii="Times New Roman" w:hAnsi="Times New Roman"/>
                <w:sz w:val="19"/>
              </w:rPr>
              <w:t>Derived: THEMIS DN gradient</w:t>
            </w:r>
          </w:p>
        </w:tc>
        <w:tc>
          <w:tcPr>
            <w:tcW w:type="dxa" w:w="1471"/>
          </w:tcPr>
          <w:p>
            <w:pPr>
              <w:spacing w:after="40"/>
            </w:pPr>
            <w:r>
              <w:rPr>
                <w:rFonts w:ascii="Times New Roman" w:hAnsi="Times New Roman"/>
                <w:sz w:val="19"/>
              </w:rPr>
              <w:t>from thermal IR</w:t>
            </w:r>
          </w:p>
        </w:tc>
        <w:tc>
          <w:tcPr>
            <w:tcW w:type="dxa" w:w="5750"/>
          </w:tcPr>
          <w:p>
            <w:pPr>
              <w:spacing w:after="40"/>
            </w:pPr>
            <w:r>
              <w:rPr>
                <w:rFonts w:ascii="Times New Roman" w:hAnsi="Times New Roman"/>
                <w:sz w:val="19"/>
              </w:rPr>
              <w:t>Edge and texture measure — highlights thermal boundaries at flow margins</w:t>
            </w:r>
          </w:p>
        </w:tc>
      </w:tr>
      <w:tr>
        <w:trPr>
          <w:cantSplit/>
        </w:trPr>
        <w:tc>
          <w:tcPr>
            <w:tcW w:type="dxa" w:w="2139"/>
          </w:tcPr>
          <w:p>
            <w:pPr>
              <w:spacing w:after="40"/>
            </w:pPr>
            <w:r>
              <w:rPr>
                <w:rFonts w:ascii="Times New Roman" w:hAnsi="Times New Roman"/>
                <w:sz w:val="19"/>
              </w:rPr>
              <w:t>Derived: Viking DN gradient</w:t>
            </w:r>
          </w:p>
        </w:tc>
        <w:tc>
          <w:tcPr>
            <w:tcW w:type="dxa" w:w="1471"/>
          </w:tcPr>
          <w:p>
            <w:pPr>
              <w:spacing w:after="40"/>
            </w:pPr>
            <w:r>
              <w:rPr>
                <w:rFonts w:ascii="Times New Roman" w:hAnsi="Times New Roman"/>
                <w:sz w:val="19"/>
              </w:rPr>
              <w:t>from visible</w:t>
            </w:r>
          </w:p>
        </w:tc>
        <w:tc>
          <w:tcPr>
            <w:tcW w:type="dxa" w:w="5750"/>
          </w:tcPr>
          <w:p>
            <w:pPr>
              <w:spacing w:after="40"/>
            </w:pPr>
            <w:r>
              <w:rPr>
                <w:rFonts w:ascii="Times New Roman" w:hAnsi="Times New Roman"/>
                <w:sz w:val="19"/>
              </w:rPr>
              <w:t>Edge and texture measure — highlights albedo boundaries and crater rims</w:t>
            </w:r>
          </w:p>
        </w:tc>
      </w:tr>
      <w:tr>
        <w:trPr>
          <w:cantSplit/>
        </w:trPr>
        <w:tc>
          <w:tcPr>
            <w:tcW w:type="dxa" w:w="2139"/>
          </w:tcPr>
          <w:p>
            <w:pPr>
              <w:spacing w:after="40"/>
            </w:pPr>
            <w:r>
              <w:rPr>
                <w:rFonts w:ascii="Times New Roman" w:hAnsi="Times New Roman"/>
                <w:sz w:val="19"/>
              </w:rPr>
              <w:t>Planned: THEMIS day − night</w:t>
            </w:r>
          </w:p>
        </w:tc>
        <w:tc>
          <w:tcPr>
            <w:tcW w:type="dxa" w:w="1471"/>
          </w:tcPr>
          <w:p>
            <w:pPr>
              <w:spacing w:after="40"/>
            </w:pPr>
            <w:r>
              <w:rPr>
                <w:rFonts w:ascii="Times New Roman" w:hAnsi="Times New Roman"/>
                <w:sz w:val="19"/>
              </w:rPr>
              <w:t>6.8–14.9 µm</w:t>
            </w:r>
          </w:p>
        </w:tc>
        <w:tc>
          <w:tcPr>
            <w:tcW w:type="dxa" w:w="5750"/>
          </w:tcPr>
          <w:p>
            <w:pPr>
              <w:spacing w:after="40"/>
            </w:pPr>
            <w:r>
              <w:rPr>
                <w:rFonts w:ascii="Times New Roman" w:hAnsi="Times New Roman"/>
                <w:sz w:val="19"/>
              </w:rPr>
              <w:t>Thermal inertia proxy; requires the night mosaic to be acquired</w:t>
            </w:r>
          </w:p>
        </w:tc>
      </w:tr>
    </w:tbl>
    <w:p>
      <w:pPr>
        <w:spacing w:after="40" w:before="0"/>
      </w:pPr>
    </w:p>
    <w:p>
      <w:pPr>
        <w:keepNext/>
        <w:spacing w:after="80" w:before="200"/>
      </w:pPr>
      <w:r>
        <w:rPr>
          <w:rFonts w:ascii="Times New Roman" w:hAnsi="Times New Roman"/>
          <w:b/>
          <w:i/>
          <w:sz w:val="24"/>
        </w:rPr>
        <w:t>Resolution required — spatial, spectral, radiometric, temporal</w:t>
      </w:r>
    </w:p>
    <w:p>
      <w:pPr>
        <w:keepNext/>
        <w:spacing w:after="40" w:before="120"/>
        <w:ind w:left="360"/>
      </w:pPr>
      <w:r>
        <w:rPr>
          <w:rFonts w:ascii="Times New Roman" w:hAnsi="Times New Roman"/>
          <w:b/>
          <w:i w:val="0"/>
          <w:sz w:val="24"/>
        </w:rPr>
        <w:t>Spatial</w:t>
      </w:r>
    </w:p>
    <w:p>
      <w:pPr>
        <w:pStyle w:val="ListBullet2"/>
        <w:spacing w:after="80"/>
      </w:pPr>
      <w:r>
        <w:rPr>
          <w:rFonts w:ascii="Times New Roman" w:hAnsi="Times New Roman"/>
          <w:sz w:val="24"/>
        </w:rPr>
        <w:t>The global base is set by what is held: 100 m (THEMIS), 200 m (DEM), 232 m (Viking). The composite can be no finer than the coarsest input unless the others are resampled up.</w:t>
      </w:r>
    </w:p>
    <w:p>
      <w:pPr>
        <w:pStyle w:val="ListBullet2"/>
        <w:spacing w:after="80"/>
      </w:pPr>
      <w:r>
        <w:rPr>
          <w:rFonts w:ascii="Times New Roman" w:hAnsi="Times New Roman"/>
          <w:sz w:val="24"/>
        </w:rPr>
        <w:t>Working rule: roughly ten pixels across a feature are needed to map its margin reliably. At 100 m that means features ≥ 1 km — adequate for flow lobes and trunk valleys, but sub-kilometre tributaries will not resolve.</w:t>
      </w:r>
    </w:p>
    <w:p>
      <w:pPr>
        <w:pStyle w:val="ListBullet2"/>
        <w:spacing w:after="80"/>
      </w:pPr>
      <w:r>
        <w:rPr>
          <w:rFonts w:ascii="Times New Roman" w:hAnsi="Times New Roman"/>
          <w:sz w:val="24"/>
        </w:rPr>
        <w:t>That limit is the argument for bounded CTX windows at 5–6 m over the type area rather than a finer global sheet. No sub-metre imagery is held, so everything below about a kilometre is a stated limit of the mapping rather than something this project can resolve.</w:t>
      </w:r>
    </w:p>
    <w:p>
      <w:pPr>
        <w:keepNext/>
        <w:spacing w:after="40" w:before="120"/>
        <w:ind w:left="360"/>
      </w:pPr>
      <w:r>
        <w:rPr>
          <w:rFonts w:ascii="Times New Roman" w:hAnsi="Times New Roman"/>
          <w:b/>
          <w:i w:val="0"/>
          <w:sz w:val="24"/>
        </w:rPr>
        <w:t>Spectral</w:t>
      </w:r>
    </w:p>
    <w:p>
      <w:pPr>
        <w:pStyle w:val="ListBullet2"/>
        <w:spacing w:after="80"/>
      </w:pPr>
      <w:r>
        <w:rPr>
          <w:rFonts w:ascii="Times New Roman" w:hAnsi="Times New Roman"/>
          <w:sz w:val="24"/>
        </w:rPr>
        <w:t>Held: one thermal band (THEMIS day) plus three visible bands (Viking). That is four bands total — enough to discriminate broad unit types, not enough to identify minerals.</w:t>
      </w:r>
    </w:p>
    <w:p>
      <w:pPr>
        <w:pStyle w:val="ListBullet2"/>
        <w:spacing w:after="80"/>
      </w:pPr>
      <w:r>
        <w:rPr>
          <w:rFonts w:ascii="Times New Roman" w:hAnsi="Times New Roman"/>
          <w:sz w:val="24"/>
        </w:rPr>
        <w:t>Adding THEMIS Night IR is the single highest-value spectral addition, because it converts the existing day mosaic into a thermophysical measurement rather than just an image.</w:t>
      </w:r>
    </w:p>
    <w:p>
      <w:pPr>
        <w:pStyle w:val="ListBullet2"/>
        <w:spacing w:after="80"/>
      </w:pPr>
      <w:r>
        <w:rPr>
          <w:rFonts w:ascii="Times New Roman" w:hAnsi="Times New Roman"/>
          <w:sz w:val="24"/>
        </w:rPr>
        <w:t>Mineral identification would require CRISM, which ArcGIS Pro cannot process as hyperspectral cubes. Out of scope; noted as a limitation rather than a plan.</w:t>
      </w:r>
    </w:p>
    <w:p>
      <w:pPr>
        <w:keepNext/>
        <w:spacing w:after="40" w:before="120"/>
        <w:ind w:left="360"/>
      </w:pPr>
      <w:r>
        <w:rPr>
          <w:rFonts w:ascii="Times New Roman" w:hAnsi="Times New Roman"/>
          <w:b/>
          <w:i w:val="0"/>
          <w:sz w:val="24"/>
        </w:rPr>
        <w:t>Radiometric</w:t>
      </w:r>
    </w:p>
    <w:p>
      <w:pPr>
        <w:pStyle w:val="ListBullet2"/>
        <w:spacing w:after="80"/>
      </w:pPr>
      <w:r>
        <w:rPr>
          <w:rFonts w:ascii="Times New Roman" w:hAnsi="Times New Roman"/>
          <w:sz w:val="24"/>
        </w:rPr>
        <w:t>THEMIS and Viking are both 8-bit as distributed — adequate for morphology and for the visual mosaic, and the practical constraint on how finely surface units can be separated by DN alone.</w:t>
      </w:r>
    </w:p>
    <w:p>
      <w:pPr>
        <w:pStyle w:val="ListBullet2"/>
        <w:spacing w:after="80"/>
      </w:pPr>
      <w:r>
        <w:rPr>
          <w:rFonts w:ascii="Times New Roman" w:hAnsi="Times New Roman"/>
          <w:sz w:val="24"/>
        </w:rPr>
        <w:t>The DEM is the exception: it carries a real physical range of −8,528 m to +21,226 m, a relief of 29,754 m, which is where the quantitative measurements in this project will come from.</w:t>
      </w:r>
    </w:p>
    <w:p>
      <w:pPr>
        <w:pStyle w:val="ListBullet2"/>
        <w:spacing w:after="80"/>
      </w:pPr>
      <w:r>
        <w:rPr>
          <w:rFonts w:ascii="Times New Roman" w:hAnsi="Times New Roman"/>
          <w:sz w:val="24"/>
        </w:rPr>
        <w:t>Deriving true thermal inertia would require calibrated radiance rather than the 8-bit mosaic. The day–night difference approach is therefore a proxy, and will be described as one.</w:t>
      </w:r>
    </w:p>
    <w:p>
      <w:pPr>
        <w:keepNext/>
        <w:spacing w:after="40" w:before="120"/>
        <w:ind w:left="360"/>
      </w:pPr>
      <w:r>
        <w:rPr>
          <w:rFonts w:ascii="Times New Roman" w:hAnsi="Times New Roman"/>
          <w:b/>
          <w:i w:val="0"/>
          <w:sz w:val="24"/>
        </w:rPr>
        <w:t>Temporal</w:t>
      </w:r>
    </w:p>
    <w:p>
      <w:pPr>
        <w:pStyle w:val="ListBullet2"/>
        <w:spacing w:after="80"/>
      </w:pPr>
      <w:r>
        <w:rPr>
          <w:rFonts w:ascii="Times New Roman" w:hAnsi="Times New Roman"/>
          <w:sz w:val="24"/>
        </w:rPr>
        <w:t>Martian landforms do not change on human timescales, so temporal resolution is not about change detection here.</w:t>
      </w:r>
    </w:p>
    <w:p>
      <w:pPr>
        <w:pStyle w:val="ListBullet2"/>
        <w:spacing w:after="80"/>
      </w:pPr>
      <w:r>
        <w:rPr>
          <w:rFonts w:ascii="Times New Roman" w:hAnsi="Times New Roman"/>
          <w:sz w:val="24"/>
        </w:rPr>
        <w:t>It matters diurnally: day and night IR of the same ground is the entire basis of the planned thermal inertia product.</w:t>
      </w:r>
    </w:p>
    <w:p>
      <w:pPr>
        <w:pStyle w:val="ListBullet2"/>
        <w:spacing w:after="80"/>
      </w:pPr>
      <w:r>
        <w:rPr>
          <w:rFonts w:ascii="Times New Roman" w:hAnsi="Times New Roman"/>
          <w:sz w:val="24"/>
        </w:rPr>
        <w:t>It matters seasonally in the source mosaics, which are already composited from many orbits selected for low dust opacity — an upstream decision inherited rather than controlled.</w:t>
      </w:r>
    </w:p>
    <w:p>
      <w:pPr>
        <w:pStyle w:val="ListBullet2"/>
        <w:spacing w:after="80"/>
      </w:pPr>
      <w:r>
        <w:rPr>
          <w:rFonts w:ascii="Times New Roman" w:hAnsi="Times New Roman"/>
          <w:sz w:val="24"/>
        </w:rPr>
        <w:t>The one genuinely time-varying layer is the Perseverance traverse feature service in the Jezero context map, which updates as the rover drives. It is a hosted web service rather than held data, so it needs a network connection.</w:t>
      </w:r>
    </w:p>
    <w:p>
      <w:pPr>
        <w:keepNext/>
        <w:pageBreakBefore/>
        <w:spacing w:after="80" w:before="200"/>
      </w:pPr>
      <w:r>
        <w:rPr>
          <w:rFonts w:ascii="Times New Roman" w:hAnsi="Times New Roman"/>
          <w:b/>
          <w:i/>
          <w:sz w:val="24"/>
        </w:rPr>
        <w:t>Project schedule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720"/>
            <w:shd w:val="clear" w:fill="DCDCDC"/>
          </w:tcPr>
          <w:p>
            <w:pPr>
              <w:spacing w:after="40"/>
            </w:pPr>
            <w:r>
              <w:rPr>
                <w:rFonts w:ascii="Times New Roman" w:hAnsi="Times New Roman"/>
                <w:b/>
                <w:sz w:val="20"/>
              </w:rPr>
              <w:t>Week</w:t>
            </w:r>
          </w:p>
        </w:tc>
        <w:tc>
          <w:tcPr>
            <w:tcW w:type="dxa" w:w="2088"/>
            <w:shd w:val="clear" w:fill="DCDCDC"/>
          </w:tcPr>
          <w:p>
            <w:pPr>
              <w:spacing w:after="40"/>
            </w:pPr>
            <w:r>
              <w:rPr>
                <w:rFonts w:ascii="Times New Roman" w:hAnsi="Times New Roman"/>
                <w:b/>
                <w:sz w:val="20"/>
              </w:rPr>
              <w:t>Dates (2026)</w:t>
            </w:r>
          </w:p>
        </w:tc>
        <w:tc>
          <w:tcPr>
            <w:tcW w:type="dxa" w:w="4680"/>
            <w:shd w:val="clear" w:fill="DCDCDC"/>
          </w:tcPr>
          <w:p>
            <w:pPr>
              <w:spacing w:after="40"/>
            </w:pPr>
            <w:r>
              <w:rPr>
                <w:rFonts w:ascii="Times New Roman" w:hAnsi="Times New Roman"/>
                <w:b/>
                <w:sz w:val="20"/>
              </w:rPr>
              <w:t>Activity</w:t>
            </w:r>
          </w:p>
        </w:tc>
        <w:tc>
          <w:tcPr>
            <w:tcW w:type="dxa" w:w="1872"/>
            <w:shd w:val="clear" w:fill="DCDCDC"/>
          </w:tcPr>
          <w:p>
            <w:pPr>
              <w:spacing w:after="40"/>
            </w:pPr>
            <w:r>
              <w:rPr>
                <w:rFonts w:ascii="Times New Roman" w:hAnsi="Times New Roman"/>
                <w:b/>
                <w:sz w:val="20"/>
              </w:rPr>
              <w:t>Deliverable</w:t>
            </w:r>
          </w:p>
        </w:tc>
      </w:tr>
      <w:tr>
        <w:trPr>
          <w:cantSplit/>
        </w:trPr>
        <w:tc>
          <w:tcPr>
            <w:tcW w:type="dxa" w:w="720"/>
          </w:tcPr>
          <w:p>
            <w:pPr>
              <w:spacing w:after="40"/>
            </w:pPr>
            <w:r>
              <w:rPr>
                <w:rFonts w:ascii="Times New Roman" w:hAnsi="Times New Roman"/>
                <w:sz w:val="20"/>
              </w:rPr>
              <w:t>1–2</w:t>
            </w:r>
          </w:p>
        </w:tc>
        <w:tc>
          <w:tcPr>
            <w:tcW w:type="dxa" w:w="2088"/>
          </w:tcPr>
          <w:p>
            <w:pPr>
              <w:spacing w:after="40"/>
            </w:pPr>
            <w:r>
              <w:rPr>
                <w:rFonts w:ascii="Times New Roman" w:hAnsi="Times New Roman"/>
                <w:sz w:val="20"/>
              </w:rPr>
              <w:t>Aug 24 – Sep 4</w:t>
            </w:r>
          </w:p>
        </w:tc>
        <w:tc>
          <w:tcPr>
            <w:tcW w:type="dxa" w:w="4680"/>
          </w:tcPr>
          <w:p>
            <w:pPr>
              <w:spacing w:after="40"/>
            </w:pPr>
            <w:r>
              <w:rPr>
                <w:rFonts w:ascii="Times New Roman" w:hAnsi="Times New Roman"/>
                <w:sz w:val="20"/>
              </w:rPr>
              <w:t>Scoping; target and type-area selection</w:t>
            </w:r>
          </w:p>
        </w:tc>
        <w:tc>
          <w:tcPr>
            <w:tcW w:type="dxa" w:w="1872"/>
          </w:tcPr>
          <w:p>
            <w:pPr>
              <w:spacing w:after="40"/>
            </w:pPr>
            <w:r>
              <w:rPr>
                <w:rFonts w:ascii="Times New Roman" w:hAnsi="Times New Roman"/>
                <w:sz w:val="20"/>
              </w:rPr>
              <w:t>Target list</w:t>
            </w:r>
          </w:p>
        </w:tc>
      </w:tr>
      <w:tr>
        <w:trPr>
          <w:cantSplit/>
        </w:trPr>
        <w:tc>
          <w:tcPr>
            <w:tcW w:type="dxa" w:w="720"/>
          </w:tcPr>
          <w:p>
            <w:pPr>
              <w:spacing w:after="40"/>
            </w:pPr>
            <w:r>
              <w:rPr>
                <w:rFonts w:ascii="Times New Roman" w:hAnsi="Times New Roman"/>
                <w:sz w:val="20"/>
              </w:rPr>
              <w:t>3</w:t>
            </w:r>
          </w:p>
        </w:tc>
        <w:tc>
          <w:tcPr>
            <w:tcW w:type="dxa" w:w="2088"/>
          </w:tcPr>
          <w:p>
            <w:pPr>
              <w:spacing w:after="40"/>
            </w:pPr>
            <w:r>
              <w:rPr>
                <w:rFonts w:ascii="Times New Roman" w:hAnsi="Times New Roman"/>
                <w:sz w:val="20"/>
              </w:rPr>
              <w:t>Sep 7 – Sep 11</w:t>
            </w:r>
          </w:p>
        </w:tc>
        <w:tc>
          <w:tcPr>
            <w:tcW w:type="dxa" w:w="4680"/>
          </w:tcPr>
          <w:p>
            <w:pPr>
              <w:spacing w:after="40"/>
            </w:pPr>
            <w:r>
              <w:rPr>
                <w:rFonts w:ascii="Times New Roman" w:hAnsi="Times New Roman"/>
                <w:sz w:val="20"/>
              </w:rPr>
              <w:t>Global raster acquisition; first derivatives (slope, surface parameters)</w:t>
            </w:r>
          </w:p>
        </w:tc>
        <w:tc>
          <w:tcPr>
            <w:tcW w:type="dxa" w:w="1872"/>
          </w:tcPr>
          <w:p>
            <w:pPr>
              <w:spacing w:after="40"/>
            </w:pPr>
            <w:r>
              <w:rPr>
                <w:rFonts w:ascii="Times New Roman" w:hAnsi="Times New Roman"/>
                <w:sz w:val="20"/>
              </w:rPr>
              <w:t>Three global rasters loaded</w:t>
            </w:r>
          </w:p>
        </w:tc>
      </w:tr>
      <w:tr>
        <w:trPr>
          <w:cantSplit/>
        </w:trPr>
        <w:tc>
          <w:tcPr>
            <w:tcW w:type="dxa" w:w="720"/>
          </w:tcPr>
          <w:p>
            <w:pPr>
              <w:spacing w:after="40"/>
            </w:pPr>
            <w:r>
              <w:rPr>
                <w:rFonts w:ascii="Times New Roman" w:hAnsi="Times New Roman"/>
                <w:sz w:val="20"/>
              </w:rPr>
              <w:t>4</w:t>
            </w:r>
          </w:p>
        </w:tc>
        <w:tc>
          <w:tcPr>
            <w:tcW w:type="dxa" w:w="2088"/>
          </w:tcPr>
          <w:p>
            <w:pPr>
              <w:spacing w:after="40"/>
            </w:pPr>
            <w:r>
              <w:rPr>
                <w:rFonts w:ascii="Times New Roman" w:hAnsi="Times New Roman"/>
                <w:sz w:val="20"/>
              </w:rPr>
              <w:t>Sep 14 – Sep 18</w:t>
            </w:r>
          </w:p>
        </w:tc>
        <w:tc>
          <w:tcPr>
            <w:tcW w:type="dxa" w:w="4680"/>
          </w:tcPr>
          <w:p>
            <w:pPr>
              <w:spacing w:after="40"/>
            </w:pPr>
            <w:r>
              <w:rPr>
                <w:rFonts w:ascii="Times New Roman" w:hAnsi="Times New Roman"/>
                <w:sz w:val="20"/>
              </w:rPr>
              <w:t>Project all layers to SimpleCylindrical_Mars; rebuild DEM derivatives with a valid z-factor</w:t>
            </w:r>
          </w:p>
        </w:tc>
        <w:tc>
          <w:tcPr>
            <w:tcW w:type="dxa" w:w="1872"/>
          </w:tcPr>
          <w:p>
            <w:pPr>
              <w:spacing w:after="40"/>
            </w:pPr>
            <w:r>
              <w:rPr>
                <w:rFonts w:ascii="Times New Roman" w:hAnsi="Times New Roman"/>
                <w:sz w:val="20"/>
              </w:rPr>
              <w:t>Single-CRS layer stack</w:t>
            </w:r>
          </w:p>
        </w:tc>
      </w:tr>
      <w:tr>
        <w:trPr>
          <w:cantSplit/>
        </w:trPr>
        <w:tc>
          <w:tcPr>
            <w:tcW w:type="dxa" w:w="720"/>
          </w:tcPr>
          <w:p>
            <w:pPr>
              <w:spacing w:after="40"/>
            </w:pPr>
            <w:r>
              <w:rPr>
                <w:rFonts w:ascii="Times New Roman" w:hAnsi="Times New Roman"/>
                <w:sz w:val="20"/>
              </w:rPr>
              <w:t>5</w:t>
            </w:r>
          </w:p>
        </w:tc>
        <w:tc>
          <w:tcPr>
            <w:tcW w:type="dxa" w:w="2088"/>
          </w:tcPr>
          <w:p>
            <w:pPr>
              <w:spacing w:after="40"/>
            </w:pPr>
            <w:r>
              <w:rPr>
                <w:rFonts w:ascii="Times New Roman" w:hAnsi="Times New Roman"/>
                <w:sz w:val="20"/>
              </w:rPr>
              <w:t>Sep 21 – Sep 25</w:t>
            </w:r>
          </w:p>
        </w:tc>
        <w:tc>
          <w:tcPr>
            <w:tcW w:type="dxa" w:w="4680"/>
          </w:tcPr>
          <w:p>
            <w:pPr>
              <w:spacing w:after="40"/>
            </w:pPr>
            <w:r>
              <w:rPr>
                <w:rFonts w:ascii="Times New Roman" w:hAnsi="Times New Roman"/>
                <w:sz w:val="20"/>
              </w:rPr>
              <w:t>Composite Bands over bounded extents; acquire THEMIS Night IR</w:t>
            </w:r>
          </w:p>
        </w:tc>
        <w:tc>
          <w:tcPr>
            <w:tcW w:type="dxa" w:w="1872"/>
          </w:tcPr>
          <w:p>
            <w:pPr>
              <w:spacing w:after="40"/>
            </w:pPr>
            <w:r>
              <w:rPr>
                <w:rFonts w:ascii="Times New Roman" w:hAnsi="Times New Roman"/>
                <w:sz w:val="20"/>
              </w:rPr>
              <w:t>Visible + IR composite raster</w:t>
            </w:r>
          </w:p>
        </w:tc>
      </w:tr>
      <w:tr>
        <w:trPr>
          <w:cantSplit/>
        </w:trPr>
        <w:tc>
          <w:tcPr>
            <w:tcW w:type="dxa" w:w="720"/>
          </w:tcPr>
          <w:p>
            <w:pPr>
              <w:spacing w:after="40"/>
            </w:pPr>
            <w:r>
              <w:rPr>
                <w:rFonts w:ascii="Times New Roman" w:hAnsi="Times New Roman"/>
                <w:sz w:val="20"/>
              </w:rPr>
              <w:t>6</w:t>
            </w:r>
          </w:p>
        </w:tc>
        <w:tc>
          <w:tcPr>
            <w:tcW w:type="dxa" w:w="2088"/>
          </w:tcPr>
          <w:p>
            <w:pPr>
              <w:spacing w:after="40"/>
            </w:pPr>
            <w:r>
              <w:rPr>
                <w:rFonts w:ascii="Times New Roman" w:hAnsi="Times New Roman"/>
                <w:sz w:val="20"/>
              </w:rPr>
              <w:t>Sep 28 – Oct 2</w:t>
            </w:r>
          </w:p>
        </w:tc>
        <w:tc>
          <w:tcPr>
            <w:tcW w:type="dxa" w:w="4680"/>
          </w:tcPr>
          <w:p>
            <w:pPr>
              <w:spacing w:after="40"/>
            </w:pPr>
            <w:r>
              <w:rPr>
                <w:rFonts w:ascii="Times New Roman" w:hAnsi="Times New Roman"/>
                <w:sz w:val="20"/>
              </w:rPr>
              <w:t>Day–night thermal difference; training polygons</w:t>
            </w:r>
          </w:p>
        </w:tc>
        <w:tc>
          <w:tcPr>
            <w:tcW w:type="dxa" w:w="1872"/>
          </w:tcPr>
          <w:p>
            <w:pPr>
              <w:spacing w:after="40"/>
            </w:pPr>
            <w:r>
              <w:rPr>
                <w:rFonts w:ascii="Times New Roman" w:hAnsi="Times New Roman"/>
                <w:sz w:val="20"/>
              </w:rPr>
              <w:t>Thermal inertia proxy</w:t>
            </w:r>
          </w:p>
        </w:tc>
      </w:tr>
      <w:tr>
        <w:trPr>
          <w:cantSplit/>
        </w:trPr>
        <w:tc>
          <w:tcPr>
            <w:tcW w:type="dxa" w:w="720"/>
          </w:tcPr>
          <w:p>
            <w:pPr>
              <w:spacing w:after="40"/>
            </w:pPr>
            <w:r>
              <w:rPr>
                <w:rFonts w:ascii="Times New Roman" w:hAnsi="Times New Roman"/>
                <w:sz w:val="20"/>
              </w:rPr>
              <w:t>7–8</w:t>
            </w:r>
          </w:p>
        </w:tc>
        <w:tc>
          <w:tcPr>
            <w:tcW w:type="dxa" w:w="2088"/>
          </w:tcPr>
          <w:p>
            <w:pPr>
              <w:spacing w:after="40"/>
            </w:pPr>
            <w:r>
              <w:rPr>
                <w:rFonts w:ascii="Times New Roman" w:hAnsi="Times New Roman"/>
                <w:sz w:val="20"/>
              </w:rPr>
              <w:t>Oct 5 – Oct 16</w:t>
            </w:r>
          </w:p>
        </w:tc>
        <w:tc>
          <w:tcPr>
            <w:tcW w:type="dxa" w:w="4680"/>
          </w:tcPr>
          <w:p>
            <w:pPr>
              <w:spacing w:after="40"/>
            </w:pPr>
            <w:r>
              <w:rPr>
                <w:rFonts w:ascii="Times New Roman" w:hAnsi="Times New Roman"/>
                <w:sz w:val="20"/>
              </w:rPr>
              <w:t>Iso Cluster and Maximum Likelihood classification of the Mars stack</w:t>
            </w:r>
          </w:p>
        </w:tc>
        <w:tc>
          <w:tcPr>
            <w:tcW w:type="dxa" w:w="1872"/>
          </w:tcPr>
          <w:p>
            <w:pPr>
              <w:spacing w:after="40"/>
            </w:pPr>
            <w:r>
              <w:rPr>
                <w:rFonts w:ascii="Times New Roman" w:hAnsi="Times New Roman"/>
                <w:sz w:val="20"/>
              </w:rPr>
              <w:t>Interim presentation; classified raster</w:t>
            </w:r>
          </w:p>
        </w:tc>
      </w:tr>
      <w:tr>
        <w:trPr>
          <w:cantSplit/>
        </w:trPr>
        <w:tc>
          <w:tcPr>
            <w:tcW w:type="dxa" w:w="720"/>
          </w:tcPr>
          <w:p>
            <w:pPr>
              <w:spacing w:after="40"/>
            </w:pPr>
            <w:r>
              <w:rPr>
                <w:rFonts w:ascii="Times New Roman" w:hAnsi="Times New Roman"/>
                <w:sz w:val="20"/>
              </w:rPr>
              <w:t>9–10</w:t>
            </w:r>
          </w:p>
        </w:tc>
        <w:tc>
          <w:tcPr>
            <w:tcW w:type="dxa" w:w="2088"/>
          </w:tcPr>
          <w:p>
            <w:pPr>
              <w:spacing w:after="40"/>
            </w:pPr>
            <w:r>
              <w:rPr>
                <w:rFonts w:ascii="Times New Roman" w:hAnsi="Times New Roman"/>
                <w:sz w:val="20"/>
              </w:rPr>
              <w:t>Oct 19 – Oct 30</w:t>
            </w:r>
          </w:p>
        </w:tc>
        <w:tc>
          <w:tcPr>
            <w:tcW w:type="dxa" w:w="4680"/>
          </w:tcPr>
          <w:p>
            <w:pPr>
              <w:spacing w:after="40"/>
            </w:pPr>
            <w:r>
              <w:rPr>
                <w:rFonts w:ascii="Times New Roman" w:hAnsi="Times New Roman"/>
                <w:sz w:val="20"/>
              </w:rPr>
              <w:t>Digitize lava flow margins, channel centerlines, crater rims</w:t>
            </w:r>
          </w:p>
        </w:tc>
        <w:tc>
          <w:tcPr>
            <w:tcW w:type="dxa" w:w="1872"/>
          </w:tcPr>
          <w:p>
            <w:pPr>
              <w:spacing w:after="40"/>
            </w:pPr>
            <w:r>
              <w:rPr>
                <w:rFonts w:ascii="Times New Roman" w:hAnsi="Times New Roman"/>
                <w:sz w:val="20"/>
              </w:rPr>
              <w:t>Landform feature classes</w:t>
            </w:r>
          </w:p>
        </w:tc>
      </w:tr>
      <w:tr>
        <w:trPr>
          <w:cantSplit/>
        </w:trPr>
        <w:tc>
          <w:tcPr>
            <w:tcW w:type="dxa" w:w="720"/>
          </w:tcPr>
          <w:p>
            <w:pPr>
              <w:spacing w:after="40"/>
            </w:pPr>
            <w:r>
              <w:rPr>
                <w:rFonts w:ascii="Times New Roman" w:hAnsi="Times New Roman"/>
                <w:sz w:val="20"/>
              </w:rPr>
              <w:t>11–12</w:t>
            </w:r>
          </w:p>
        </w:tc>
        <w:tc>
          <w:tcPr>
            <w:tcW w:type="dxa" w:w="2088"/>
          </w:tcPr>
          <w:p>
            <w:pPr>
              <w:spacing w:after="40"/>
            </w:pPr>
            <w:r>
              <w:rPr>
                <w:rFonts w:ascii="Times New Roman" w:hAnsi="Times New Roman"/>
                <w:sz w:val="20"/>
              </w:rPr>
              <w:t>Nov 2 – Nov 13</w:t>
            </w:r>
          </w:p>
        </w:tc>
        <w:tc>
          <w:tcPr>
            <w:tcW w:type="dxa" w:w="4680"/>
          </w:tcPr>
          <w:p>
            <w:pPr>
              <w:spacing w:after="40"/>
            </w:pPr>
            <w:r>
              <w:rPr>
                <w:rFonts w:ascii="Times New Roman" w:hAnsi="Times New Roman"/>
                <w:sz w:val="20"/>
              </w:rPr>
              <w:t>Crater inventory and size-frequency distributions in the type area</w:t>
            </w:r>
          </w:p>
        </w:tc>
        <w:tc>
          <w:tcPr>
            <w:tcW w:type="dxa" w:w="1872"/>
          </w:tcPr>
          <w:p>
            <w:pPr>
              <w:spacing w:after="40"/>
            </w:pPr>
            <w:r>
              <w:rPr>
                <w:rFonts w:ascii="Times New Roman" w:hAnsi="Times New Roman"/>
                <w:sz w:val="20"/>
              </w:rPr>
              <w:t>Crater database</w:t>
            </w:r>
          </w:p>
        </w:tc>
      </w:tr>
      <w:tr>
        <w:trPr>
          <w:cantSplit/>
        </w:trPr>
        <w:tc>
          <w:tcPr>
            <w:tcW w:type="dxa" w:w="720"/>
          </w:tcPr>
          <w:p>
            <w:pPr>
              <w:spacing w:after="40"/>
            </w:pPr>
            <w:r>
              <w:rPr>
                <w:rFonts w:ascii="Times New Roman" w:hAnsi="Times New Roman"/>
                <w:sz w:val="20"/>
              </w:rPr>
              <w:t>13</w:t>
            </w:r>
          </w:p>
        </w:tc>
        <w:tc>
          <w:tcPr>
            <w:tcW w:type="dxa" w:w="2088"/>
          </w:tcPr>
          <w:p>
            <w:pPr>
              <w:spacing w:after="40"/>
            </w:pPr>
            <w:r>
              <w:rPr>
                <w:rFonts w:ascii="Times New Roman" w:hAnsi="Times New Roman"/>
                <w:sz w:val="20"/>
              </w:rPr>
              <w:t>Nov 16 – Nov 20</w:t>
            </w:r>
          </w:p>
        </w:tc>
        <w:tc>
          <w:tcPr>
            <w:tcW w:type="dxa" w:w="4680"/>
          </w:tcPr>
          <w:p>
            <w:pPr>
              <w:spacing w:after="40"/>
            </w:pPr>
            <w:r>
              <w:rPr>
                <w:rFonts w:ascii="Times New Roman" w:hAnsi="Times New Roman"/>
                <w:sz w:val="20"/>
              </w:rPr>
              <w:t>Accuracy assessment against a published geologic map</w:t>
            </w:r>
          </w:p>
        </w:tc>
        <w:tc>
          <w:tcPr>
            <w:tcW w:type="dxa" w:w="1872"/>
          </w:tcPr>
          <w:p>
            <w:pPr>
              <w:spacing w:after="40"/>
            </w:pPr>
            <w:r>
              <w:rPr>
                <w:rFonts w:ascii="Times New Roman" w:hAnsi="Times New Roman"/>
                <w:sz w:val="20"/>
              </w:rPr>
              <w:t>Confusion matrix</w:t>
            </w:r>
          </w:p>
        </w:tc>
      </w:tr>
      <w:tr>
        <w:trPr>
          <w:cantSplit/>
        </w:trPr>
        <w:tc>
          <w:tcPr>
            <w:tcW w:type="dxa" w:w="720"/>
          </w:tcPr>
          <w:p>
            <w:pPr>
              <w:spacing w:after="40"/>
            </w:pPr>
            <w:r>
              <w:rPr>
                <w:rFonts w:ascii="Times New Roman" w:hAnsi="Times New Roman"/>
                <w:sz w:val="20"/>
              </w:rPr>
              <w:t>14</w:t>
            </w:r>
          </w:p>
        </w:tc>
        <w:tc>
          <w:tcPr>
            <w:tcW w:type="dxa" w:w="2088"/>
          </w:tcPr>
          <w:p>
            <w:pPr>
              <w:spacing w:after="40"/>
            </w:pPr>
            <w:r>
              <w:rPr>
                <w:rFonts w:ascii="Times New Roman" w:hAnsi="Times New Roman"/>
                <w:sz w:val="20"/>
              </w:rPr>
              <w:t>Nov 23 – Nov 27</w:t>
            </w:r>
          </w:p>
        </w:tc>
        <w:tc>
          <w:tcPr>
            <w:tcW w:type="dxa" w:w="4680"/>
          </w:tcPr>
          <w:p>
            <w:pPr>
              <w:spacing w:after="40"/>
            </w:pPr>
            <w:r>
              <w:rPr>
                <w:rFonts w:ascii="Times New Roman" w:hAnsi="Times New Roman"/>
                <w:sz w:val="20"/>
              </w:rPr>
              <w:t>Map layouts and figure production (Thanksgiving week — front-load into week 13)</w:t>
            </w:r>
          </w:p>
        </w:tc>
        <w:tc>
          <w:tcPr>
            <w:tcW w:type="dxa" w:w="1872"/>
          </w:tcPr>
          <w:p>
            <w:pPr>
              <w:spacing w:after="40"/>
            </w:pPr>
            <w:r>
              <w:rPr>
                <w:rFonts w:ascii="Times New Roman" w:hAnsi="Times New Roman"/>
                <w:sz w:val="20"/>
              </w:rPr>
              <w:t>Map sheets</w:t>
            </w:r>
          </w:p>
        </w:tc>
      </w:tr>
      <w:tr>
        <w:trPr>
          <w:cantSplit/>
        </w:trPr>
        <w:tc>
          <w:tcPr>
            <w:tcW w:type="dxa" w:w="720"/>
          </w:tcPr>
          <w:p>
            <w:pPr>
              <w:spacing w:after="40"/>
            </w:pPr>
            <w:r>
              <w:rPr>
                <w:rFonts w:ascii="Times New Roman" w:hAnsi="Times New Roman"/>
                <w:sz w:val="20"/>
              </w:rPr>
              <w:t>15</w:t>
            </w:r>
          </w:p>
        </w:tc>
        <w:tc>
          <w:tcPr>
            <w:tcW w:type="dxa" w:w="2088"/>
          </w:tcPr>
          <w:p>
            <w:pPr>
              <w:spacing w:after="40"/>
            </w:pPr>
            <w:r>
              <w:rPr>
                <w:rFonts w:ascii="Times New Roman" w:hAnsi="Times New Roman"/>
                <w:sz w:val="20"/>
              </w:rPr>
              <w:t>Nov 30 – Dec 4</w:t>
            </w:r>
          </w:p>
        </w:tc>
        <w:tc>
          <w:tcPr>
            <w:tcW w:type="dxa" w:w="4680"/>
          </w:tcPr>
          <w:p>
            <w:pPr>
              <w:spacing w:after="40"/>
            </w:pPr>
            <w:r>
              <w:rPr>
                <w:rFonts w:ascii="Times New Roman" w:hAnsi="Times New Roman"/>
                <w:sz w:val="20"/>
              </w:rPr>
              <w:t>Final presentation and written report</w:t>
            </w:r>
          </w:p>
        </w:tc>
        <w:tc>
          <w:tcPr>
            <w:tcW w:type="dxa" w:w="1872"/>
          </w:tcPr>
          <w:p>
            <w:pPr>
              <w:spacing w:after="40"/>
            </w:pPr>
            <w:r>
              <w:rPr>
                <w:rFonts w:ascii="Times New Roman" w:hAnsi="Times New Roman"/>
                <w:sz w:val="20"/>
              </w:rPr>
              <w:t>Final deliverables</w:t>
            </w:r>
          </w:p>
        </w:tc>
      </w:tr>
    </w:tbl>
    <w:p>
      <w:pPr>
        <w:spacing w:after="40" w:before="0"/>
      </w:pPr>
    </w:p>
    <w:p>
      <w:pPr>
        <w:spacing w:after="120" w:before="0"/>
      </w:pPr>
      <w:r>
        <w:rPr>
          <w:rFonts w:ascii="Times New Roman" w:hAnsi="Times New Roman"/>
          <w:b w:val="0"/>
          <w:i/>
          <w:sz w:val="22"/>
        </w:rPr>
        <w:t>Semester dates are assumed and should be adjusted to the syllabus. Weeks 1 to 3 are complete. The critical path runs through weeks 4 to 8: projecting every layer into one coordinate system unblocks the band composite, and the composite unblocks classification, digitizing, and everything downstream of them.</w:t>
      </w:r>
    </w:p>
    <w:p>
      <w:r>
        <w:br w:type="page"/>
      </w:r>
    </w:p>
    <w:p>
      <w:pPr>
        <w:keepNext/>
        <w:spacing w:after="120" w:before="240"/>
      </w:pPr>
      <w:r>
        <w:rPr>
          <w:rFonts w:ascii="Times New Roman" w:hAnsi="Times New Roman"/>
          <w:b/>
          <w:i w:val="0"/>
          <w:sz w:val="24"/>
        </w:rPr>
        <w:t>Expected results</w:t>
      </w:r>
    </w:p>
    <w:p>
      <w:pPr>
        <w:keepNext/>
        <w:spacing w:after="80" w:before="200"/>
      </w:pPr>
      <w:r>
        <w:rPr>
          <w:rFonts w:ascii="Times New Roman" w:hAnsi="Times New Roman"/>
          <w:b/>
          <w:i/>
          <w:sz w:val="24"/>
        </w:rPr>
        <w:t>Hypotheses to be tested</w:t>
      </w:r>
    </w:p>
    <w:p>
      <w:pPr>
        <w:pStyle w:val="ListBullet"/>
        <w:spacing w:after="80"/>
      </w:pPr>
      <w:r>
        <w:rPr>
          <w:rFonts w:ascii="Times New Roman" w:hAnsi="Times New Roman"/>
          <w:b/>
          <w:sz w:val="24"/>
        </w:rPr>
        <w:t xml:space="preserve">H1. </w:t>
      </w:r>
      <w:r>
        <w:rPr>
          <w:rFonts w:ascii="Times New Roman" w:hAnsi="Times New Roman"/>
          <w:sz w:val="24"/>
        </w:rPr>
        <w:t>In dust-mantled regions, the THEMIS Day IR layer will delineate volcanic flow boundaries that are not visible in the Viking colour mosaic, because thermal response depends on particle size and surface coherence while visible albedo is dominated by the dust veneer. Measured as mapped flow area from the IR layer versus the visible layer over the same extent.</w:t>
      </w:r>
    </w:p>
    <w:p>
      <w:pPr>
        <w:pStyle w:val="ListBullet"/>
        <w:spacing w:after="80"/>
      </w:pPr>
      <w:r>
        <w:rPr>
          <w:rFonts w:ascii="Times New Roman" w:hAnsi="Times New Roman"/>
          <w:b/>
          <w:sz w:val="24"/>
        </w:rPr>
        <w:t xml:space="preserve">H2. </w:t>
      </w:r>
      <w:r>
        <w:rPr>
          <w:rFonts w:ascii="Times New Roman" w:hAnsi="Times New Roman"/>
          <w:sz w:val="24"/>
        </w:rPr>
        <w:t>Channel segments classed as fluvial will show shallower longitudinal gradients in the HRSC/MOLA DEM than segments classed as volcanic, and the two populations will separate when gradient is plotted against thermal DN.</w:t>
      </w:r>
    </w:p>
    <w:p>
      <w:pPr>
        <w:pStyle w:val="ListBullet"/>
        <w:spacing w:after="80"/>
      </w:pPr>
      <w:r>
        <w:rPr>
          <w:rFonts w:ascii="Times New Roman" w:hAnsi="Times New Roman"/>
          <w:b/>
          <w:sz w:val="24"/>
        </w:rPr>
        <w:t xml:space="preserve">H3. </w:t>
      </w:r>
      <w:r>
        <w:rPr>
          <w:rFonts w:ascii="Times New Roman" w:hAnsi="Times New Roman"/>
          <w:sz w:val="24"/>
        </w:rPr>
        <w:t>A four-band composite (Viking R/G/B + THEMIS day) will produce more stable Iso Cluster classes than any single input, measured by how many of the requested classes survive with a meaningful pixel count.</w:t>
      </w:r>
    </w:p>
    <w:p>
      <w:pPr>
        <w:pStyle w:val="ListBullet"/>
        <w:spacing w:after="80"/>
      </w:pPr>
      <w:r>
        <w:rPr>
          <w:rFonts w:ascii="Times New Roman" w:hAnsi="Times New Roman"/>
          <w:b/>
          <w:sz w:val="24"/>
        </w:rPr>
        <w:t xml:space="preserve">H4. </w:t>
      </w:r>
      <w:r>
        <w:rPr>
          <w:rFonts w:ascii="Times New Roman" w:hAnsi="Times New Roman"/>
          <w:sz w:val="24"/>
        </w:rPr>
        <w:t>Crater rim detection from the DN gradient products will recover a large majority of the 141 IAU-named craters larger than 100 km, giving an independent check on the gradient method before it is trusted on unnamed craters.</w:t>
      </w:r>
    </w:p>
    <w:p>
      <w:pPr>
        <w:keepNext/>
        <w:spacing w:after="80" w:before="200"/>
      </w:pPr>
      <w:r>
        <w:rPr>
          <w:rFonts w:ascii="Times New Roman" w:hAnsi="Times New Roman"/>
          <w:b/>
          <w:i/>
          <w:sz w:val="24"/>
        </w:rPr>
        <w:t>Questions to be answered</w:t>
      </w:r>
    </w:p>
    <w:p>
      <w:pPr>
        <w:pStyle w:val="ListBullet"/>
        <w:spacing w:after="80"/>
      </w:pPr>
      <w:r>
        <w:rPr>
          <w:rFonts w:ascii="Times New Roman" w:hAnsi="Times New Roman"/>
          <w:sz w:val="24"/>
        </w:rPr>
        <w:t>Does projecting the DEM into SimpleCylindrical_Mars on a common central meridian, and re-running Slope with a valid z-factor, change the slope values enough to alter any interpretation?</w:t>
      </w:r>
    </w:p>
    <w:p>
      <w:pPr>
        <w:pStyle w:val="ListBullet"/>
        <w:spacing w:after="80"/>
      </w:pPr>
      <w:r>
        <w:rPr>
          <w:rFonts w:ascii="Times New Roman" w:hAnsi="Times New Roman"/>
          <w:sz w:val="24"/>
        </w:rPr>
        <w:t>Once the three frames are harmonised onto one meridian, does Composite Bands complete at global scale, or is a tiled, bounded-extent workflow still the only viable path on this hardware?</w:t>
      </w:r>
    </w:p>
    <w:p>
      <w:pPr>
        <w:pStyle w:val="ListBullet"/>
        <w:spacing w:after="80"/>
      </w:pPr>
      <w:r>
        <w:rPr>
          <w:rFonts w:ascii="Times New Roman" w:hAnsi="Times New Roman"/>
          <w:sz w:val="24"/>
        </w:rPr>
        <w:t>How much does the 8-bit depth of the THEMIS and Viking mosaics limit how finely surface units can be separated?</w:t>
      </w:r>
    </w:p>
    <w:p>
      <w:pPr>
        <w:pStyle w:val="ListBullet"/>
        <w:spacing w:after="80"/>
      </w:pPr>
      <w:r>
        <w:rPr>
          <w:rFonts w:ascii="Times New Roman" w:hAnsi="Times New Roman"/>
          <w:sz w:val="24"/>
        </w:rPr>
        <w:t>Is the day-only THEMIS mosaic sufficient to separate flows from dust, or is the night mosaic genuinely required?</w:t>
      </w:r>
    </w:p>
    <w:p>
      <w:pPr>
        <w:pStyle w:val="ListBullet"/>
        <w:spacing w:after="80"/>
      </w:pPr>
      <w:r>
        <w:rPr>
          <w:rFonts w:ascii="Times New Roman" w:hAnsi="Times New Roman"/>
          <w:sz w:val="24"/>
        </w:rPr>
        <w:t>At 100 m, how many orders of tributary in a valley network are recoverable, and where does the count saturate?</w:t>
      </w:r>
    </w:p>
    <w:p>
      <w:pPr>
        <w:pStyle w:val="ListBullet"/>
        <w:spacing w:after="80"/>
      </w:pPr>
      <w:r>
        <w:rPr>
          <w:rFonts w:ascii="Times New Roman" w:hAnsi="Times New Roman"/>
          <w:sz w:val="24"/>
        </w:rPr>
        <w:t>The DN gradient reproduces Viking mosaic seams as false edges. Setting those aside, does it reveal any unit boundary the source image does not already show — or is its only real use as an edge mask?</w:t>
      </w:r>
    </w:p>
    <w:p>
      <w:pPr>
        <w:keepNext/>
        <w:spacing w:after="80" w:before="200"/>
      </w:pPr>
      <w:r>
        <w:rPr>
          <w:rFonts w:ascii="Times New Roman" w:hAnsi="Times New Roman"/>
          <w:b/>
          <w:i/>
          <w:sz w:val="24"/>
        </w:rPr>
        <w:t>Potential problems that may be encountered</w:t>
      </w:r>
    </w:p>
    <w:p>
      <w:pPr>
        <w:spacing w:after="120" w:before="0"/>
      </w:pPr>
      <w:r>
        <w:rPr>
          <w:rFonts w:ascii="Times New Roman" w:hAnsi="Times New Roman"/>
          <w:b w:val="0"/>
          <w:i w:val="0"/>
          <w:sz w:val="24"/>
        </w:rPr>
        <w:t>Each problem below is paired with the mitigation already planned for it. Several are expected to constrain the final result rather than be eliminated; where that is true, it is stated.</w:t>
      </w:r>
    </w:p>
    <w:p>
      <w:pPr>
        <w:pStyle w:val="ListBullet"/>
        <w:spacing w:after="80"/>
      </w:pPr>
      <w:r>
        <w:rPr>
          <w:rFonts w:ascii="Times New Roman" w:hAnsi="Times New Roman"/>
          <w:b/>
          <w:sz w:val="24"/>
        </w:rPr>
        <w:t xml:space="preserve">Three coordinate frames in one project. </w:t>
      </w:r>
      <w:r>
        <w:rPr>
          <w:rFonts w:ascii="Times New Roman" w:hAnsi="Times New Roman"/>
          <w:sz w:val="24"/>
        </w:rPr>
        <w:t>The HRSC/MOLA DEM and its derivatives sit in GCS_Mars_2000_Sphere (degrees); Viking and THEMIS both sit in SimpleCylindrical_Mars (metres) but on different central meridians — Viking on 0°, THEMIS on 180°, so the THEMIS grid runs 0–360°E while the other two run −180–180°E. A stack built without fixing that would be half a planet out and would misregister silently rather than fail. Mitigation: project everything to one frame and verify the meridian. This is the root cause of the next two problems.</w:t>
      </w:r>
    </w:p>
    <w:p>
      <w:pPr>
        <w:pStyle w:val="ListBullet"/>
        <w:spacing w:after="80"/>
      </w:pPr>
      <w:r>
        <w:rPr>
          <w:rFonts w:ascii="Times New Roman" w:hAnsi="Times New Roman"/>
          <w:b/>
          <w:sz w:val="24"/>
        </w:rPr>
        <w:t xml:space="preserve">Invalid z-factor on the terrain derivatives. </w:t>
      </w:r>
      <w:r>
        <w:rPr>
          <w:rFonts w:ascii="Times New Roman" w:hAnsi="Times New Roman"/>
          <w:sz w:val="24"/>
        </w:rPr>
        <w:t>Both DEM-derived runs returned WARNING 000869 — vertical units in metres against horizontal units in degrees, with a default z-factor of 1. The existing Slope_Mars_H1 and HillSha_Mars1 are usable for display but not for measurement. Mitigation: rebuild them on the projected DEM.</w:t>
      </w:r>
    </w:p>
    <w:p>
      <w:pPr>
        <w:pStyle w:val="ListBullet"/>
        <w:spacing w:after="80"/>
      </w:pPr>
      <w:r>
        <w:rPr>
          <w:rFonts w:ascii="Times New Roman" w:hAnsi="Times New Roman"/>
          <w:b/>
          <w:sz w:val="24"/>
        </w:rPr>
        <w:t xml:space="preserve">Composite Bands does not complete at global scale. </w:t>
      </w:r>
      <w:r>
        <w:rPr>
          <w:rFonts w:ascii="Times New Roman" w:hAnsi="Times New Roman"/>
          <w:sz w:val="24"/>
        </w:rPr>
        <w:t>Three attempts on 9 September, cancelled after 47 min 57 s, 1 min 41 s, and 1 h 14 min 51 s — the tool logs record all three as cancelled by the user, not as tool errors. The visible + IR composite is the centrepiece of the project and it does not yet exist. Mitigation: project to a common CRS and cell size first, then run over bounded extents rather than the full globe.</w:t>
      </w:r>
    </w:p>
    <w:p>
      <w:pPr>
        <w:pStyle w:val="ListBullet"/>
        <w:spacing w:after="80"/>
      </w:pPr>
      <w:r>
        <w:rPr>
          <w:rFonts w:ascii="Times New Roman" w:hAnsi="Times New Roman"/>
          <w:b/>
          <w:sz w:val="24"/>
        </w:rPr>
        <w:t xml:space="preserve">Processing time is the schedule. </w:t>
      </w:r>
      <w:r>
        <w:rPr>
          <w:rFonts w:ascii="Times New Roman" w:hAnsi="Times New Roman"/>
          <w:sz w:val="24"/>
        </w:rPr>
        <w:t>Measured runtimes on this machine: 7 min for slope on the 200 m DEM, 12 min for hillshade on the same DEM, 1 h 05 min for slope on the 232 m Viking mosaic, 1 h 27 min for surface parameters. ArcGIS Pro reported no compatible GPU on the one run that requested one, so every tool runs on CPU. Mitigation: budget whole evenings for global runs and prototype on subsets.</w:t>
      </w:r>
    </w:p>
    <w:p>
      <w:pPr>
        <w:pStyle w:val="ListBullet"/>
        <w:spacing w:after="80"/>
      </w:pPr>
      <w:r>
        <w:rPr>
          <w:rFonts w:ascii="Times New Roman" w:hAnsi="Times New Roman"/>
          <w:b/>
          <w:sz w:val="24"/>
        </w:rPr>
        <w:t xml:space="preserve">The crater layers are a gazetteer, not an inventory. </w:t>
      </w:r>
      <w:r>
        <w:rPr>
          <w:rFonts w:ascii="Times New Roman" w:hAnsi="Times New Roman"/>
          <w:sz w:val="24"/>
        </w:rPr>
        <w:t>The IAU nomenclature holds 141 craters above 100 km and 972 below — 1,113 named features in total, against the hundreds of thousands of craters on Mars larger than 1 km. Crater size-frequency dating cannot be done from these layers. Mitigation: digitize craters in the type area or import a published catalogue.</w:t>
      </w:r>
    </w:p>
    <w:p>
      <w:pPr>
        <w:pStyle w:val="ListBullet"/>
        <w:spacing w:after="80"/>
      </w:pPr>
      <w:r>
        <w:rPr>
          <w:rFonts w:ascii="Times New Roman" w:hAnsi="Times New Roman"/>
          <w:b/>
          <w:sz w:val="24"/>
        </w:rPr>
        <w:t xml:space="preserve">“Slope” on imagery is not slope. </w:t>
      </w:r>
      <w:r>
        <w:rPr>
          <w:rFonts w:ascii="Times New Roman" w:hAnsi="Times New Roman"/>
          <w:sz w:val="24"/>
        </w:rPr>
        <w:t>Slope_Mars_M1 and Slope_Mars_V1 were computed from THEMIS and Viking brightness values, not elevation. They are DN gradient — a legitimate edge and texture measure, but not terrain. Mitigation: rename and describe them as gradient products so no reader mistakes them for topography.</w:t>
      </w:r>
    </w:p>
    <w:p>
      <w:pPr>
        <w:pStyle w:val="ListBullet"/>
        <w:spacing w:after="80"/>
      </w:pPr>
      <w:r>
        <w:rPr>
          <w:rFonts w:ascii="Times New Roman" w:hAnsi="Times New Roman"/>
          <w:b/>
          <w:sz w:val="24"/>
        </w:rPr>
        <w:t xml:space="preserve">Thermal inertia is not yet possible. </w:t>
      </w:r>
      <w:r>
        <w:rPr>
          <w:rFonts w:ascii="Times New Roman" w:hAnsi="Times New Roman"/>
          <w:sz w:val="24"/>
        </w:rPr>
        <w:t>Only the THEMIS day mosaic is held. Without the night mosaic there is no diurnal difference, and the dust-versus-bedrock argument rests on a single daytime image. Mitigation: acquire the night mosaic — same source and format, so this is an afternoon of downloading, not a redesign.</w:t>
      </w:r>
    </w:p>
    <w:p>
      <w:pPr>
        <w:pStyle w:val="ListBullet"/>
        <w:spacing w:after="80"/>
      </w:pPr>
      <w:r>
        <w:rPr>
          <w:rFonts w:ascii="Times New Roman" w:hAnsi="Times New Roman"/>
          <w:b/>
          <w:sz w:val="24"/>
        </w:rPr>
        <w:t xml:space="preserve">No pyramids on the global rasters. </w:t>
      </w:r>
      <w:r>
        <w:rPr>
          <w:rFonts w:ascii="Times New Roman" w:hAnsi="Times New Roman"/>
          <w:sz w:val="24"/>
        </w:rPr>
        <w:t>None of the three source TIFFs carries overviews — one image level each, and no .ovr sidecar. Every redraw and every global tool pass therefore reads full resolution, including a 22.8-billion-pixel thermal mosaic. Mitigation: build pyramids once, before the next global run; it is the cheapest speed-up available on CPU-only hardware.</w:t>
      </w:r>
    </w:p>
    <w:p>
      <w:pPr>
        <w:pStyle w:val="ListBullet"/>
        <w:spacing w:after="80"/>
      </w:pPr>
      <w:r>
        <w:rPr>
          <w:rFonts w:ascii="Times New Roman" w:hAnsi="Times New Roman"/>
          <w:b/>
          <w:sz w:val="24"/>
        </w:rPr>
        <w:t xml:space="preserve">8-bit source depth. </w:t>
      </w:r>
      <w:r>
        <w:rPr>
          <w:rFonts w:ascii="Times New Roman" w:hAnsi="Times New Roman"/>
          <w:sz w:val="24"/>
        </w:rPr>
        <w:t>Both image mosaics are 8-bit, so subtle DN differences between dusty units may simply not be recorded. Mitigation: treat classification boundaries as coarse and do not over-interpret single-DN differences.</w:t>
      </w:r>
    </w:p>
    <w:p>
      <w:pPr>
        <w:pStyle w:val="ListBullet"/>
        <w:spacing w:after="80"/>
      </w:pPr>
      <w:r>
        <w:rPr>
          <w:rFonts w:ascii="Times New Roman" w:hAnsi="Times New Roman"/>
          <w:b/>
          <w:sz w:val="24"/>
        </w:rPr>
        <w:t xml:space="preserve">Unsupervised classification may collapse. </w:t>
      </w:r>
      <w:r>
        <w:rPr>
          <w:rFonts w:ascii="Times New Roman" w:hAnsi="Times New Roman"/>
          <w:sz w:val="24"/>
        </w:rPr>
        <w:t>Iso Cluster tends to return far fewer classes than requested when a large background or nodata region dominates the histogram. Mitigation: mask nodata first, run over bounded windows, and over-request classes.</w:t>
      </w:r>
    </w:p>
    <w:p>
      <w:pPr>
        <w:pStyle w:val="ListBullet"/>
        <w:spacing w:after="80"/>
      </w:pPr>
      <w:r>
        <w:rPr>
          <w:rFonts w:ascii="Times New Roman" w:hAnsi="Times New Roman"/>
          <w:b/>
          <w:sz w:val="24"/>
        </w:rPr>
        <w:t xml:space="preserve">No ground truth, and no sub-metre imagery. </w:t>
      </w:r>
      <w:r>
        <w:rPr>
          <w:rFonts w:ascii="Times New Roman" w:hAnsi="Times New Roman"/>
          <w:sz w:val="24"/>
        </w:rPr>
        <w:t>Validation is against published interpretations, not field data, and the finest imagery held is 100 m. Nothing in this project can confirm a landform below about a kilometre. Mitigation: assess accuracy against the published USGS global geologic map and the IAU crater gazetteer, and state the resolution limit as a limit rather than working around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after="8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