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Times New Roman" w:hAnsi="Times New Roman"/>
          <w:b/>
          <w:i w:val="0"/>
          <w:sz w:val="28"/>
        </w:rPr>
        <w:t>Mars Global Mosaic: Mapping Lava Flows, Fluvial Channels, and Impact Craters in Visible and Infrared</w:t>
      </w:r>
    </w:p>
    <w:p>
      <w:pPr>
        <w:spacing w:after="40" w:before="0"/>
        <w:jc w:val="center"/>
      </w:pPr>
      <w:r>
        <w:rPr>
          <w:rFonts w:ascii="Times New Roman" w:hAnsi="Times New Roman"/>
          <w:b w:val="0"/>
          <w:i w:val="0"/>
          <w:sz w:val="24"/>
        </w:rPr>
        <w:t>REMOTE SENSING 2026 OCN 4704  ·  Logan Edwards</w:t>
      </w:r>
    </w:p>
    <w:p>
      <w:pPr>
        <w:spacing w:after="280" w:before="0"/>
        <w:jc w:val="center"/>
      </w:pPr>
      <w:r>
        <w:rPr>
          <w:rFonts w:ascii="Times New Roman" w:hAnsi="Times New Roman"/>
          <w:b w:val="0"/>
          <w:i/>
          <w:sz w:val="24"/>
        </w:rPr>
        <w:t>Interim Report  ·  status as of 26 October 2026</w:t>
      </w:r>
    </w:p>
    <w:p>
      <w:pPr>
        <w:keepNext/>
        <w:spacing w:after="120" w:before="240"/>
      </w:pPr>
      <w:r>
        <w:rPr>
          <w:rFonts w:ascii="Times New Roman" w:hAnsi="Times New Roman"/>
          <w:b/>
          <w:i w:val="0"/>
          <w:sz w:val="24"/>
        </w:rPr>
        <w:t>1. Project Investigators</w:t>
      </w:r>
    </w:p>
    <w:p>
      <w:pPr>
        <w:spacing w:after="120" w:before="0"/>
      </w:pPr>
      <w:r>
        <w:rPr>
          <w:rFonts w:ascii="Times New Roman" w:hAnsi="Times New Roman"/>
          <w:b w:val="0"/>
          <w:i w:val="0"/>
          <w:sz w:val="24"/>
        </w:rPr>
        <w:t>Logan Edwards, REMOTE SENSING 2026 OCN 4704.</w:t>
      </w:r>
    </w:p>
    <w:p>
      <w:pPr>
        <w:keepNext/>
        <w:spacing w:after="120" w:before="240"/>
      </w:pPr>
      <w:r>
        <w:rPr>
          <w:rFonts w:ascii="Times New Roman" w:hAnsi="Times New Roman"/>
          <w:b/>
          <w:i w:val="0"/>
          <w:sz w:val="24"/>
        </w:rPr>
        <w:t>2. Project Goals</w:t>
      </w:r>
    </w:p>
    <w:p>
      <w:pPr>
        <w:spacing w:after="120" w:before="0"/>
      </w:pPr>
      <w:r>
        <w:rPr>
          <w:rFonts w:ascii="Times New Roman" w:hAnsi="Times New Roman"/>
          <w:b w:val="0"/>
          <w:i w:val="0"/>
          <w:sz w:val="24"/>
        </w:rPr>
        <w:t>Assemble one co-registered visible and thermal-infrared mosaic of Mars in ArcGIS Pro, over the ±60° band the THEMIS night mosaic covers (86.6% of the surface), and use it to map lava flows, fluvial channels and impact craters.</w:t>
      </w:r>
    </w:p>
    <w:p>
      <w:pPr>
        <w:pStyle w:val="ListBullet"/>
        <w:spacing w:after="80"/>
      </w:pPr>
      <w:r>
        <w:rPr>
          <w:rFonts w:ascii="Times New Roman" w:hAnsi="Times New Roman"/>
          <w:sz w:val="24"/>
        </w:rPr>
        <w:t>Put Viking visible colour, THEMIS day and night infrared and HRSC/MOLA topography on one grid over ±60°.</w:t>
      </w:r>
    </w:p>
    <w:p>
      <w:pPr>
        <w:pStyle w:val="ListBullet"/>
        <w:spacing w:after="80"/>
      </w:pPr>
      <w:r>
        <w:rPr>
          <w:rFonts w:ascii="Times New Roman" w:hAnsi="Times New Roman"/>
          <w:sz w:val="24"/>
        </w:rPr>
        <w:t>Map the three landform families from that stack, first in a type area (Ius Chasma), then across ±60°.</w:t>
      </w:r>
    </w:p>
    <w:p>
      <w:pPr>
        <w:pStyle w:val="ListBullet"/>
        <w:spacing w:after="80"/>
      </w:pPr>
      <w:r>
        <w:rPr>
          <w:rFonts w:ascii="Times New Roman" w:hAnsi="Times New Roman"/>
          <w:sz w:val="24"/>
        </w:rPr>
        <w:t>Test whether thermal infrared separates surfaces that visible light cannot.</w:t>
      </w:r>
    </w:p>
    <w:p>
      <w:pPr>
        <w:pStyle w:val="ListBullet"/>
        <w:spacing w:after="80"/>
      </w:pPr>
      <w:r>
        <w:rPr>
          <w:rFonts w:ascii="Times New Roman" w:hAnsi="Times New Roman"/>
          <w:sz w:val="24"/>
        </w:rPr>
        <w:t>Score every product against something it never saw: held-out hand labels, the IAU crater gazetteer and the USGS geologic map.</w:t>
      </w:r>
    </w:p>
    <w:p>
      <w:pPr>
        <w:keepNext/>
        <w:spacing w:after="120" w:before="240"/>
      </w:pPr>
      <w:r>
        <w:rPr>
          <w:rFonts w:ascii="Times New Roman" w:hAnsi="Times New Roman"/>
          <w:b/>
          <w:i w:val="0"/>
          <w:sz w:val="24"/>
        </w:rPr>
        <w:t>3. Relevant Spectral Bands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068"/>
            <w:shd w:val="clear" w:fill="DCDCDC"/>
          </w:tcPr>
          <w:p>
            <w:pPr>
              <w:keepNext/>
              <w:spacing w:after="40"/>
            </w:pPr>
            <w:r>
              <w:rPr>
                <w:rFonts w:ascii="Times New Roman" w:hAnsi="Times New Roman"/>
                <w:b/>
                <w:sz w:val="20"/>
              </w:rPr>
              <w:t>Band or product</w:t>
            </w:r>
          </w:p>
        </w:tc>
        <w:tc>
          <w:tcPr>
            <w:tcW w:type="dxa" w:w="2068"/>
            <w:shd w:val="clear" w:fill="DCDCDC"/>
          </w:tcPr>
          <w:p>
            <w:pPr>
              <w:keepNext/>
              <w:spacing w:after="40"/>
            </w:pPr>
            <w:r>
              <w:rPr>
                <w:rFonts w:ascii="Times New Roman" w:hAnsi="Times New Roman"/>
                <w:b/>
                <w:sz w:val="20"/>
              </w:rPr>
              <w:t>Wavelength</w:t>
            </w:r>
          </w:p>
        </w:tc>
        <w:tc>
          <w:tcPr>
            <w:tcW w:type="dxa" w:w="871"/>
            <w:shd w:val="clear" w:fill="DCDCDC"/>
          </w:tcPr>
          <w:p>
            <w:pPr>
              <w:keepNext/>
              <w:spacing w:after="40"/>
            </w:pPr>
            <w:r>
              <w:rPr>
                <w:rFonts w:ascii="Times New Roman" w:hAnsi="Times New Roman"/>
                <w:b/>
                <w:sz w:val="20"/>
              </w:rPr>
              <w:t>Cell</w:t>
            </w:r>
          </w:p>
        </w:tc>
        <w:tc>
          <w:tcPr>
            <w:tcW w:type="dxa" w:w="4353"/>
            <w:shd w:val="clear" w:fill="DCDCDC"/>
          </w:tcPr>
          <w:p>
            <w:pPr>
              <w:keepNext/>
              <w:spacing w:after="40"/>
            </w:pPr>
            <w:r>
              <w:rPr>
                <w:rFonts w:ascii="Times New Roman" w:hAnsi="Times New Roman"/>
                <w:b/>
                <w:sz w:val="20"/>
              </w:rPr>
              <w:t>What it contributes</w:t>
            </w:r>
          </w:p>
        </w:tc>
      </w:tr>
      <w:tr>
        <w:trPr>
          <w:cantSplit/>
        </w:trPr>
        <w:tc>
          <w:tcPr>
            <w:tcW w:type="dxa" w:w="2068"/>
          </w:tcPr>
          <w:p>
            <w:pPr>
              <w:keepNext/>
              <w:spacing w:after="40"/>
            </w:pPr>
            <w:r>
              <w:rPr>
                <w:rFonts w:ascii="Times New Roman" w:hAnsi="Times New Roman"/>
                <w:sz w:val="20"/>
              </w:rPr>
              <w:t>Viking MDIM 2.1 R, G, B</w:t>
            </w:r>
          </w:p>
        </w:tc>
        <w:tc>
          <w:tcPr>
            <w:tcW w:type="dxa" w:w="2068"/>
          </w:tcPr>
          <w:p>
            <w:pPr>
              <w:keepNext/>
              <w:spacing w:after="40"/>
            </w:pPr>
            <w:r>
              <w:rPr>
                <w:rFonts w:ascii="Times New Roman" w:hAnsi="Times New Roman"/>
                <w:sz w:val="20"/>
              </w:rPr>
              <w:t>visible, ~0.4–0.7 µm</w:t>
            </w:r>
          </w:p>
        </w:tc>
        <w:tc>
          <w:tcPr>
            <w:tcW w:type="dxa" w:w="871"/>
          </w:tcPr>
          <w:p>
            <w:pPr>
              <w:keepNext/>
              <w:spacing w:after="40"/>
            </w:pPr>
            <w:r>
              <w:rPr>
                <w:rFonts w:ascii="Times New Roman" w:hAnsi="Times New Roman"/>
                <w:sz w:val="20"/>
              </w:rPr>
              <w:t>232 m</w:t>
            </w:r>
          </w:p>
        </w:tc>
        <w:tc>
          <w:tcPr>
            <w:tcW w:type="dxa" w:w="4353"/>
          </w:tcPr>
          <w:p>
            <w:pPr>
              <w:keepNext/>
              <w:spacing w:after="40"/>
            </w:pPr>
            <w:r>
              <w:rPr>
                <w:rFonts w:ascii="Times New Roman" w:hAnsi="Times New Roman"/>
                <w:sz w:val="20"/>
              </w:rPr>
              <w:t>Albedo: bright dust, dark basalt; not stretched by region, so regional differences are real (§28.10).</w:t>
            </w:r>
          </w:p>
        </w:tc>
      </w:tr>
      <w:tr>
        <w:trPr>
          <w:cantSplit/>
        </w:trPr>
        <w:tc>
          <w:tcPr>
            <w:tcW w:type="dxa" w:w="2068"/>
          </w:tcPr>
          <w:p>
            <w:pPr>
              <w:keepNext/>
              <w:spacing w:after="40"/>
            </w:pPr>
            <w:r>
              <w:rPr>
                <w:rFonts w:ascii="Times New Roman" w:hAnsi="Times New Roman"/>
                <w:sz w:val="20"/>
              </w:rPr>
              <w:t>THEMIS Day IR (v12)</w:t>
            </w:r>
          </w:p>
        </w:tc>
        <w:tc>
          <w:tcPr>
            <w:tcW w:type="dxa" w:w="2068"/>
          </w:tcPr>
          <w:p>
            <w:pPr>
              <w:keepNext/>
              <w:spacing w:after="40"/>
            </w:pPr>
            <w:r>
              <w:rPr>
                <w:rFonts w:ascii="Times New Roman" w:hAnsi="Times New Roman"/>
                <w:sz w:val="20"/>
              </w:rPr>
              <w:t>thermal IR, 6.8–14.9 µm</w:t>
            </w:r>
          </w:p>
        </w:tc>
        <w:tc>
          <w:tcPr>
            <w:tcW w:type="dxa" w:w="871"/>
          </w:tcPr>
          <w:p>
            <w:pPr>
              <w:keepNext/>
              <w:spacing w:after="40"/>
            </w:pPr>
            <w:r>
              <w:rPr>
                <w:rFonts w:ascii="Times New Roman" w:hAnsi="Times New Roman"/>
                <w:sz w:val="20"/>
              </w:rPr>
              <w:t>100 m</w:t>
            </w:r>
          </w:p>
        </w:tc>
        <w:tc>
          <w:tcPr>
            <w:tcW w:type="dxa" w:w="4353"/>
          </w:tcPr>
          <w:p>
            <w:pPr>
              <w:keepNext/>
              <w:spacing w:after="40"/>
            </w:pPr>
            <w:r>
              <w:rPr>
                <w:rFonts w:ascii="Times New Roman" w:hAnsi="Times New Roman"/>
                <w:sz w:val="20"/>
              </w:rPr>
              <w:t>Daytime temperature. Ground that is bright in visible stays cooler by day (r −0.49 at Ius, §18.3).</w:t>
            </w:r>
          </w:p>
        </w:tc>
      </w:tr>
      <w:tr>
        <w:trPr>
          <w:cantSplit/>
        </w:trPr>
        <w:tc>
          <w:tcPr>
            <w:tcW w:type="dxa" w:w="2068"/>
          </w:tcPr>
          <w:p>
            <w:pPr>
              <w:keepNext/>
              <w:spacing w:after="40"/>
            </w:pPr>
            <w:r>
              <w:rPr>
                <w:rFonts w:ascii="Times New Roman" w:hAnsi="Times New Roman"/>
                <w:sz w:val="20"/>
              </w:rPr>
              <w:t>THEMIS Night IR (v14, ±60°)</w:t>
            </w:r>
          </w:p>
        </w:tc>
        <w:tc>
          <w:tcPr>
            <w:tcW w:type="dxa" w:w="2068"/>
          </w:tcPr>
          <w:p>
            <w:pPr>
              <w:keepNext/>
              <w:spacing w:after="40"/>
            </w:pPr>
            <w:r>
              <w:rPr>
                <w:rFonts w:ascii="Times New Roman" w:hAnsi="Times New Roman"/>
                <w:sz w:val="20"/>
              </w:rPr>
              <w:t>thermal IR, 6.8–14.9 µm</w:t>
            </w:r>
          </w:p>
        </w:tc>
        <w:tc>
          <w:tcPr>
            <w:tcW w:type="dxa" w:w="871"/>
          </w:tcPr>
          <w:p>
            <w:pPr>
              <w:keepNext/>
              <w:spacing w:after="40"/>
            </w:pPr>
            <w:r>
              <w:rPr>
                <w:rFonts w:ascii="Times New Roman" w:hAnsi="Times New Roman"/>
                <w:sz w:val="20"/>
              </w:rPr>
              <w:t>100 m</w:t>
            </w:r>
          </w:p>
        </w:tc>
        <w:tc>
          <w:tcPr>
            <w:tcW w:type="dxa" w:w="4353"/>
          </w:tcPr>
          <w:p>
            <w:pPr>
              <w:keepNext/>
              <w:spacing w:after="40"/>
            </w:pPr>
            <w:r>
              <w:rPr>
                <w:rFonts w:ascii="Times New Roman" w:hAnsi="Times New Roman"/>
                <w:sz w:val="20"/>
              </w:rPr>
              <w:t>Night temperature: rock holds heat. The band least like the others, |r| ≤ 0.12 (§18.3).</w:t>
            </w:r>
          </w:p>
        </w:tc>
      </w:tr>
      <w:tr>
        <w:trPr>
          <w:cantSplit/>
        </w:trPr>
        <w:tc>
          <w:tcPr>
            <w:tcW w:type="dxa" w:w="2068"/>
          </w:tcPr>
          <w:p>
            <w:pPr>
              <w:keepNext/>
              <w:spacing w:after="40"/>
            </w:pPr>
            <w:r>
              <w:rPr>
                <w:rFonts w:ascii="Times New Roman" w:hAnsi="Times New Roman"/>
                <w:sz w:val="20"/>
              </w:rPr>
              <w:t>HRSC/MOLA blended DEM</w:t>
            </w:r>
          </w:p>
        </w:tc>
        <w:tc>
          <w:tcPr>
            <w:tcW w:type="dxa" w:w="2068"/>
          </w:tcPr>
          <w:p>
            <w:pPr>
              <w:keepNext/>
              <w:spacing w:after="40"/>
            </w:pPr>
            <w:r>
              <w:rPr>
                <w:rFonts w:ascii="Times New Roman" w:hAnsi="Times New Roman"/>
                <w:sz w:val="20"/>
              </w:rPr>
              <w:t>altimetry + stereo</w:t>
            </w:r>
          </w:p>
        </w:tc>
        <w:tc>
          <w:tcPr>
            <w:tcW w:type="dxa" w:w="871"/>
          </w:tcPr>
          <w:p>
            <w:pPr>
              <w:keepNext/>
              <w:spacing w:after="40"/>
            </w:pPr>
            <w:r>
              <w:rPr>
                <w:rFonts w:ascii="Times New Roman" w:hAnsi="Times New Roman"/>
                <w:sz w:val="20"/>
              </w:rPr>
              <w:t>200 m</w:t>
            </w:r>
          </w:p>
        </w:tc>
        <w:tc>
          <w:tcPr>
            <w:tcW w:type="dxa" w:w="4353"/>
          </w:tcPr>
          <w:p>
            <w:pPr>
              <w:keepNext/>
              <w:spacing w:after="40"/>
            </w:pPr>
            <w:r>
              <w:rPr>
                <w:rFonts w:ascii="Times New Roman" w:hAnsi="Times New Roman"/>
                <w:sz w:val="20"/>
              </w:rPr>
              <w:t>Slope in degrees, local relief, hillshade, flow routing, closed-depression depth (§20).</w:t>
            </w:r>
          </w:p>
        </w:tc>
      </w:tr>
      <w:tr>
        <w:trPr>
          <w:cantSplit/>
        </w:trPr>
        <w:tc>
          <w:tcPr>
            <w:tcW w:type="dxa" w:w="2068"/>
          </w:tcPr>
          <w:p>
            <w:pPr>
              <w:spacing w:after="40"/>
            </w:pPr>
            <w:r>
              <w:rPr>
                <w:rFonts w:ascii="Times New Roman" w:hAnsi="Times New Roman"/>
                <w:sz w:val="20"/>
              </w:rPr>
              <w:t>Diurnal contrast index</w:t>
            </w:r>
          </w:p>
        </w:tc>
        <w:tc>
          <w:tcPr>
            <w:tcW w:type="dxa" w:w="2068"/>
          </w:tcPr>
          <w:p>
            <w:pPr>
              <w:spacing w:after="40"/>
            </w:pPr>
            <w:r>
              <w:rPr>
                <w:rFonts w:ascii="Times New Roman" w:hAnsi="Times New Roman"/>
                <w:sz w:val="20"/>
              </w:rPr>
              <w:t>day − night, relative</w:t>
            </w:r>
          </w:p>
        </w:tc>
        <w:tc>
          <w:tcPr>
            <w:tcW w:type="dxa" w:w="871"/>
          </w:tcPr>
          <w:p>
            <w:pPr>
              <w:spacing w:after="40"/>
            </w:pPr>
            <w:r>
              <w:rPr>
                <w:rFonts w:ascii="Times New Roman" w:hAnsi="Times New Roman"/>
                <w:sz w:val="20"/>
              </w:rPr>
              <w:t>100 m</w:t>
            </w:r>
          </w:p>
        </w:tc>
        <w:tc>
          <w:tcPr>
            <w:tcW w:type="dxa" w:w="4353"/>
          </w:tcPr>
          <w:p>
            <w:pPr>
              <w:spacing w:after="40"/>
            </w:pPr>
            <w:r>
              <w:rPr>
                <w:rFonts w:ascii="Times New Roman" w:hAnsi="Times New Roman"/>
                <w:sz w:val="20"/>
              </w:rPr>
              <w:t>Separates materials inside one area; not thermal inertia, not comparable across the planet (§24, §28.10).</w:t>
            </w:r>
          </w:p>
        </w:tc>
      </w:tr>
    </w:tbl>
    <w:p>
      <w:pPr>
        <w:spacing w:after="40" w:before="0"/>
      </w:pPr>
    </w:p>
    <w:p>
      <w:pPr>
        <w:keepNext/>
        <w:spacing w:after="80" w:before="0"/>
      </w:pPr>
      <w:r>
        <w:rPr>
          <w:rFonts w:ascii="Times New Roman" w:hAnsi="Times New Roman"/>
          <w:b w:val="0"/>
          <w:i w:val="0"/>
          <w:sz w:val="24"/>
        </w:rPr>
        <w:t>Correlation between the five image bands at Ius Chasma (PROJECT-KNOWLEDGE.md §18.3):</w:t>
      </w:r>
    </w:p>
    <w:tbl>
      <w:tblPr>
        <w:tblStyle w:val="TableGrid"/>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2047"/>
            <w:shd w:val="clear" w:fill="DCDCDC"/>
          </w:tcPr>
          <w:p>
            <w:pPr>
              <w:keepNext/>
              <w:spacing w:after="40"/>
            </w:pPr>
            <w:r>
              <w:rPr>
                <w:rFonts w:ascii="Times New Roman" w:hAnsi="Times New Roman"/>
                <w:b/>
                <w:sz w:val="20"/>
              </w:rPr>
              <w:t>r</w:t>
            </w:r>
          </w:p>
        </w:tc>
        <w:tc>
          <w:tcPr>
            <w:tcW w:type="dxa" w:w="1462"/>
            <w:shd w:val="clear" w:fill="DCDCDC"/>
          </w:tcPr>
          <w:p>
            <w:pPr>
              <w:keepNext/>
              <w:spacing w:after="40"/>
            </w:pPr>
            <w:r>
              <w:rPr>
                <w:rFonts w:ascii="Times New Roman" w:hAnsi="Times New Roman"/>
                <w:b/>
                <w:sz w:val="20"/>
              </w:rPr>
              <w:t>Viking R</w:t>
            </w:r>
          </w:p>
        </w:tc>
        <w:tc>
          <w:tcPr>
            <w:tcW w:type="dxa" w:w="1462"/>
            <w:shd w:val="clear" w:fill="DCDCDC"/>
          </w:tcPr>
          <w:p>
            <w:pPr>
              <w:keepNext/>
              <w:spacing w:after="40"/>
            </w:pPr>
            <w:r>
              <w:rPr>
                <w:rFonts w:ascii="Times New Roman" w:hAnsi="Times New Roman"/>
                <w:b/>
                <w:sz w:val="20"/>
              </w:rPr>
              <w:t>Viking G</w:t>
            </w:r>
          </w:p>
        </w:tc>
        <w:tc>
          <w:tcPr>
            <w:tcW w:type="dxa" w:w="1462"/>
            <w:shd w:val="clear" w:fill="DCDCDC"/>
          </w:tcPr>
          <w:p>
            <w:pPr>
              <w:keepNext/>
              <w:spacing w:after="40"/>
            </w:pPr>
            <w:r>
              <w:rPr>
                <w:rFonts w:ascii="Times New Roman" w:hAnsi="Times New Roman"/>
                <w:b/>
                <w:sz w:val="20"/>
              </w:rPr>
              <w:t>Viking B</w:t>
            </w:r>
          </w:p>
        </w:tc>
        <w:tc>
          <w:tcPr>
            <w:tcW w:type="dxa" w:w="1462"/>
            <w:shd w:val="clear" w:fill="DCDCDC"/>
          </w:tcPr>
          <w:p>
            <w:pPr>
              <w:keepNext/>
              <w:spacing w:after="40"/>
            </w:pPr>
            <w:r>
              <w:rPr>
                <w:rFonts w:ascii="Times New Roman" w:hAnsi="Times New Roman"/>
                <w:b/>
                <w:sz w:val="20"/>
              </w:rPr>
              <w:t>Day IR</w:t>
            </w:r>
          </w:p>
        </w:tc>
        <w:tc>
          <w:tcPr>
            <w:tcW w:type="dxa" w:w="1462"/>
            <w:shd w:val="clear" w:fill="DCDCDC"/>
          </w:tcPr>
          <w:p>
            <w:pPr>
              <w:keepNext/>
              <w:spacing w:after="40"/>
            </w:pPr>
            <w:r>
              <w:rPr>
                <w:rFonts w:ascii="Times New Roman" w:hAnsi="Times New Roman"/>
                <w:b/>
                <w:sz w:val="20"/>
              </w:rPr>
              <w:t>Night IR</w:t>
            </w:r>
          </w:p>
        </w:tc>
      </w:tr>
      <w:tr>
        <w:trPr>
          <w:cantSplit/>
        </w:trPr>
        <w:tc>
          <w:tcPr>
            <w:tcW w:type="dxa" w:w="2047"/>
          </w:tcPr>
          <w:p>
            <w:pPr>
              <w:keepNext/>
              <w:spacing w:after="40"/>
            </w:pPr>
            <w:r>
              <w:rPr>
                <w:rFonts w:ascii="Times New Roman" w:hAnsi="Times New Roman"/>
                <w:sz w:val="20"/>
              </w:rPr>
              <w:t>Viking R</w:t>
            </w:r>
          </w:p>
        </w:tc>
        <w:tc>
          <w:tcPr>
            <w:tcW w:type="dxa" w:w="1462"/>
          </w:tcPr>
          <w:p>
            <w:pPr>
              <w:keepNext/>
              <w:spacing w:after="40"/>
            </w:pPr>
            <w:r>
              <w:rPr>
                <w:rFonts w:ascii="Times New Roman" w:hAnsi="Times New Roman"/>
                <w:sz w:val="20"/>
              </w:rPr>
              <w:t>1</w:t>
            </w:r>
          </w:p>
        </w:tc>
        <w:tc>
          <w:tcPr>
            <w:tcW w:type="dxa" w:w="1462"/>
          </w:tcPr>
          <w:p>
            <w:pPr>
              <w:keepNext/>
              <w:spacing w:after="40"/>
            </w:pPr>
            <w:r>
              <w:rPr>
                <w:rFonts w:ascii="Times New Roman" w:hAnsi="Times New Roman"/>
                <w:sz w:val="20"/>
              </w:rPr>
              <w:t>+0.960</w:t>
            </w:r>
          </w:p>
        </w:tc>
        <w:tc>
          <w:tcPr>
            <w:tcW w:type="dxa" w:w="1462"/>
          </w:tcPr>
          <w:p>
            <w:pPr>
              <w:keepNext/>
              <w:spacing w:after="40"/>
            </w:pPr>
            <w:r>
              <w:rPr>
                <w:rFonts w:ascii="Times New Roman" w:hAnsi="Times New Roman"/>
                <w:sz w:val="20"/>
              </w:rPr>
              <w:t>+0.925</w:t>
            </w:r>
          </w:p>
        </w:tc>
        <w:tc>
          <w:tcPr>
            <w:tcW w:type="dxa" w:w="1462"/>
          </w:tcPr>
          <w:p>
            <w:pPr>
              <w:keepNext/>
              <w:spacing w:after="40"/>
            </w:pPr>
            <w:r>
              <w:rPr>
                <w:rFonts w:ascii="Times New Roman" w:hAnsi="Times New Roman"/>
                <w:sz w:val="20"/>
              </w:rPr>
              <w:t>−0.486</w:t>
            </w:r>
          </w:p>
        </w:tc>
        <w:tc>
          <w:tcPr>
            <w:tcW w:type="dxa" w:w="1462"/>
          </w:tcPr>
          <w:p>
            <w:pPr>
              <w:keepNext/>
              <w:spacing w:after="40"/>
            </w:pPr>
            <w:r>
              <w:rPr>
                <w:rFonts w:ascii="Times New Roman" w:hAnsi="Times New Roman"/>
                <w:sz w:val="20"/>
              </w:rPr>
              <w:t>−0.121</w:t>
            </w:r>
          </w:p>
        </w:tc>
      </w:tr>
      <w:tr>
        <w:trPr>
          <w:cantSplit/>
        </w:trPr>
        <w:tc>
          <w:tcPr>
            <w:tcW w:type="dxa" w:w="2047"/>
          </w:tcPr>
          <w:p>
            <w:pPr>
              <w:keepNext/>
              <w:spacing w:after="40"/>
            </w:pPr>
            <w:r>
              <w:rPr>
                <w:rFonts w:ascii="Times New Roman" w:hAnsi="Times New Roman"/>
                <w:sz w:val="20"/>
              </w:rPr>
              <w:t>Viking G</w:t>
            </w:r>
          </w:p>
        </w:tc>
        <w:tc>
          <w:tcPr>
            <w:tcW w:type="dxa" w:w="1462"/>
          </w:tcPr>
          <w:p>
            <w:pPr>
              <w:keepNext/>
              <w:spacing w:after="40"/>
            </w:pPr>
            <w:r>
              <w:rPr>
                <w:rFonts w:ascii="Times New Roman" w:hAnsi="Times New Roman"/>
                <w:sz w:val="20"/>
              </w:rPr>
              <w:t>+0.960</w:t>
            </w:r>
          </w:p>
        </w:tc>
        <w:tc>
          <w:tcPr>
            <w:tcW w:type="dxa" w:w="1462"/>
          </w:tcPr>
          <w:p>
            <w:pPr>
              <w:keepNext/>
              <w:spacing w:after="40"/>
            </w:pPr>
            <w:r>
              <w:rPr>
                <w:rFonts w:ascii="Times New Roman" w:hAnsi="Times New Roman"/>
                <w:sz w:val="20"/>
              </w:rPr>
              <w:t>1</w:t>
            </w:r>
          </w:p>
        </w:tc>
        <w:tc>
          <w:tcPr>
            <w:tcW w:type="dxa" w:w="1462"/>
          </w:tcPr>
          <w:p>
            <w:pPr>
              <w:keepNext/>
              <w:spacing w:after="40"/>
            </w:pPr>
            <w:r>
              <w:rPr>
                <w:rFonts w:ascii="Times New Roman" w:hAnsi="Times New Roman"/>
                <w:sz w:val="20"/>
              </w:rPr>
              <w:t>+0.993</w:t>
            </w:r>
          </w:p>
        </w:tc>
        <w:tc>
          <w:tcPr>
            <w:tcW w:type="dxa" w:w="1462"/>
          </w:tcPr>
          <w:p>
            <w:pPr>
              <w:keepNext/>
              <w:spacing w:after="40"/>
            </w:pPr>
            <w:r>
              <w:rPr>
                <w:rFonts w:ascii="Times New Roman" w:hAnsi="Times New Roman"/>
                <w:sz w:val="20"/>
              </w:rPr>
              <w:t>−0.496</w:t>
            </w:r>
          </w:p>
        </w:tc>
        <w:tc>
          <w:tcPr>
            <w:tcW w:type="dxa" w:w="1462"/>
          </w:tcPr>
          <w:p>
            <w:pPr>
              <w:keepNext/>
              <w:spacing w:after="40"/>
            </w:pPr>
            <w:r>
              <w:rPr>
                <w:rFonts w:ascii="Times New Roman" w:hAnsi="Times New Roman"/>
                <w:sz w:val="20"/>
              </w:rPr>
              <w:t>−0.085</w:t>
            </w:r>
          </w:p>
        </w:tc>
      </w:tr>
      <w:tr>
        <w:trPr>
          <w:cantSplit/>
        </w:trPr>
        <w:tc>
          <w:tcPr>
            <w:tcW w:type="dxa" w:w="2047"/>
          </w:tcPr>
          <w:p>
            <w:pPr>
              <w:keepNext/>
              <w:spacing w:after="40"/>
            </w:pPr>
            <w:r>
              <w:rPr>
                <w:rFonts w:ascii="Times New Roman" w:hAnsi="Times New Roman"/>
                <w:sz w:val="20"/>
              </w:rPr>
              <w:t>Viking B</w:t>
            </w:r>
          </w:p>
        </w:tc>
        <w:tc>
          <w:tcPr>
            <w:tcW w:type="dxa" w:w="1462"/>
          </w:tcPr>
          <w:p>
            <w:pPr>
              <w:keepNext/>
              <w:spacing w:after="40"/>
            </w:pPr>
            <w:r>
              <w:rPr>
                <w:rFonts w:ascii="Times New Roman" w:hAnsi="Times New Roman"/>
                <w:sz w:val="20"/>
              </w:rPr>
              <w:t>+0.925</w:t>
            </w:r>
          </w:p>
        </w:tc>
        <w:tc>
          <w:tcPr>
            <w:tcW w:type="dxa" w:w="1462"/>
          </w:tcPr>
          <w:p>
            <w:pPr>
              <w:keepNext/>
              <w:spacing w:after="40"/>
            </w:pPr>
            <w:r>
              <w:rPr>
                <w:rFonts w:ascii="Times New Roman" w:hAnsi="Times New Roman"/>
                <w:sz w:val="20"/>
              </w:rPr>
              <w:t>+0.993</w:t>
            </w:r>
          </w:p>
        </w:tc>
        <w:tc>
          <w:tcPr>
            <w:tcW w:type="dxa" w:w="1462"/>
          </w:tcPr>
          <w:p>
            <w:pPr>
              <w:keepNext/>
              <w:spacing w:after="40"/>
            </w:pPr>
            <w:r>
              <w:rPr>
                <w:rFonts w:ascii="Times New Roman" w:hAnsi="Times New Roman"/>
                <w:sz w:val="20"/>
              </w:rPr>
              <w:t>1</w:t>
            </w:r>
          </w:p>
        </w:tc>
        <w:tc>
          <w:tcPr>
            <w:tcW w:type="dxa" w:w="1462"/>
          </w:tcPr>
          <w:p>
            <w:pPr>
              <w:keepNext/>
              <w:spacing w:after="40"/>
            </w:pPr>
            <w:r>
              <w:rPr>
                <w:rFonts w:ascii="Times New Roman" w:hAnsi="Times New Roman"/>
                <w:sz w:val="20"/>
              </w:rPr>
              <w:t>−0.488</w:t>
            </w:r>
          </w:p>
        </w:tc>
        <w:tc>
          <w:tcPr>
            <w:tcW w:type="dxa" w:w="1462"/>
          </w:tcPr>
          <w:p>
            <w:pPr>
              <w:keepNext/>
              <w:spacing w:after="40"/>
            </w:pPr>
            <w:r>
              <w:rPr>
                <w:rFonts w:ascii="Times New Roman" w:hAnsi="Times New Roman"/>
                <w:sz w:val="20"/>
              </w:rPr>
              <w:t>−0.068</w:t>
            </w:r>
          </w:p>
        </w:tc>
      </w:tr>
      <w:tr>
        <w:trPr>
          <w:cantSplit/>
        </w:trPr>
        <w:tc>
          <w:tcPr>
            <w:tcW w:type="dxa" w:w="2047"/>
          </w:tcPr>
          <w:p>
            <w:pPr>
              <w:keepNext/>
              <w:spacing w:after="40"/>
            </w:pPr>
            <w:r>
              <w:rPr>
                <w:rFonts w:ascii="Times New Roman" w:hAnsi="Times New Roman"/>
                <w:sz w:val="20"/>
              </w:rPr>
              <w:t>Day IR</w:t>
            </w:r>
          </w:p>
        </w:tc>
        <w:tc>
          <w:tcPr>
            <w:tcW w:type="dxa" w:w="1462"/>
          </w:tcPr>
          <w:p>
            <w:pPr>
              <w:keepNext/>
              <w:spacing w:after="40"/>
            </w:pPr>
            <w:r>
              <w:rPr>
                <w:rFonts w:ascii="Times New Roman" w:hAnsi="Times New Roman"/>
                <w:sz w:val="20"/>
              </w:rPr>
              <w:t>−0.486</w:t>
            </w:r>
          </w:p>
        </w:tc>
        <w:tc>
          <w:tcPr>
            <w:tcW w:type="dxa" w:w="1462"/>
          </w:tcPr>
          <w:p>
            <w:pPr>
              <w:keepNext/>
              <w:spacing w:after="40"/>
            </w:pPr>
            <w:r>
              <w:rPr>
                <w:rFonts w:ascii="Times New Roman" w:hAnsi="Times New Roman"/>
                <w:sz w:val="20"/>
              </w:rPr>
              <w:t>−0.496</w:t>
            </w:r>
          </w:p>
        </w:tc>
        <w:tc>
          <w:tcPr>
            <w:tcW w:type="dxa" w:w="1462"/>
          </w:tcPr>
          <w:p>
            <w:pPr>
              <w:keepNext/>
              <w:spacing w:after="40"/>
            </w:pPr>
            <w:r>
              <w:rPr>
                <w:rFonts w:ascii="Times New Roman" w:hAnsi="Times New Roman"/>
                <w:sz w:val="20"/>
              </w:rPr>
              <w:t>−0.488</w:t>
            </w:r>
          </w:p>
        </w:tc>
        <w:tc>
          <w:tcPr>
            <w:tcW w:type="dxa" w:w="1462"/>
          </w:tcPr>
          <w:p>
            <w:pPr>
              <w:keepNext/>
              <w:spacing w:after="40"/>
            </w:pPr>
            <w:r>
              <w:rPr>
                <w:rFonts w:ascii="Times New Roman" w:hAnsi="Times New Roman"/>
                <w:sz w:val="20"/>
              </w:rPr>
              <w:t>1</w:t>
            </w:r>
          </w:p>
        </w:tc>
        <w:tc>
          <w:tcPr>
            <w:tcW w:type="dxa" w:w="1462"/>
          </w:tcPr>
          <w:p>
            <w:pPr>
              <w:keepNext/>
              <w:spacing w:after="40"/>
            </w:pPr>
            <w:r>
              <w:rPr>
                <w:rFonts w:ascii="Times New Roman" w:hAnsi="Times New Roman"/>
                <w:sz w:val="20"/>
              </w:rPr>
              <w:t>+0.105</w:t>
            </w:r>
          </w:p>
        </w:tc>
      </w:tr>
      <w:tr>
        <w:trPr>
          <w:cantSplit/>
        </w:trPr>
        <w:tc>
          <w:tcPr>
            <w:tcW w:type="dxa" w:w="2047"/>
          </w:tcPr>
          <w:p>
            <w:pPr>
              <w:spacing w:after="40"/>
            </w:pPr>
            <w:r>
              <w:rPr>
                <w:rFonts w:ascii="Times New Roman" w:hAnsi="Times New Roman"/>
                <w:sz w:val="20"/>
              </w:rPr>
              <w:t>Night IR</w:t>
            </w:r>
          </w:p>
        </w:tc>
        <w:tc>
          <w:tcPr>
            <w:tcW w:type="dxa" w:w="1462"/>
          </w:tcPr>
          <w:p>
            <w:pPr>
              <w:spacing w:after="40"/>
            </w:pPr>
            <w:r>
              <w:rPr>
                <w:rFonts w:ascii="Times New Roman" w:hAnsi="Times New Roman"/>
                <w:sz w:val="20"/>
              </w:rPr>
              <w:t>−0.121</w:t>
            </w:r>
          </w:p>
        </w:tc>
        <w:tc>
          <w:tcPr>
            <w:tcW w:type="dxa" w:w="1462"/>
          </w:tcPr>
          <w:p>
            <w:pPr>
              <w:spacing w:after="40"/>
            </w:pPr>
            <w:r>
              <w:rPr>
                <w:rFonts w:ascii="Times New Roman" w:hAnsi="Times New Roman"/>
                <w:sz w:val="20"/>
              </w:rPr>
              <w:t>−0.085</w:t>
            </w:r>
          </w:p>
        </w:tc>
        <w:tc>
          <w:tcPr>
            <w:tcW w:type="dxa" w:w="1462"/>
          </w:tcPr>
          <w:p>
            <w:pPr>
              <w:spacing w:after="40"/>
            </w:pPr>
            <w:r>
              <w:rPr>
                <w:rFonts w:ascii="Times New Roman" w:hAnsi="Times New Roman"/>
                <w:sz w:val="20"/>
              </w:rPr>
              <w:t>−0.068</w:t>
            </w:r>
          </w:p>
        </w:tc>
        <w:tc>
          <w:tcPr>
            <w:tcW w:type="dxa" w:w="1462"/>
          </w:tcPr>
          <w:p>
            <w:pPr>
              <w:spacing w:after="40"/>
            </w:pPr>
            <w:r>
              <w:rPr>
                <w:rFonts w:ascii="Times New Roman" w:hAnsi="Times New Roman"/>
                <w:sz w:val="20"/>
              </w:rPr>
              <w:t>+0.105</w:t>
            </w:r>
          </w:p>
        </w:tc>
        <w:tc>
          <w:tcPr>
            <w:tcW w:type="dxa" w:w="1462"/>
          </w:tcPr>
          <w:p>
            <w:pPr>
              <w:spacing w:after="40"/>
            </w:pPr>
            <w:r>
              <w:rPr>
                <w:rFonts w:ascii="Times New Roman" w:hAnsi="Times New Roman"/>
                <w:sz w:val="20"/>
              </w:rPr>
              <w:t>1</w:t>
            </w:r>
          </w:p>
        </w:tc>
      </w:tr>
    </w:tbl>
    <w:p>
      <w:pPr>
        <w:spacing w:after="40" w:before="0"/>
      </w:pPr>
    </w:p>
    <w:p>
      <w:pPr>
        <w:spacing w:after="120" w:before="0"/>
      </w:pPr>
      <w:r>
        <w:rPr>
          <w:rFonts w:ascii="Times New Roman" w:hAnsi="Times New Roman"/>
          <w:b w:val="0"/>
          <w:i w:val="0"/>
          <w:sz w:val="24"/>
        </w:rPr>
        <w:t>The three Viking bands behave as one (r 0.93–0.99); day IR adds a second dimension and night IR a third. That is the measured case for fusing them.</w:t>
      </w:r>
    </w:p>
    <w:p>
      <w:pPr>
        <w:keepNext/>
        <w:spacing w:after="120" w:before="240"/>
      </w:pPr>
      <w:r>
        <w:rPr>
          <w:rFonts w:ascii="Times New Roman" w:hAnsi="Times New Roman"/>
          <w:b/>
          <w:i w:val="0"/>
          <w:sz w:val="24"/>
        </w:rPr>
        <w:t>4. Project Tasks and Percent Complete</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527"/>
            <w:shd w:val="clear" w:fill="DCDCDC"/>
          </w:tcPr>
          <w:p>
            <w:pPr>
              <w:keepNext/>
              <w:spacing w:after="40"/>
            </w:pPr>
            <w:r>
              <w:rPr>
                <w:rFonts w:ascii="Times New Roman" w:hAnsi="Times New Roman"/>
                <w:b/>
                <w:sz w:val="20"/>
              </w:rPr>
              <w:t>#</w:t>
            </w:r>
          </w:p>
        </w:tc>
        <w:tc>
          <w:tcPr>
            <w:tcW w:type="dxa" w:w="2637"/>
            <w:shd w:val="clear" w:fill="DCDCDC"/>
          </w:tcPr>
          <w:p>
            <w:pPr>
              <w:keepNext/>
              <w:spacing w:after="40"/>
            </w:pPr>
            <w:r>
              <w:rPr>
                <w:rFonts w:ascii="Times New Roman" w:hAnsi="Times New Roman"/>
                <w:b/>
                <w:sz w:val="20"/>
              </w:rPr>
              <w:t>Task</w:t>
            </w:r>
          </w:p>
        </w:tc>
        <w:tc>
          <w:tcPr>
            <w:tcW w:type="dxa" w:w="4614"/>
            <w:shd w:val="clear" w:fill="DCDCDC"/>
          </w:tcPr>
          <w:p>
            <w:pPr>
              <w:keepNext/>
              <w:spacing w:after="40"/>
            </w:pPr>
            <w:r>
              <w:rPr>
                <w:rFonts w:ascii="Times New Roman" w:hAnsi="Times New Roman"/>
                <w:b/>
                <w:sz w:val="20"/>
              </w:rPr>
              <w:t>Where it stands</w:t>
            </w:r>
          </w:p>
        </w:tc>
        <w:tc>
          <w:tcPr>
            <w:tcW w:type="dxa" w:w="791"/>
            <w:shd w:val="clear" w:fill="DCDCDC"/>
          </w:tcPr>
          <w:p>
            <w:pPr>
              <w:keepNext/>
              <w:spacing w:after="40"/>
            </w:pPr>
            <w:r>
              <w:rPr>
                <w:rFonts w:ascii="Times New Roman" w:hAnsi="Times New Roman"/>
                <w:b/>
                <w:sz w:val="20"/>
              </w:rPr>
              <w:t>13 Sep</w:t>
            </w:r>
          </w:p>
        </w:tc>
        <w:tc>
          <w:tcPr>
            <w:tcW w:type="dxa" w:w="791"/>
            <w:shd w:val="clear" w:fill="DCDCDC"/>
          </w:tcPr>
          <w:p>
            <w:pPr>
              <w:keepNext/>
              <w:spacing w:after="40"/>
            </w:pPr>
            <w:r>
              <w:rPr>
                <w:rFonts w:ascii="Times New Roman" w:hAnsi="Times New Roman"/>
                <w:b/>
                <w:sz w:val="20"/>
              </w:rPr>
              <w:t>Now</w:t>
            </w:r>
          </w:p>
        </w:tc>
      </w:tr>
      <w:tr>
        <w:trPr>
          <w:cantSplit/>
        </w:trPr>
        <w:tc>
          <w:tcPr>
            <w:tcW w:type="dxa" w:w="527"/>
          </w:tcPr>
          <w:p>
            <w:pPr>
              <w:spacing w:after="40"/>
            </w:pPr>
            <w:r>
              <w:rPr>
                <w:rFonts w:ascii="Times New Roman" w:hAnsi="Times New Roman"/>
                <w:sz w:val="20"/>
              </w:rPr>
              <w:t>1</w:t>
            </w:r>
          </w:p>
        </w:tc>
        <w:tc>
          <w:tcPr>
            <w:tcW w:type="dxa" w:w="2637"/>
          </w:tcPr>
          <w:p>
            <w:pPr>
              <w:spacing w:after="40"/>
            </w:pPr>
            <w:r>
              <w:rPr>
                <w:rFonts w:ascii="Times New Roman" w:hAnsi="Times New Roman"/>
                <w:sz w:val="20"/>
              </w:rPr>
              <w:t>Scope, targets and type area</w:t>
            </w:r>
          </w:p>
        </w:tc>
        <w:tc>
          <w:tcPr>
            <w:tcW w:type="dxa" w:w="4614"/>
          </w:tcPr>
          <w:p>
            <w:pPr>
              <w:spacing w:after="40"/>
            </w:pPr>
            <w:r>
              <w:rPr>
                <w:rFonts w:ascii="Times New Roman" w:hAnsi="Times New Roman"/>
                <w:sz w:val="20"/>
              </w:rPr>
              <w:t>Two type areas, Ius Chasma and Athabasca Valles; the ±60° extent</w:t>
            </w:r>
          </w:p>
        </w:tc>
        <w:tc>
          <w:tcPr>
            <w:tcW w:type="dxa" w:w="791"/>
          </w:tcPr>
          <w:p>
            <w:pPr>
              <w:spacing w:after="40"/>
            </w:pPr>
            <w:r>
              <w:rPr>
                <w:rFonts w:ascii="Times New Roman" w:hAnsi="Times New Roman"/>
                <w:sz w:val="20"/>
              </w:rPr>
              <w:t>90%</w:t>
            </w:r>
          </w:p>
        </w:tc>
        <w:tc>
          <w:tcPr>
            <w:tcW w:type="dxa" w:w="791"/>
          </w:tcPr>
          <w:p>
            <w:pPr>
              <w:spacing w:after="40"/>
            </w:pPr>
            <w:r>
              <w:rPr>
                <w:rFonts w:ascii="Times New Roman" w:hAnsi="Times New Roman"/>
                <w:sz w:val="20"/>
              </w:rPr>
              <w:t>100%</w:t>
            </w:r>
          </w:p>
        </w:tc>
      </w:tr>
      <w:tr>
        <w:trPr>
          <w:cantSplit/>
        </w:trPr>
        <w:tc>
          <w:tcPr>
            <w:tcW w:type="dxa" w:w="527"/>
          </w:tcPr>
          <w:p>
            <w:pPr>
              <w:spacing w:after="40"/>
            </w:pPr>
            <w:r>
              <w:rPr>
                <w:rFonts w:ascii="Times New Roman" w:hAnsi="Times New Roman"/>
                <w:sz w:val="20"/>
              </w:rPr>
              <w:t>2</w:t>
            </w:r>
          </w:p>
        </w:tc>
        <w:tc>
          <w:tcPr>
            <w:tcW w:type="dxa" w:w="2637"/>
          </w:tcPr>
          <w:p>
            <w:pPr>
              <w:spacing w:after="40"/>
            </w:pPr>
            <w:r>
              <w:rPr>
                <w:rFonts w:ascii="Times New Roman" w:hAnsi="Times New Roman"/>
                <w:sz w:val="20"/>
              </w:rPr>
              <w:t>Raster acquisition</w:t>
            </w:r>
          </w:p>
        </w:tc>
        <w:tc>
          <w:tcPr>
            <w:tcW w:type="dxa" w:w="4614"/>
          </w:tcPr>
          <w:p>
            <w:pPr>
              <w:spacing w:after="40"/>
            </w:pPr>
            <w:r>
              <w:rPr>
                <w:rFonts w:ascii="Times New Roman" w:hAnsi="Times New Roman"/>
                <w:sz w:val="20"/>
              </w:rPr>
              <w:t>Three global mosaics plus the THEMIS night IR mosaic</w:t>
            </w:r>
          </w:p>
        </w:tc>
        <w:tc>
          <w:tcPr>
            <w:tcW w:type="dxa" w:w="791"/>
          </w:tcPr>
          <w:p>
            <w:pPr>
              <w:spacing w:after="40"/>
            </w:pPr>
            <w:r>
              <w:rPr>
                <w:rFonts w:ascii="Times New Roman" w:hAnsi="Times New Roman"/>
                <w:sz w:val="20"/>
              </w:rPr>
              <w:t>100%</w:t>
            </w:r>
          </w:p>
        </w:tc>
        <w:tc>
          <w:tcPr>
            <w:tcW w:type="dxa" w:w="791"/>
          </w:tcPr>
          <w:p>
            <w:pPr>
              <w:spacing w:after="40"/>
            </w:pPr>
            <w:r>
              <w:rPr>
                <w:rFonts w:ascii="Times New Roman" w:hAnsi="Times New Roman"/>
                <w:sz w:val="20"/>
              </w:rPr>
              <w:t>100%</w:t>
            </w:r>
          </w:p>
        </w:tc>
      </w:tr>
      <w:tr>
        <w:trPr>
          <w:cantSplit/>
        </w:trPr>
        <w:tc>
          <w:tcPr>
            <w:tcW w:type="dxa" w:w="527"/>
          </w:tcPr>
          <w:p>
            <w:pPr>
              <w:spacing w:after="40"/>
            </w:pPr>
            <w:r>
              <w:rPr>
                <w:rFonts w:ascii="Times New Roman" w:hAnsi="Times New Roman"/>
                <w:sz w:val="20"/>
              </w:rPr>
              <w:t>3</w:t>
            </w:r>
          </w:p>
        </w:tc>
        <w:tc>
          <w:tcPr>
            <w:tcW w:type="dxa" w:w="2637"/>
          </w:tcPr>
          <w:p>
            <w:pPr>
              <w:spacing w:after="40"/>
            </w:pPr>
            <w:r>
              <w:rPr>
                <w:rFonts w:ascii="Times New Roman" w:hAnsi="Times New Roman"/>
                <w:sz w:val="20"/>
              </w:rPr>
              <w:t>Statistics, stretches, pyramids</w:t>
            </w:r>
          </w:p>
        </w:tc>
        <w:tc>
          <w:tcPr>
            <w:tcW w:type="dxa" w:w="4614"/>
          </w:tcPr>
          <w:p>
            <w:pPr>
              <w:spacing w:after="40"/>
            </w:pPr>
            <w:r>
              <w:rPr>
                <w:rFonts w:ascii="Times New Roman" w:hAnsi="Times New Roman"/>
                <w:sz w:val="20"/>
              </w:rPr>
              <w:t>Done for every product; pyramids on the four source globals took 26 min</w:t>
            </w:r>
          </w:p>
        </w:tc>
        <w:tc>
          <w:tcPr>
            <w:tcW w:type="dxa" w:w="791"/>
          </w:tcPr>
          <w:p>
            <w:pPr>
              <w:spacing w:after="40"/>
            </w:pPr>
            <w:r>
              <w:rPr>
                <w:rFonts w:ascii="Times New Roman" w:hAnsi="Times New Roman"/>
                <w:sz w:val="20"/>
              </w:rPr>
              <w:t>70%</w:t>
            </w:r>
          </w:p>
        </w:tc>
        <w:tc>
          <w:tcPr>
            <w:tcW w:type="dxa" w:w="791"/>
          </w:tcPr>
          <w:p>
            <w:pPr>
              <w:spacing w:after="40"/>
            </w:pPr>
            <w:r>
              <w:rPr>
                <w:rFonts w:ascii="Times New Roman" w:hAnsi="Times New Roman"/>
                <w:sz w:val="20"/>
              </w:rPr>
              <w:t>100%</w:t>
            </w:r>
          </w:p>
        </w:tc>
      </w:tr>
      <w:tr>
        <w:trPr>
          <w:cantSplit/>
        </w:trPr>
        <w:tc>
          <w:tcPr>
            <w:tcW w:type="dxa" w:w="527"/>
          </w:tcPr>
          <w:p>
            <w:pPr>
              <w:spacing w:after="40"/>
            </w:pPr>
            <w:r>
              <w:rPr>
                <w:rFonts w:ascii="Times New Roman" w:hAnsi="Times New Roman"/>
                <w:sz w:val="20"/>
              </w:rPr>
              <w:t>4</w:t>
            </w:r>
          </w:p>
        </w:tc>
        <w:tc>
          <w:tcPr>
            <w:tcW w:type="dxa" w:w="2637"/>
          </w:tcPr>
          <w:p>
            <w:pPr>
              <w:spacing w:after="40"/>
            </w:pPr>
            <w:r>
              <w:rPr>
                <w:rFonts w:ascii="Times New Roman" w:hAnsi="Times New Roman"/>
                <w:sz w:val="20"/>
              </w:rPr>
              <w:t>Grouped mosaic viewer</w:t>
            </w:r>
          </w:p>
        </w:tc>
        <w:tc>
          <w:tcPr>
            <w:tcW w:type="dxa" w:w="4614"/>
          </w:tcPr>
          <w:p>
            <w:pPr>
              <w:spacing w:after="40"/>
            </w:pPr>
            <w:r>
              <w:rPr>
                <w:rFonts w:ascii="Times New Roman" w:hAnsi="Times New Roman"/>
                <w:sz w:val="20"/>
              </w:rPr>
              <w:t>Done</w:t>
            </w:r>
          </w:p>
        </w:tc>
        <w:tc>
          <w:tcPr>
            <w:tcW w:type="dxa" w:w="791"/>
          </w:tcPr>
          <w:p>
            <w:pPr>
              <w:spacing w:after="40"/>
            </w:pPr>
            <w:r>
              <w:rPr>
                <w:rFonts w:ascii="Times New Roman" w:hAnsi="Times New Roman"/>
                <w:sz w:val="20"/>
              </w:rPr>
              <w:t>100%</w:t>
            </w:r>
          </w:p>
        </w:tc>
        <w:tc>
          <w:tcPr>
            <w:tcW w:type="dxa" w:w="791"/>
          </w:tcPr>
          <w:p>
            <w:pPr>
              <w:spacing w:after="40"/>
            </w:pPr>
            <w:r>
              <w:rPr>
                <w:rFonts w:ascii="Times New Roman" w:hAnsi="Times New Roman"/>
                <w:sz w:val="20"/>
              </w:rPr>
              <w:t>100%</w:t>
            </w:r>
          </w:p>
        </w:tc>
      </w:tr>
      <w:tr>
        <w:trPr>
          <w:cantSplit/>
        </w:trPr>
        <w:tc>
          <w:tcPr>
            <w:tcW w:type="dxa" w:w="527"/>
          </w:tcPr>
          <w:p>
            <w:pPr>
              <w:spacing w:after="40"/>
            </w:pPr>
            <w:r>
              <w:rPr>
                <w:rFonts w:ascii="Times New Roman" w:hAnsi="Times New Roman"/>
                <w:sz w:val="20"/>
              </w:rPr>
              <w:t>5</w:t>
            </w:r>
          </w:p>
        </w:tc>
        <w:tc>
          <w:tcPr>
            <w:tcW w:type="dxa" w:w="2637"/>
          </w:tcPr>
          <w:p>
            <w:pPr>
              <w:spacing w:after="40"/>
            </w:pPr>
            <w:r>
              <w:rPr>
                <w:rFonts w:ascii="Times New Roman" w:hAnsi="Times New Roman"/>
                <w:sz w:val="20"/>
              </w:rPr>
              <w:t>DEM terrain derivatives</w:t>
            </w:r>
          </w:p>
        </w:tc>
        <w:tc>
          <w:tcPr>
            <w:tcW w:type="dxa" w:w="4614"/>
          </w:tcPr>
          <w:p>
            <w:pPr>
              <w:spacing w:after="40"/>
            </w:pPr>
            <w:r>
              <w:rPr>
                <w:rFonts w:ascii="Times New Roman" w:hAnsi="Times New Roman"/>
                <w:sz w:val="20"/>
              </w:rPr>
              <w:t>Slope rebuilt in degrees, type area and ±60°; WARNING 000869 gone</w:t>
            </w:r>
          </w:p>
        </w:tc>
        <w:tc>
          <w:tcPr>
            <w:tcW w:type="dxa" w:w="791"/>
          </w:tcPr>
          <w:p>
            <w:pPr>
              <w:spacing w:after="40"/>
            </w:pPr>
            <w:r>
              <w:rPr>
                <w:rFonts w:ascii="Times New Roman" w:hAnsi="Times New Roman"/>
                <w:sz w:val="20"/>
              </w:rPr>
              <w:t>80%</w:t>
            </w:r>
          </w:p>
        </w:tc>
        <w:tc>
          <w:tcPr>
            <w:tcW w:type="dxa" w:w="791"/>
          </w:tcPr>
          <w:p>
            <w:pPr>
              <w:spacing w:after="40"/>
            </w:pPr>
            <w:r>
              <w:rPr>
                <w:rFonts w:ascii="Times New Roman" w:hAnsi="Times New Roman"/>
                <w:sz w:val="20"/>
              </w:rPr>
              <w:t>100%</w:t>
            </w:r>
          </w:p>
        </w:tc>
      </w:tr>
      <w:tr>
        <w:trPr>
          <w:cantSplit/>
        </w:trPr>
        <w:tc>
          <w:tcPr>
            <w:tcW w:type="dxa" w:w="527"/>
          </w:tcPr>
          <w:p>
            <w:pPr>
              <w:spacing w:after="40"/>
            </w:pPr>
            <w:r>
              <w:rPr>
                <w:rFonts w:ascii="Times New Roman" w:hAnsi="Times New Roman"/>
                <w:sz w:val="20"/>
              </w:rPr>
              <w:t>6</w:t>
            </w:r>
          </w:p>
        </w:tc>
        <w:tc>
          <w:tcPr>
            <w:tcW w:type="dxa" w:w="2637"/>
          </w:tcPr>
          <w:p>
            <w:pPr>
              <w:spacing w:after="40"/>
            </w:pPr>
            <w:r>
              <w:rPr>
                <w:rFonts w:ascii="Times New Roman" w:hAnsi="Times New Roman"/>
                <w:sz w:val="20"/>
              </w:rPr>
              <w:t>Image-gradient products</w:t>
            </w:r>
          </w:p>
        </w:tc>
        <w:tc>
          <w:tcPr>
            <w:tcW w:type="dxa" w:w="4614"/>
          </w:tcPr>
          <w:p>
            <w:pPr>
              <w:spacing w:after="40"/>
            </w:pPr>
            <w:r>
              <w:rPr>
                <w:rFonts w:ascii="Times New Roman" w:hAnsi="Times New Roman"/>
                <w:sz w:val="20"/>
              </w:rPr>
              <w:t>Renamed Gradient_*; not used further</w:t>
            </w:r>
          </w:p>
        </w:tc>
        <w:tc>
          <w:tcPr>
            <w:tcW w:type="dxa" w:w="791"/>
          </w:tcPr>
          <w:p>
            <w:pPr>
              <w:spacing w:after="40"/>
            </w:pPr>
            <w:r>
              <w:rPr>
                <w:rFonts w:ascii="Times New Roman" w:hAnsi="Times New Roman"/>
                <w:sz w:val="20"/>
              </w:rPr>
              <w:t>70%</w:t>
            </w:r>
          </w:p>
        </w:tc>
        <w:tc>
          <w:tcPr>
            <w:tcW w:type="dxa" w:w="791"/>
          </w:tcPr>
          <w:p>
            <w:pPr>
              <w:spacing w:after="40"/>
            </w:pPr>
            <w:r>
              <w:rPr>
                <w:rFonts w:ascii="Times New Roman" w:hAnsi="Times New Roman"/>
                <w:sz w:val="20"/>
              </w:rPr>
              <w:t>100%</w:t>
            </w:r>
          </w:p>
        </w:tc>
      </w:tr>
      <w:tr>
        <w:trPr>
          <w:cantSplit/>
        </w:trPr>
        <w:tc>
          <w:tcPr>
            <w:tcW w:type="dxa" w:w="527"/>
          </w:tcPr>
          <w:p>
            <w:pPr>
              <w:spacing w:after="40"/>
            </w:pPr>
            <w:r>
              <w:rPr>
                <w:rFonts w:ascii="Times New Roman" w:hAnsi="Times New Roman"/>
                <w:sz w:val="20"/>
              </w:rPr>
              <w:t>7</w:t>
            </w:r>
          </w:p>
        </w:tc>
        <w:tc>
          <w:tcPr>
            <w:tcW w:type="dxa" w:w="2637"/>
          </w:tcPr>
          <w:p>
            <w:pPr>
              <w:spacing w:after="40"/>
            </w:pPr>
            <w:r>
              <w:rPr>
                <w:rFonts w:ascii="Times New Roman" w:hAnsi="Times New Roman"/>
                <w:sz w:val="20"/>
              </w:rPr>
              <w:t>Jezero context</w:t>
            </w:r>
          </w:p>
        </w:tc>
        <w:tc>
          <w:tcPr>
            <w:tcW w:type="dxa" w:w="4614"/>
          </w:tcPr>
          <w:p>
            <w:pPr>
              <w:spacing w:after="40"/>
            </w:pPr>
            <w:r>
              <w:rPr>
                <w:rFonts w:ascii="Times New Roman" w:hAnsi="Times New Roman"/>
                <w:sz w:val="20"/>
              </w:rPr>
              <w:t>Hosted services only; the dead HiRISE link removed</w:t>
            </w:r>
          </w:p>
        </w:tc>
        <w:tc>
          <w:tcPr>
            <w:tcW w:type="dxa" w:w="791"/>
          </w:tcPr>
          <w:p>
            <w:pPr>
              <w:spacing w:after="40"/>
            </w:pPr>
            <w:r>
              <w:rPr>
                <w:rFonts w:ascii="Times New Roman" w:hAnsi="Times New Roman"/>
                <w:sz w:val="20"/>
              </w:rPr>
              <w:t>20%</w:t>
            </w:r>
          </w:p>
        </w:tc>
        <w:tc>
          <w:tcPr>
            <w:tcW w:type="dxa" w:w="791"/>
          </w:tcPr>
          <w:p>
            <w:pPr>
              <w:spacing w:after="40"/>
            </w:pPr>
            <w:r>
              <w:rPr>
                <w:rFonts w:ascii="Times New Roman" w:hAnsi="Times New Roman"/>
                <w:sz w:val="20"/>
              </w:rPr>
              <w:t>100%</w:t>
            </w:r>
          </w:p>
        </w:tc>
      </w:tr>
      <w:tr>
        <w:trPr>
          <w:cantSplit/>
        </w:trPr>
        <w:tc>
          <w:tcPr>
            <w:tcW w:type="dxa" w:w="527"/>
          </w:tcPr>
          <w:p>
            <w:pPr>
              <w:spacing w:after="40"/>
            </w:pPr>
            <w:r>
              <w:rPr>
                <w:rFonts w:ascii="Times New Roman" w:hAnsi="Times New Roman"/>
                <w:sz w:val="20"/>
              </w:rPr>
              <w:t>8</w:t>
            </w:r>
          </w:p>
        </w:tc>
        <w:tc>
          <w:tcPr>
            <w:tcW w:type="dxa" w:w="2637"/>
          </w:tcPr>
          <w:p>
            <w:pPr>
              <w:spacing w:after="40"/>
            </w:pPr>
            <w:r>
              <w:rPr>
                <w:rFonts w:ascii="Times New Roman" w:hAnsi="Times New Roman"/>
                <w:sz w:val="20"/>
              </w:rPr>
              <w:t>Classification</w:t>
            </w:r>
          </w:p>
        </w:tc>
        <w:tc>
          <w:tcPr>
            <w:tcW w:type="dxa" w:w="4614"/>
          </w:tcPr>
          <w:p>
            <w:pPr>
              <w:spacing w:after="40"/>
            </w:pPr>
            <w:r>
              <w:rPr>
                <w:rFonts w:ascii="Times New Roman" w:hAnsi="Times New Roman"/>
                <w:sz w:val="20"/>
              </w:rPr>
              <w:t>±60° SVM on hand-drawn labels, 200 m: 73.8%, κ 0.58 held out; seven classes proposed</w:t>
            </w:r>
          </w:p>
        </w:tc>
        <w:tc>
          <w:tcPr>
            <w:tcW w:type="dxa" w:w="791"/>
          </w:tcPr>
          <w:p>
            <w:pPr>
              <w:spacing w:after="40"/>
            </w:pPr>
            <w:r>
              <w:rPr>
                <w:rFonts w:ascii="Times New Roman" w:hAnsi="Times New Roman"/>
                <w:sz w:val="20"/>
              </w:rPr>
              <w:t>20%</w:t>
            </w:r>
          </w:p>
        </w:tc>
        <w:tc>
          <w:tcPr>
            <w:tcW w:type="dxa" w:w="791"/>
          </w:tcPr>
          <w:p>
            <w:pPr>
              <w:spacing w:after="40"/>
            </w:pPr>
            <w:r>
              <w:rPr>
                <w:rFonts w:ascii="Times New Roman" w:hAnsi="Times New Roman"/>
                <w:sz w:val="20"/>
              </w:rPr>
              <w:t>75%</w:t>
            </w:r>
          </w:p>
        </w:tc>
      </w:tr>
      <w:tr>
        <w:trPr>
          <w:cantSplit/>
        </w:trPr>
        <w:tc>
          <w:tcPr>
            <w:tcW w:type="dxa" w:w="527"/>
          </w:tcPr>
          <w:p>
            <w:pPr>
              <w:spacing w:after="40"/>
            </w:pPr>
            <w:r>
              <w:rPr>
                <w:rFonts w:ascii="Times New Roman" w:hAnsi="Times New Roman"/>
                <w:sz w:val="20"/>
              </w:rPr>
              <w:t>9</w:t>
            </w:r>
          </w:p>
        </w:tc>
        <w:tc>
          <w:tcPr>
            <w:tcW w:type="dxa" w:w="2637"/>
          </w:tcPr>
          <w:p>
            <w:pPr>
              <w:spacing w:after="40"/>
            </w:pPr>
            <w:r>
              <w:rPr>
                <w:rFonts w:ascii="Times New Roman" w:hAnsi="Times New Roman"/>
                <w:sz w:val="20"/>
              </w:rPr>
              <w:t>CRS harmonisation</w:t>
            </w:r>
          </w:p>
        </w:tc>
        <w:tc>
          <w:tcPr>
            <w:tcW w:type="dxa" w:w="4614"/>
          </w:tcPr>
          <w:p>
            <w:pPr>
              <w:spacing w:after="40"/>
            </w:pPr>
            <w:r>
              <w:rPr>
                <w:rFonts w:ascii="Times New Roman" w:hAnsi="Times New Roman"/>
                <w:sz w:val="20"/>
              </w:rPr>
              <w:t>Done: one 100 m / 200 m grid over ±60°</w:t>
            </w:r>
          </w:p>
        </w:tc>
        <w:tc>
          <w:tcPr>
            <w:tcW w:type="dxa" w:w="791"/>
          </w:tcPr>
          <w:p>
            <w:pPr>
              <w:spacing w:after="40"/>
            </w:pPr>
            <w:r>
              <w:rPr>
                <w:rFonts w:ascii="Times New Roman" w:hAnsi="Times New Roman"/>
                <w:sz w:val="20"/>
              </w:rPr>
              <w:t>15%</w:t>
            </w:r>
          </w:p>
        </w:tc>
        <w:tc>
          <w:tcPr>
            <w:tcW w:type="dxa" w:w="791"/>
          </w:tcPr>
          <w:p>
            <w:pPr>
              <w:spacing w:after="40"/>
            </w:pPr>
            <w:r>
              <w:rPr>
                <w:rFonts w:ascii="Times New Roman" w:hAnsi="Times New Roman"/>
                <w:sz w:val="20"/>
              </w:rPr>
              <w:t>100%</w:t>
            </w:r>
          </w:p>
        </w:tc>
      </w:tr>
      <w:tr>
        <w:trPr>
          <w:cantSplit/>
        </w:trPr>
        <w:tc>
          <w:tcPr>
            <w:tcW w:type="dxa" w:w="527"/>
          </w:tcPr>
          <w:p>
            <w:pPr>
              <w:spacing w:after="40"/>
            </w:pPr>
            <w:r>
              <w:rPr>
                <w:rFonts w:ascii="Times New Roman" w:hAnsi="Times New Roman"/>
                <w:sz w:val="20"/>
              </w:rPr>
              <w:t>10</w:t>
            </w:r>
          </w:p>
        </w:tc>
        <w:tc>
          <w:tcPr>
            <w:tcW w:type="dxa" w:w="2637"/>
          </w:tcPr>
          <w:p>
            <w:pPr>
              <w:spacing w:after="40"/>
            </w:pPr>
            <w:r>
              <w:rPr>
                <w:rFonts w:ascii="Times New Roman" w:hAnsi="Times New Roman"/>
                <w:sz w:val="20"/>
              </w:rPr>
              <w:t>Visible + IR composite</w:t>
            </w:r>
          </w:p>
        </w:tc>
        <w:tc>
          <w:tcPr>
            <w:tcW w:type="dxa" w:w="4614"/>
          </w:tcPr>
          <w:p>
            <w:pPr>
              <w:spacing w:after="40"/>
            </w:pPr>
            <w:r>
              <w:rPr>
                <w:rFonts w:ascii="Times New Roman" w:hAnsi="Times New Roman"/>
                <w:sz w:val="20"/>
              </w:rPr>
              <w:t>Done: type area; 7-band ±60° stack</w:t>
            </w:r>
          </w:p>
        </w:tc>
        <w:tc>
          <w:tcPr>
            <w:tcW w:type="dxa" w:w="791"/>
          </w:tcPr>
          <w:p>
            <w:pPr>
              <w:spacing w:after="40"/>
            </w:pPr>
            <w:r>
              <w:rPr>
                <w:rFonts w:ascii="Times New Roman" w:hAnsi="Times New Roman"/>
                <w:sz w:val="20"/>
              </w:rPr>
              <w:t>5%</w:t>
            </w:r>
          </w:p>
        </w:tc>
        <w:tc>
          <w:tcPr>
            <w:tcW w:type="dxa" w:w="791"/>
          </w:tcPr>
          <w:p>
            <w:pPr>
              <w:spacing w:after="40"/>
            </w:pPr>
            <w:r>
              <w:rPr>
                <w:rFonts w:ascii="Times New Roman" w:hAnsi="Times New Roman"/>
                <w:sz w:val="20"/>
              </w:rPr>
              <w:t>100%</w:t>
            </w:r>
          </w:p>
        </w:tc>
      </w:tr>
      <w:tr>
        <w:trPr>
          <w:cantSplit/>
        </w:trPr>
        <w:tc>
          <w:tcPr>
            <w:tcW w:type="dxa" w:w="527"/>
          </w:tcPr>
          <w:p>
            <w:pPr>
              <w:spacing w:after="40"/>
            </w:pPr>
            <w:r>
              <w:rPr>
                <w:rFonts w:ascii="Times New Roman" w:hAnsi="Times New Roman"/>
                <w:sz w:val="20"/>
              </w:rPr>
              <w:t>11</w:t>
            </w:r>
          </w:p>
        </w:tc>
        <w:tc>
          <w:tcPr>
            <w:tcW w:type="dxa" w:w="2637"/>
          </w:tcPr>
          <w:p>
            <w:pPr>
              <w:spacing w:after="40"/>
            </w:pPr>
            <w:r>
              <w:rPr>
                <w:rFonts w:ascii="Times New Roman" w:hAnsi="Times New Roman"/>
                <w:sz w:val="20"/>
              </w:rPr>
              <w:t>Landform digitising</w:t>
            </w:r>
          </w:p>
        </w:tc>
        <w:tc>
          <w:tcPr>
            <w:tcW w:type="dxa" w:w="4614"/>
          </w:tcPr>
          <w:p>
            <w:pPr>
              <w:spacing w:after="40"/>
            </w:pPr>
            <w:r>
              <w:rPr>
                <w:rFonts w:ascii="Times New Roman" w:hAnsi="Times New Roman"/>
                <w:sz w:val="20"/>
              </w:rPr>
              <w:t>512 training polygons drawn; landform classes set up but empty; candidates ready to review</w:t>
            </w:r>
          </w:p>
        </w:tc>
        <w:tc>
          <w:tcPr>
            <w:tcW w:type="dxa" w:w="791"/>
          </w:tcPr>
          <w:p>
            <w:pPr>
              <w:spacing w:after="40"/>
            </w:pPr>
            <w:r>
              <w:rPr>
                <w:rFonts w:ascii="Times New Roman" w:hAnsi="Times New Roman"/>
                <w:sz w:val="20"/>
              </w:rPr>
              <w:t>0%</w:t>
            </w:r>
          </w:p>
        </w:tc>
        <w:tc>
          <w:tcPr>
            <w:tcW w:type="dxa" w:w="791"/>
          </w:tcPr>
          <w:p>
            <w:pPr>
              <w:spacing w:after="40"/>
            </w:pPr>
            <w:r>
              <w:rPr>
                <w:rFonts w:ascii="Times New Roman" w:hAnsi="Times New Roman"/>
                <w:sz w:val="20"/>
              </w:rPr>
              <w:t>10%</w:t>
            </w:r>
          </w:p>
        </w:tc>
      </w:tr>
      <w:tr>
        <w:trPr>
          <w:cantSplit/>
        </w:trPr>
        <w:tc>
          <w:tcPr>
            <w:tcW w:type="dxa" w:w="527"/>
          </w:tcPr>
          <w:p>
            <w:pPr>
              <w:spacing w:after="40"/>
            </w:pPr>
            <w:r>
              <w:rPr>
                <w:rFonts w:ascii="Times New Roman" w:hAnsi="Times New Roman"/>
                <w:sz w:val="20"/>
              </w:rPr>
              <w:t>12</w:t>
            </w:r>
          </w:p>
        </w:tc>
        <w:tc>
          <w:tcPr>
            <w:tcW w:type="dxa" w:w="2637"/>
          </w:tcPr>
          <w:p>
            <w:pPr>
              <w:spacing w:after="40"/>
            </w:pPr>
            <w:r>
              <w:rPr>
                <w:rFonts w:ascii="Times New Roman" w:hAnsi="Times New Roman"/>
                <w:sz w:val="20"/>
              </w:rPr>
              <w:t>Crater inventory</w:t>
            </w:r>
          </w:p>
        </w:tc>
        <w:tc>
          <w:tcPr>
            <w:tcW w:type="dxa" w:w="4614"/>
          </w:tcPr>
          <w:p>
            <w:pPr>
              <w:spacing w:after="40"/>
            </w:pPr>
            <w:r>
              <w:rPr>
                <w:rFonts w:ascii="Times New Roman" w:hAnsi="Times New Roman"/>
                <w:sz w:val="20"/>
              </w:rPr>
              <w:t>Robbins catalogue in the project (385,049); 465,354 closed depressions ≥ 1 km at ±60°</w:t>
            </w:r>
          </w:p>
        </w:tc>
        <w:tc>
          <w:tcPr>
            <w:tcW w:type="dxa" w:w="791"/>
          </w:tcPr>
          <w:p>
            <w:pPr>
              <w:spacing w:after="40"/>
            </w:pPr>
            <w:r>
              <w:rPr>
                <w:rFonts w:ascii="Times New Roman" w:hAnsi="Times New Roman"/>
                <w:sz w:val="20"/>
              </w:rPr>
              <w:t>0%</w:t>
            </w:r>
          </w:p>
        </w:tc>
        <w:tc>
          <w:tcPr>
            <w:tcW w:type="dxa" w:w="791"/>
          </w:tcPr>
          <w:p>
            <w:pPr>
              <w:spacing w:after="40"/>
            </w:pPr>
            <w:r>
              <w:rPr>
                <w:rFonts w:ascii="Times New Roman" w:hAnsi="Times New Roman"/>
                <w:sz w:val="20"/>
              </w:rPr>
              <w:t>60%</w:t>
            </w:r>
          </w:p>
        </w:tc>
      </w:tr>
      <w:tr>
        <w:trPr>
          <w:cantSplit/>
        </w:trPr>
        <w:tc>
          <w:tcPr>
            <w:tcW w:type="dxa" w:w="527"/>
          </w:tcPr>
          <w:p>
            <w:pPr>
              <w:spacing w:after="40"/>
            </w:pPr>
            <w:r>
              <w:rPr>
                <w:rFonts w:ascii="Times New Roman" w:hAnsi="Times New Roman"/>
                <w:sz w:val="20"/>
              </w:rPr>
              <w:t>13</w:t>
            </w:r>
          </w:p>
        </w:tc>
        <w:tc>
          <w:tcPr>
            <w:tcW w:type="dxa" w:w="2637"/>
          </w:tcPr>
          <w:p>
            <w:pPr>
              <w:spacing w:after="40"/>
            </w:pPr>
            <w:r>
              <w:rPr>
                <w:rFonts w:ascii="Times New Roman" w:hAnsi="Times New Roman"/>
                <w:sz w:val="20"/>
              </w:rPr>
              <w:t>Map layouts</w:t>
            </w:r>
          </w:p>
        </w:tc>
        <w:tc>
          <w:tcPr>
            <w:tcW w:type="dxa" w:w="4614"/>
          </w:tcPr>
          <w:p>
            <w:pPr>
              <w:spacing w:after="40"/>
            </w:pPr>
            <w:r>
              <w:rPr>
                <w:rFonts w:ascii="Times New Roman" w:hAnsi="Times New Roman"/>
                <w:sz w:val="20"/>
              </w:rPr>
              <w:t>17 map layouts with graticules (none in September)</w:t>
            </w:r>
          </w:p>
        </w:tc>
        <w:tc>
          <w:tcPr>
            <w:tcW w:type="dxa" w:w="791"/>
          </w:tcPr>
          <w:p>
            <w:pPr>
              <w:spacing w:after="40"/>
            </w:pPr>
            <w:r>
              <w:rPr>
                <w:rFonts w:ascii="Times New Roman" w:hAnsi="Times New Roman"/>
                <w:sz w:val="20"/>
              </w:rPr>
              <w:t>0%</w:t>
            </w:r>
          </w:p>
        </w:tc>
        <w:tc>
          <w:tcPr>
            <w:tcW w:type="dxa" w:w="791"/>
          </w:tcPr>
          <w:p>
            <w:pPr>
              <w:spacing w:after="40"/>
            </w:pPr>
            <w:r>
              <w:rPr>
                <w:rFonts w:ascii="Times New Roman" w:hAnsi="Times New Roman"/>
                <w:sz w:val="20"/>
              </w:rPr>
              <w:t>85%</w:t>
            </w:r>
          </w:p>
        </w:tc>
      </w:tr>
      <w:tr>
        <w:trPr>
          <w:cantSplit/>
        </w:trPr>
        <w:tc>
          <w:tcPr>
            <w:tcW w:type="dxa" w:w="527"/>
          </w:tcPr>
          <w:p>
            <w:pPr>
              <w:spacing w:after="40"/>
            </w:pPr>
            <w:r>
              <w:rPr>
                <w:rFonts w:ascii="Times New Roman" w:hAnsi="Times New Roman"/>
                <w:sz w:val="20"/>
              </w:rPr>
              <w:t>14</w:t>
            </w:r>
          </w:p>
        </w:tc>
        <w:tc>
          <w:tcPr>
            <w:tcW w:type="dxa" w:w="2637"/>
          </w:tcPr>
          <w:p>
            <w:pPr>
              <w:spacing w:after="40"/>
            </w:pPr>
            <w:r>
              <w:rPr>
                <w:rFonts w:ascii="Times New Roman" w:hAnsi="Times New Roman"/>
                <w:sz w:val="20"/>
              </w:rPr>
              <w:t>Report and presentations</w:t>
            </w:r>
          </w:p>
        </w:tc>
        <w:tc>
          <w:tcPr>
            <w:tcW w:type="dxa" w:w="4614"/>
          </w:tcPr>
          <w:p>
            <w:pPr>
              <w:spacing w:after="40"/>
            </w:pPr>
            <w:r>
              <w:rPr>
                <w:rFonts w:ascii="Times New Roman" w:hAnsi="Times New Roman"/>
                <w:sz w:val="20"/>
              </w:rPr>
              <w:t>Prospectus and Presentation 1 delivered; interim built to the 26 Oct cut; final paper and deck drafted</w:t>
            </w:r>
          </w:p>
        </w:tc>
        <w:tc>
          <w:tcPr>
            <w:tcW w:type="dxa" w:w="791"/>
          </w:tcPr>
          <w:p>
            <w:pPr>
              <w:spacing w:after="40"/>
            </w:pPr>
            <w:r>
              <w:rPr>
                <w:rFonts w:ascii="Times New Roman" w:hAnsi="Times New Roman"/>
                <w:sz w:val="20"/>
              </w:rPr>
              <w:t>25%</w:t>
            </w:r>
          </w:p>
        </w:tc>
        <w:tc>
          <w:tcPr>
            <w:tcW w:type="dxa" w:w="791"/>
          </w:tcPr>
          <w:p>
            <w:pPr>
              <w:spacing w:after="40"/>
            </w:pPr>
            <w:r>
              <w:rPr>
                <w:rFonts w:ascii="Times New Roman" w:hAnsi="Times New Roman"/>
                <w:sz w:val="20"/>
              </w:rPr>
              <w:t>60%</w:t>
            </w:r>
          </w:p>
        </w:tc>
      </w:tr>
    </w:tbl>
    <w:p>
      <w:pPr>
        <w:spacing w:after="40" w:before="0"/>
      </w:pPr>
    </w:p>
    <w:p>
      <w:pPr>
        <w:keepNext/>
        <w:spacing w:after="120" w:before="240"/>
      </w:pPr>
      <w:r>
        <w:rPr>
          <w:rFonts w:ascii="Times New Roman" w:hAnsi="Times New Roman"/>
          <w:b/>
          <w:i w:val="0"/>
          <w:sz w:val="24"/>
        </w:rPr>
        <w:t>5. Processing Completed Since the Last Report</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1239"/>
            <w:shd w:val="clear" w:fill="DCDCDC"/>
          </w:tcPr>
          <w:p>
            <w:pPr>
              <w:keepNext/>
              <w:spacing w:after="40"/>
            </w:pPr>
            <w:r>
              <w:rPr>
                <w:rFonts w:ascii="Times New Roman" w:hAnsi="Times New Roman"/>
                <w:b/>
                <w:sz w:val="20"/>
              </w:rPr>
              <w:t>When</w:t>
            </w:r>
          </w:p>
        </w:tc>
        <w:tc>
          <w:tcPr>
            <w:tcW w:type="dxa" w:w="3854"/>
            <w:shd w:val="clear" w:fill="DCDCDC"/>
          </w:tcPr>
          <w:p>
            <w:pPr>
              <w:keepNext/>
              <w:spacing w:after="40"/>
            </w:pPr>
            <w:r>
              <w:rPr>
                <w:rFonts w:ascii="Times New Roman" w:hAnsi="Times New Roman"/>
                <w:b/>
                <w:sz w:val="20"/>
              </w:rPr>
              <w:t>What</w:t>
            </w:r>
          </w:p>
        </w:tc>
        <w:tc>
          <w:tcPr>
            <w:tcW w:type="dxa" w:w="3304"/>
            <w:shd w:val="clear" w:fill="DCDCDC"/>
          </w:tcPr>
          <w:p>
            <w:pPr>
              <w:keepNext/>
              <w:spacing w:after="40"/>
            </w:pPr>
            <w:r>
              <w:rPr>
                <w:rFonts w:ascii="Times New Roman" w:hAnsi="Times New Roman"/>
                <w:b/>
                <w:sz w:val="20"/>
              </w:rPr>
              <w:t>Outcome</w:t>
            </w:r>
          </w:p>
        </w:tc>
        <w:tc>
          <w:tcPr>
            <w:tcW w:type="dxa" w:w="964"/>
            <w:shd w:val="clear" w:fill="DCDCDC"/>
          </w:tcPr>
          <w:p>
            <w:pPr>
              <w:keepNext/>
              <w:spacing w:after="40"/>
            </w:pPr>
            <w:r>
              <w:rPr>
                <w:rFonts w:ascii="Times New Roman" w:hAnsi="Times New Roman"/>
                <w:b/>
                <w:sz w:val="20"/>
              </w:rPr>
              <w:t>KB</w:t>
            </w:r>
          </w:p>
        </w:tc>
      </w:tr>
      <w:tr>
        <w:trPr>
          <w:cantSplit/>
        </w:trPr>
        <w:tc>
          <w:tcPr>
            <w:tcW w:type="dxa" w:w="1239"/>
          </w:tcPr>
          <w:p>
            <w:pPr>
              <w:spacing w:after="40"/>
            </w:pPr>
            <w:r>
              <w:rPr>
                <w:rFonts w:ascii="Times New Roman" w:hAnsi="Times New Roman"/>
                <w:sz w:val="20"/>
              </w:rPr>
              <w:t>18 Sep</w:t>
            </w:r>
          </w:p>
        </w:tc>
        <w:tc>
          <w:tcPr>
            <w:tcW w:type="dxa" w:w="3854"/>
          </w:tcPr>
          <w:p>
            <w:pPr>
              <w:spacing w:after="40"/>
            </w:pPr>
            <w:r>
              <w:rPr>
                <w:rFonts w:ascii="Times New Roman" w:hAnsi="Times New Roman"/>
                <w:sz w:val="20"/>
              </w:rPr>
              <w:t>Night IR acquired; type-area stack; slope on a metric grid</w:t>
            </w:r>
          </w:p>
        </w:tc>
        <w:tc>
          <w:tcPr>
            <w:tcW w:type="dxa" w:w="3304"/>
          </w:tcPr>
          <w:p>
            <w:pPr>
              <w:spacing w:after="40"/>
            </w:pPr>
            <w:r>
              <w:rPr>
                <w:rFonts w:ascii="Times New Roman" w:hAnsi="Times New Roman"/>
                <w:sz w:val="20"/>
              </w:rPr>
              <w:t>Four inputs on one 100 m grid, 100% co-valid; slope in degrees</w:t>
            </w:r>
          </w:p>
        </w:tc>
        <w:tc>
          <w:tcPr>
            <w:tcW w:type="dxa" w:w="964"/>
          </w:tcPr>
          <w:p>
            <w:pPr>
              <w:spacing w:after="40"/>
            </w:pPr>
            <w:r>
              <w:rPr>
                <w:rFonts w:ascii="Times New Roman" w:hAnsi="Times New Roman"/>
                <w:sz w:val="20"/>
              </w:rPr>
              <w:t>§15–20</w:t>
            </w:r>
          </w:p>
        </w:tc>
      </w:tr>
      <w:tr>
        <w:trPr>
          <w:cantSplit/>
        </w:trPr>
        <w:tc>
          <w:tcPr>
            <w:tcW w:type="dxa" w:w="1239"/>
          </w:tcPr>
          <w:p>
            <w:pPr>
              <w:spacing w:after="40"/>
            </w:pPr>
            <w:r>
              <w:rPr>
                <w:rFonts w:ascii="Times New Roman" w:hAnsi="Times New Roman"/>
                <w:sz w:val="20"/>
              </w:rPr>
              <w:t>19 Sep</w:t>
            </w:r>
          </w:p>
        </w:tc>
        <w:tc>
          <w:tcPr>
            <w:tcW w:type="dxa" w:w="3854"/>
          </w:tcPr>
          <w:p>
            <w:pPr>
              <w:spacing w:after="40"/>
            </w:pPr>
            <w:r>
              <w:rPr>
                <w:rFonts w:ascii="Times New Roman" w:hAnsi="Times New Roman"/>
                <w:sz w:val="20"/>
              </w:rPr>
              <w:t>±60° grids and diurnal contrast index</w:t>
            </w:r>
          </w:p>
        </w:tc>
        <w:tc>
          <w:tcPr>
            <w:tcW w:type="dxa" w:w="3304"/>
          </w:tcPr>
          <w:p>
            <w:pPr>
              <w:spacing w:after="40"/>
            </w:pPr>
            <w:r>
              <w:rPr>
                <w:rFonts w:ascii="Times New Roman" w:hAnsi="Times New Roman"/>
                <w:sz w:val="20"/>
              </w:rPr>
              <w:t>15.2 bn px in 36.3 min</w:t>
            </w:r>
          </w:p>
        </w:tc>
        <w:tc>
          <w:tcPr>
            <w:tcW w:type="dxa" w:w="964"/>
          </w:tcPr>
          <w:p>
            <w:pPr>
              <w:spacing w:after="40"/>
            </w:pPr>
            <w:r>
              <w:rPr>
                <w:rFonts w:ascii="Times New Roman" w:hAnsi="Times New Roman"/>
                <w:sz w:val="20"/>
              </w:rPr>
              <w:t>§28</w:t>
            </w:r>
          </w:p>
        </w:tc>
      </w:tr>
      <w:tr>
        <w:trPr>
          <w:cantSplit/>
        </w:trPr>
        <w:tc>
          <w:tcPr>
            <w:tcW w:type="dxa" w:w="1239"/>
          </w:tcPr>
          <w:p>
            <w:pPr>
              <w:spacing w:after="40"/>
            </w:pPr>
            <w:r>
              <w:rPr>
                <w:rFonts w:ascii="Times New Roman" w:hAnsi="Times New Roman"/>
                <w:sz w:val="20"/>
              </w:rPr>
              <w:t>19 Sep</w:t>
            </w:r>
          </w:p>
        </w:tc>
        <w:tc>
          <w:tcPr>
            <w:tcW w:type="dxa" w:w="3854"/>
          </w:tcPr>
          <w:p>
            <w:pPr>
              <w:spacing w:after="40"/>
            </w:pPr>
            <w:r>
              <w:rPr>
                <w:rFonts w:ascii="Times New Roman" w:hAnsi="Times New Roman"/>
                <w:sz w:val="20"/>
              </w:rPr>
              <w:t>Channel and crater candidates, Ius; basins at ±60°</w:t>
            </w:r>
          </w:p>
        </w:tc>
        <w:tc>
          <w:tcPr>
            <w:tcW w:type="dxa" w:w="3304"/>
          </w:tcPr>
          <w:p>
            <w:pPr>
              <w:spacing w:after="40"/>
            </w:pPr>
            <w:r>
              <w:rPr>
                <w:rFonts w:ascii="Times New Roman" w:hAnsi="Times New Roman"/>
                <w:sz w:val="20"/>
              </w:rPr>
              <w:t>2,610 channels; 1,685 closed depressions; 5,144 basins ≥ 20 km</w:t>
            </w:r>
          </w:p>
        </w:tc>
        <w:tc>
          <w:tcPr>
            <w:tcW w:type="dxa" w:w="964"/>
          </w:tcPr>
          <w:p>
            <w:pPr>
              <w:spacing w:after="40"/>
            </w:pPr>
            <w:r>
              <w:rPr>
                <w:rFonts w:ascii="Times New Roman" w:hAnsi="Times New Roman"/>
                <w:sz w:val="20"/>
              </w:rPr>
              <w:t>§25–28</w:t>
            </w:r>
          </w:p>
        </w:tc>
      </w:tr>
      <w:tr>
        <w:trPr>
          <w:cantSplit/>
        </w:trPr>
        <w:tc>
          <w:tcPr>
            <w:tcW w:type="dxa" w:w="1239"/>
          </w:tcPr>
          <w:p>
            <w:pPr>
              <w:spacing w:after="40"/>
            </w:pPr>
            <w:r>
              <w:rPr>
                <w:rFonts w:ascii="Times New Roman" w:hAnsi="Times New Roman"/>
                <w:sz w:val="20"/>
              </w:rPr>
              <w:t>24–30 Sep</w:t>
            </w:r>
          </w:p>
        </w:tc>
        <w:tc>
          <w:tcPr>
            <w:tcW w:type="dxa" w:w="3854"/>
          </w:tcPr>
          <w:p>
            <w:pPr>
              <w:spacing w:after="40"/>
            </w:pPr>
            <w:r>
              <w:rPr>
                <w:rFonts w:ascii="Times New Roman" w:hAnsi="Times New Roman"/>
                <w:sz w:val="20"/>
              </w:rPr>
              <w:t>Global composites in the Pro GUI (desktop)</w:t>
            </w:r>
          </w:p>
        </w:tc>
        <w:tc>
          <w:tcPr>
            <w:tcW w:type="dxa" w:w="3304"/>
          </w:tcPr>
          <w:p>
            <w:pPr>
              <w:spacing w:after="40"/>
            </w:pPr>
            <w:r>
              <w:rPr>
                <w:rFonts w:ascii="Times New Roman" w:hAnsi="Times New Roman"/>
                <w:sz w:val="20"/>
              </w:rPr>
              <w:t>Two runs finished: 2 h 52 m and 3 h 10 m</w:t>
            </w:r>
          </w:p>
        </w:tc>
        <w:tc>
          <w:tcPr>
            <w:tcW w:type="dxa" w:w="964"/>
          </w:tcPr>
          <w:p>
            <w:pPr>
              <w:spacing w:after="40"/>
            </w:pPr>
            <w:r>
              <w:rPr>
                <w:rFonts w:ascii="Times New Roman" w:hAnsi="Times New Roman"/>
                <w:sz w:val="20"/>
              </w:rPr>
              <w:t>§29</w:t>
            </w:r>
          </w:p>
        </w:tc>
      </w:tr>
      <w:tr>
        <w:trPr>
          <w:cantSplit/>
        </w:trPr>
        <w:tc>
          <w:tcPr>
            <w:tcW w:type="dxa" w:w="1239"/>
          </w:tcPr>
          <w:p>
            <w:pPr>
              <w:spacing w:after="40"/>
            </w:pPr>
            <w:r>
              <w:rPr>
                <w:rFonts w:ascii="Times New Roman" w:hAnsi="Times New Roman"/>
                <w:sz w:val="20"/>
              </w:rPr>
              <w:t>29 Sep</w:t>
            </w:r>
          </w:p>
        </w:tc>
        <w:tc>
          <w:tcPr>
            <w:tcW w:type="dxa" w:w="3854"/>
          </w:tcPr>
          <w:p>
            <w:pPr>
              <w:spacing w:after="40"/>
            </w:pPr>
            <w:r>
              <w:rPr>
                <w:rFonts w:ascii="Times New Roman" w:hAnsi="Times New Roman"/>
                <w:sz w:val="20"/>
              </w:rPr>
              <w:t>Hand-drawn training polygons; SVMs</w:t>
            </w:r>
          </w:p>
        </w:tc>
        <w:tc>
          <w:tcPr>
            <w:tcW w:type="dxa" w:w="3304"/>
          </w:tcPr>
          <w:p>
            <w:pPr>
              <w:spacing w:after="40"/>
            </w:pPr>
            <w:r>
              <w:rPr>
                <w:rFonts w:ascii="Times New Roman" w:hAnsi="Times New Roman"/>
                <w:sz w:val="20"/>
              </w:rPr>
              <w:t>Four classes; two ±60° maps</w:t>
            </w:r>
          </w:p>
        </w:tc>
        <w:tc>
          <w:tcPr>
            <w:tcW w:type="dxa" w:w="964"/>
          </w:tcPr>
          <w:p>
            <w:pPr>
              <w:spacing w:after="40"/>
            </w:pPr>
            <w:r>
              <w:rPr>
                <w:rFonts w:ascii="Times New Roman" w:hAnsi="Times New Roman"/>
                <w:sz w:val="20"/>
              </w:rPr>
              <w:t>§29</w:t>
            </w:r>
          </w:p>
        </w:tc>
      </w:tr>
      <w:tr>
        <w:trPr>
          <w:cantSplit/>
        </w:trPr>
        <w:tc>
          <w:tcPr>
            <w:tcW w:type="dxa" w:w="1239"/>
          </w:tcPr>
          <w:p>
            <w:pPr>
              <w:spacing w:after="40"/>
            </w:pPr>
            <w:r>
              <w:rPr>
                <w:rFonts w:ascii="Times New Roman" w:hAnsi="Times New Roman"/>
                <w:sz w:val="20"/>
              </w:rPr>
              <w:t>2–3 Oct</w:t>
            </w:r>
          </w:p>
        </w:tc>
        <w:tc>
          <w:tcPr>
            <w:tcW w:type="dxa" w:w="3854"/>
          </w:tcPr>
          <w:p>
            <w:pPr>
              <w:spacing w:after="40"/>
            </w:pPr>
            <w:r>
              <w:rPr>
                <w:rFonts w:ascii="Times New Roman" w:hAnsi="Times New Roman"/>
                <w:sz w:val="20"/>
              </w:rPr>
              <w:t>First SVM maps checked; corrected stack scored held out</w:t>
            </w:r>
          </w:p>
        </w:tc>
        <w:tc>
          <w:tcPr>
            <w:tcW w:type="dxa" w:w="3304"/>
          </w:tcPr>
          <w:p>
            <w:pPr>
              <w:spacing w:after="40"/>
            </w:pPr>
            <w:r>
              <w:rPr>
                <w:rFonts w:ascii="Times New Roman" w:hAnsi="Times New Roman"/>
                <w:sz w:val="20"/>
              </w:rPr>
              <w:t>Tile artefact, mostly elevation; then 73.5%, κ 0.58</w:t>
            </w:r>
          </w:p>
        </w:tc>
        <w:tc>
          <w:tcPr>
            <w:tcW w:type="dxa" w:w="964"/>
          </w:tcPr>
          <w:p>
            <w:pPr>
              <w:spacing w:after="40"/>
            </w:pPr>
            <w:r>
              <w:rPr>
                <w:rFonts w:ascii="Times New Roman" w:hAnsi="Times New Roman"/>
                <w:sz w:val="20"/>
              </w:rPr>
              <w:t>§30–32</w:t>
            </w:r>
          </w:p>
        </w:tc>
      </w:tr>
      <w:tr>
        <w:trPr>
          <w:cantSplit/>
        </w:trPr>
        <w:tc>
          <w:tcPr>
            <w:tcW w:type="dxa" w:w="1239"/>
          </w:tcPr>
          <w:p>
            <w:pPr>
              <w:spacing w:after="40"/>
            </w:pPr>
            <w:r>
              <w:rPr>
                <w:rFonts w:ascii="Times New Roman" w:hAnsi="Times New Roman"/>
                <w:sz w:val="20"/>
              </w:rPr>
              <w:t>6–7 Oct</w:t>
            </w:r>
          </w:p>
        </w:tc>
        <w:tc>
          <w:tcPr>
            <w:tcW w:type="dxa" w:w="3854"/>
          </w:tcPr>
          <w:p>
            <w:pPr>
              <w:spacing w:after="40"/>
            </w:pPr>
            <w:r>
              <w:rPr>
                <w:rFonts w:ascii="Times New Roman" w:hAnsi="Times New Roman"/>
                <w:sz w:val="20"/>
              </w:rPr>
              <w:t>Backup to GitHub; class codes</w:t>
            </w:r>
          </w:p>
        </w:tc>
        <w:tc>
          <w:tcPr>
            <w:tcW w:type="dxa" w:w="3304"/>
          </w:tcPr>
          <w:p>
            <w:pPr>
              <w:spacing w:after="40"/>
            </w:pPr>
            <w:r>
              <w:rPr>
                <w:rFonts w:ascii="Times New Roman" w:hAnsi="Times New Roman"/>
                <w:sz w:val="20"/>
              </w:rPr>
              <w:t>Public repository; pixel = class code</w:t>
            </w:r>
          </w:p>
        </w:tc>
        <w:tc>
          <w:tcPr>
            <w:tcW w:type="dxa" w:w="964"/>
          </w:tcPr>
          <w:p>
            <w:pPr>
              <w:spacing w:after="40"/>
            </w:pPr>
            <w:r>
              <w:rPr>
                <w:rFonts w:ascii="Times New Roman" w:hAnsi="Times New Roman"/>
                <w:sz w:val="20"/>
              </w:rPr>
              <w:t>§35–36</w:t>
            </w:r>
          </w:p>
        </w:tc>
      </w:tr>
      <w:tr>
        <w:trPr>
          <w:cantSplit/>
        </w:trPr>
        <w:tc>
          <w:tcPr>
            <w:tcW w:type="dxa" w:w="1239"/>
          </w:tcPr>
          <w:p>
            <w:pPr>
              <w:spacing w:after="40"/>
            </w:pPr>
            <w:r>
              <w:rPr>
                <w:rFonts w:ascii="Times New Roman" w:hAnsi="Times New Roman"/>
                <w:sz w:val="20"/>
              </w:rPr>
              <w:t>8 Oct</w:t>
            </w:r>
          </w:p>
        </w:tc>
        <w:tc>
          <w:tcPr>
            <w:tcW w:type="dxa" w:w="3854"/>
          </w:tcPr>
          <w:p>
            <w:pPr>
              <w:spacing w:after="40"/>
            </w:pPr>
            <w:r>
              <w:rPr>
                <w:rFonts w:ascii="Times New Roman" w:hAnsi="Times New Roman"/>
                <w:sz w:val="20"/>
              </w:rPr>
              <w:t>Reference data, Athabasca, tests T1–T3 and T8</w:t>
            </w:r>
          </w:p>
        </w:tc>
        <w:tc>
          <w:tcPr>
            <w:tcW w:type="dxa" w:w="3304"/>
          </w:tcPr>
          <w:p>
            <w:pPr>
              <w:spacing w:after="40"/>
            </w:pPr>
            <w:r>
              <w:rPr>
                <w:rFonts w:ascii="Times New Roman" w:hAnsi="Times New Roman"/>
                <w:sz w:val="20"/>
              </w:rPr>
              <w:t>Thermal adds +1.3 points; ten layouts</w:t>
            </w:r>
          </w:p>
        </w:tc>
        <w:tc>
          <w:tcPr>
            <w:tcW w:type="dxa" w:w="964"/>
          </w:tcPr>
          <w:p>
            <w:pPr>
              <w:spacing w:after="40"/>
            </w:pPr>
            <w:r>
              <w:rPr>
                <w:rFonts w:ascii="Times New Roman" w:hAnsi="Times New Roman"/>
                <w:sz w:val="20"/>
              </w:rPr>
              <w:t>§38–44</w:t>
            </w:r>
          </w:p>
        </w:tc>
      </w:tr>
      <w:tr>
        <w:trPr>
          <w:cantSplit/>
        </w:trPr>
        <w:tc>
          <w:tcPr>
            <w:tcW w:type="dxa" w:w="1239"/>
          </w:tcPr>
          <w:p>
            <w:pPr>
              <w:spacing w:after="40"/>
            </w:pPr>
            <w:r>
              <w:rPr>
                <w:rFonts w:ascii="Times New Roman" w:hAnsi="Times New Roman"/>
                <w:sz w:val="20"/>
              </w:rPr>
              <w:t>8–9 Oct</w:t>
            </w:r>
          </w:p>
        </w:tc>
        <w:tc>
          <w:tcPr>
            <w:tcW w:type="dxa" w:w="3854"/>
          </w:tcPr>
          <w:p>
            <w:pPr>
              <w:spacing w:after="40"/>
            </w:pPr>
            <w:r>
              <w:rPr>
                <w:rFonts w:ascii="Times New Roman" w:hAnsi="Times New Roman"/>
                <w:sz w:val="20"/>
              </w:rPr>
              <w:t>Digitising by review; tests T4–T7; validation sheet</w:t>
            </w:r>
          </w:p>
        </w:tc>
        <w:tc>
          <w:tcPr>
            <w:tcW w:type="dxa" w:w="3304"/>
          </w:tcPr>
          <w:p>
            <w:pPr>
              <w:spacing w:after="40"/>
            </w:pPr>
            <w:r>
              <w:rPr>
                <w:rFonts w:ascii="Times New Roman" w:hAnsi="Times New Roman"/>
                <w:sz w:val="20"/>
              </w:rPr>
              <w:t>No support for H1–H3 or a tributary count; 12 layouts</w:t>
            </w:r>
          </w:p>
        </w:tc>
        <w:tc>
          <w:tcPr>
            <w:tcW w:type="dxa" w:w="964"/>
          </w:tcPr>
          <w:p>
            <w:pPr>
              <w:spacing w:after="40"/>
            </w:pPr>
            <w:r>
              <w:rPr>
                <w:rFonts w:ascii="Times New Roman" w:hAnsi="Times New Roman"/>
                <w:sz w:val="20"/>
              </w:rPr>
              <w:t>§46–51</w:t>
            </w:r>
          </w:p>
        </w:tc>
      </w:tr>
      <w:tr>
        <w:trPr>
          <w:cantSplit/>
        </w:trPr>
        <w:tc>
          <w:tcPr>
            <w:tcW w:type="dxa" w:w="1239"/>
          </w:tcPr>
          <w:p>
            <w:pPr>
              <w:spacing w:after="40"/>
            </w:pPr>
            <w:r>
              <w:rPr>
                <w:rFonts w:ascii="Times New Roman" w:hAnsi="Times New Roman"/>
                <w:sz w:val="20"/>
              </w:rPr>
              <w:t>13–15 Oct</w:t>
            </w:r>
          </w:p>
        </w:tc>
        <w:tc>
          <w:tcPr>
            <w:tcW w:type="dxa" w:w="3854"/>
          </w:tcPr>
          <w:p>
            <w:pPr>
              <w:spacing w:after="40"/>
            </w:pPr>
            <w:r>
              <w:rPr>
                <w:rFonts w:ascii="Times New Roman" w:hAnsi="Times New Roman"/>
                <w:sz w:val="20"/>
              </w:rPr>
              <w:t>Desktop: pyramids; ±60° craters and channels ≥ 1 km; 180° DEM fix</w:t>
            </w:r>
          </w:p>
        </w:tc>
        <w:tc>
          <w:tcPr>
            <w:tcW w:type="dxa" w:w="3304"/>
          </w:tcPr>
          <w:p>
            <w:pPr>
              <w:spacing w:after="40"/>
            </w:pPr>
            <w:r>
              <w:rPr>
                <w:rFonts w:ascii="Times New Roman" w:hAnsi="Times New Roman"/>
                <w:sz w:val="20"/>
              </w:rPr>
              <w:t>465,354 closed depressions, 969,822 channel segments</w:t>
            </w:r>
          </w:p>
        </w:tc>
        <w:tc>
          <w:tcPr>
            <w:tcW w:type="dxa" w:w="964"/>
          </w:tcPr>
          <w:p>
            <w:pPr>
              <w:spacing w:after="40"/>
            </w:pPr>
            <w:r>
              <w:rPr>
                <w:rFonts w:ascii="Times New Roman" w:hAnsi="Times New Roman"/>
                <w:sz w:val="20"/>
              </w:rPr>
              <w:t>§53–54</w:t>
            </w:r>
          </w:p>
        </w:tc>
      </w:tr>
      <w:tr>
        <w:trPr>
          <w:cantSplit/>
        </w:trPr>
        <w:tc>
          <w:tcPr>
            <w:tcW w:type="dxa" w:w="1239"/>
          </w:tcPr>
          <w:p>
            <w:pPr>
              <w:spacing w:after="40"/>
            </w:pPr>
            <w:r>
              <w:rPr>
                <w:rFonts w:ascii="Times New Roman" w:hAnsi="Times New Roman"/>
                <w:sz w:val="20"/>
              </w:rPr>
              <w:t>14–16 Oct</w:t>
            </w:r>
          </w:p>
        </w:tc>
        <w:tc>
          <w:tcPr>
            <w:tcW w:type="dxa" w:w="3854"/>
          </w:tcPr>
          <w:p>
            <w:pPr>
              <w:spacing w:after="40"/>
            </w:pPr>
            <w:r>
              <w:rPr>
                <w:rFonts w:ascii="Times New Roman" w:hAnsi="Times New Roman"/>
                <w:sz w:val="20"/>
              </w:rPr>
              <w:t>200 m classification; T1 with Pro's SVM; the published map</w:t>
            </w:r>
          </w:p>
        </w:tc>
        <w:tc>
          <w:tcPr>
            <w:tcW w:type="dxa" w:w="3304"/>
          </w:tcPr>
          <w:p>
            <w:pPr>
              <w:spacing w:after="40"/>
            </w:pPr>
            <w:r>
              <w:rPr>
                <w:rFonts w:ascii="Times New Roman" w:hAnsi="Times New Roman"/>
                <w:sz w:val="20"/>
              </w:rPr>
              <w:t>73.8%, κ 0.58; thermal adds +1.36 and +1.97 points</w:t>
            </w:r>
          </w:p>
        </w:tc>
        <w:tc>
          <w:tcPr>
            <w:tcW w:type="dxa" w:w="964"/>
          </w:tcPr>
          <w:p>
            <w:pPr>
              <w:spacing w:after="40"/>
            </w:pPr>
            <w:r>
              <w:rPr>
                <w:rFonts w:ascii="Times New Roman" w:hAnsi="Times New Roman"/>
                <w:sz w:val="20"/>
              </w:rPr>
              <w:t>§55–57</w:t>
            </w:r>
          </w:p>
        </w:tc>
      </w:tr>
      <w:tr>
        <w:trPr>
          <w:cantSplit/>
        </w:trPr>
        <w:tc>
          <w:tcPr>
            <w:tcW w:type="dxa" w:w="1239"/>
          </w:tcPr>
          <w:p>
            <w:pPr>
              <w:spacing w:after="40"/>
            </w:pPr>
            <w:r>
              <w:rPr>
                <w:rFonts w:ascii="Times New Roman" w:hAnsi="Times New Roman"/>
                <w:sz w:val="20"/>
              </w:rPr>
              <w:t>19–21 Oct</w:t>
            </w:r>
          </w:p>
        </w:tc>
        <w:tc>
          <w:tcPr>
            <w:tcW w:type="dxa" w:w="3854"/>
          </w:tcPr>
          <w:p>
            <w:pPr>
              <w:spacing w:after="40"/>
            </w:pPr>
            <w:r>
              <w:rPr>
                <w:rFonts w:ascii="Times New Roman" w:hAnsi="Times New Roman"/>
                <w:sz w:val="20"/>
              </w:rPr>
              <w:t>Deep learning: a box detector, then a U-Net over ±60°</w:t>
            </w:r>
          </w:p>
        </w:tc>
        <w:tc>
          <w:tcPr>
            <w:tcW w:type="dxa" w:w="3304"/>
          </w:tcPr>
          <w:p>
            <w:pPr>
              <w:spacing w:after="40"/>
            </w:pPr>
            <w:r>
              <w:rPr>
                <w:rFonts w:ascii="Times New Roman" w:hAnsi="Times New Roman"/>
                <w:sz w:val="20"/>
              </w:rPr>
              <w:t>U-Net 98.9%, κ 0.98 held out, as terrain provinces</w:t>
            </w:r>
          </w:p>
        </w:tc>
        <w:tc>
          <w:tcPr>
            <w:tcW w:type="dxa" w:w="964"/>
          </w:tcPr>
          <w:p>
            <w:pPr>
              <w:spacing w:after="40"/>
            </w:pPr>
            <w:r>
              <w:rPr>
                <w:rFonts w:ascii="Times New Roman" w:hAnsi="Times New Roman"/>
                <w:sz w:val="20"/>
              </w:rPr>
              <w:t>§66</w:t>
            </w:r>
          </w:p>
        </w:tc>
      </w:tr>
      <w:tr>
        <w:trPr>
          <w:cantSplit/>
        </w:trPr>
        <w:tc>
          <w:tcPr>
            <w:tcW w:type="dxa" w:w="1239"/>
          </w:tcPr>
          <w:p>
            <w:pPr>
              <w:spacing w:after="40"/>
            </w:pPr>
            <w:r>
              <w:rPr>
                <w:rFonts w:ascii="Times New Roman" w:hAnsi="Times New Roman"/>
                <w:sz w:val="20"/>
              </w:rPr>
              <w:t>22–23 Oct</w:t>
            </w:r>
          </w:p>
        </w:tc>
        <w:tc>
          <w:tcPr>
            <w:tcW w:type="dxa" w:w="3854"/>
          </w:tcPr>
          <w:p>
            <w:pPr>
              <w:spacing w:after="40"/>
            </w:pPr>
            <w:r>
              <w:rPr>
                <w:rFonts w:ascii="Times New Roman" w:hAnsi="Times New Roman"/>
                <w:sz w:val="20"/>
              </w:rPr>
              <w:t>The 512 labels audited; seven classes proposed (D17)</w:t>
            </w:r>
          </w:p>
        </w:tc>
        <w:tc>
          <w:tcPr>
            <w:tcW w:type="dxa" w:w="3304"/>
          </w:tcPr>
          <w:p>
            <w:pPr>
              <w:spacing w:after="40"/>
            </w:pPr>
            <w:r>
              <w:rPr>
                <w:rFonts w:ascii="Times New Roman" w:hAnsi="Times New Roman"/>
                <w:sz w:val="20"/>
              </w:rPr>
              <w:t>Five Crater labels are volcanoes; 1,086 proposals to review</w:t>
            </w:r>
          </w:p>
        </w:tc>
        <w:tc>
          <w:tcPr>
            <w:tcW w:type="dxa" w:w="964"/>
          </w:tcPr>
          <w:p>
            <w:pPr>
              <w:spacing w:after="40"/>
            </w:pPr>
            <w:r>
              <w:rPr>
                <w:rFonts w:ascii="Times New Roman" w:hAnsi="Times New Roman"/>
                <w:sz w:val="20"/>
              </w:rPr>
              <w:t>§68–69</w:t>
            </w:r>
          </w:p>
        </w:tc>
      </w:tr>
    </w:tbl>
    <w:p>
      <w:pPr>
        <w:spacing w:after="40" w:before="0"/>
      </w:pPr>
    </w:p>
    <w:p>
      <w:pPr>
        <w:keepNext/>
        <w:spacing w:after="120" w:before="240"/>
      </w:pPr>
      <w:r>
        <w:rPr>
          <w:rFonts w:ascii="Times New Roman" w:hAnsi="Times New Roman"/>
          <w:b/>
          <w:i w:val="0"/>
          <w:sz w:val="24"/>
        </w:rPr>
        <w:t>6. Preliminary Results</w:t>
      </w:r>
    </w:p>
    <w:p>
      <w:pPr>
        <w:spacing w:after="120" w:before="0"/>
      </w:pPr>
      <w:r>
        <w:rPr>
          <w:rFonts w:ascii="Times New Roman" w:hAnsi="Times New Roman"/>
          <w:b w:val="0"/>
          <w:i w:val="0"/>
          <w:sz w:val="24"/>
        </w:rPr>
        <w:t>Every map is a layout in the ArcGIS project, exported for this report; every number is quoted from the project knowledge base, whose section is given under each figure.</w:t>
      </w:r>
    </w:p>
    <w:p>
      <w:pPr>
        <w:keepNext/>
        <w:spacing w:after="120" w:before="240"/>
      </w:pPr>
      <w:r>
        <w:rPr>
          <w:rFonts w:ascii="Times New Roman" w:hAnsi="Times New Roman"/>
          <w:b/>
          <w:i w:val="0"/>
          <w:sz w:val="24"/>
        </w:rPr>
        <w:t>Figure 1. Where: the analysis extent and the two type areas</w:t>
      </w:r>
    </w:p>
    <w:p>
      <w:pPr>
        <w:keepNext/>
        <w:jc w:val="center"/>
      </w:pPr>
      <w:r>
        <w:drawing>
          <wp:inline xmlns:a="http://schemas.openxmlformats.org/drawingml/2006/main" xmlns:pic="http://schemas.openxmlformats.org/drawingml/2006/picture">
            <wp:extent cx="5943600" cy="2678683"/>
            <wp:docPr id="1" name="Picture 1"/>
            <wp:cNvGraphicFramePr>
              <a:graphicFrameLocks noChangeAspect="1"/>
            </wp:cNvGraphicFramePr>
            <a:graphic>
              <a:graphicData uri="http://schemas.openxmlformats.org/drawingml/2006/picture">
                <pic:pic>
                  <pic:nvPicPr>
                    <pic:cNvPr id="0" name="10_global60_locator.png"/>
                    <pic:cNvPicPr/>
                  </pic:nvPicPr>
                  <pic:blipFill>
                    <a:blip r:embed="rId9"/>
                    <a:stretch>
                      <a:fillRect/>
                    </a:stretch>
                  </pic:blipFill>
                  <pic:spPr>
                    <a:xfrm>
                      <a:off x="0" y="0"/>
                      <a:ext cx="5943600" cy="2678683"/>
                    </a:xfrm>
                    <a:prstGeom prst="rect"/>
                  </pic:spPr>
                </pic:pic>
              </a:graphicData>
            </a:graphic>
          </wp:inline>
        </w:drawing>
      </w:r>
    </w:p>
    <w:p>
      <w:pPr>
        <w:pStyle w:val="ListBullet"/>
        <w:keepNext/>
        <w:spacing w:after="80"/>
      </w:pPr>
      <w:r>
        <w:rPr>
          <w:rFonts w:ascii="Times New Roman" w:hAnsi="Times New Roman"/>
          <w:sz w:val="24"/>
        </w:rPr>
        <w:t>The analysis covers ±60° latitude, 86.6% of the planet: the THEMIS night mosaic's coverage</w:t>
      </w:r>
    </w:p>
    <w:p>
      <w:pPr>
        <w:pStyle w:val="ListBullet"/>
        <w:keepNext/>
        <w:spacing w:after="80"/>
      </w:pPr>
      <w:r>
        <w:rPr>
          <w:rFonts w:ascii="Times New Roman" w:hAnsi="Times New Roman"/>
          <w:sz w:val="24"/>
        </w:rPr>
        <w:t>Two type areas: Ius Chasma (canyon and tributaries) and Athabasca Valles (flood lava)</w:t>
      </w:r>
    </w:p>
    <w:p>
      <w:pPr>
        <w:pStyle w:val="ListBullet"/>
        <w:keepNext/>
        <w:spacing w:after="80"/>
      </w:pPr>
      <w:r>
        <w:rPr>
          <w:rFonts w:ascii="Times New Roman" w:hAnsi="Times New Roman"/>
          <w:sz w:val="24"/>
        </w:rPr>
        <w:t>Orange: the USGS geologic map's volcanic units, used as the lava-flow reference</w:t>
      </w:r>
    </w:p>
    <w:p>
      <w:pPr>
        <w:spacing w:after="200" w:before="0"/>
      </w:pPr>
      <w:r>
        <w:rPr>
          <w:rFonts w:ascii="Times New Roman" w:hAnsi="Times New Roman"/>
          <w:b w:val="0"/>
          <w:i/>
          <w:sz w:val="20"/>
        </w:rPr>
        <w:t>Source: PROJECT-KNOWLEDGE.md §16, §41, §42, §43</w:t>
      </w:r>
    </w:p>
    <w:p>
      <w:pPr>
        <w:keepNext/>
        <w:spacing w:after="120" w:before="240"/>
      </w:pPr>
      <w:r>
        <w:rPr>
          <w:rFonts w:ascii="Times New Roman" w:hAnsi="Times New Roman"/>
          <w:b/>
          <w:i w:val="0"/>
          <w:sz w:val="24"/>
        </w:rPr>
        <w:t>Figure 2. The mosaic at ±60°</w:t>
      </w:r>
    </w:p>
    <w:p>
      <w:pPr>
        <w:keepNext/>
        <w:jc w:val="center"/>
      </w:pPr>
      <w:r>
        <w:drawing>
          <wp:inline xmlns:a="http://schemas.openxmlformats.org/drawingml/2006/main" xmlns:pic="http://schemas.openxmlformats.org/drawingml/2006/picture">
            <wp:extent cx="5943600" cy="2672879"/>
            <wp:docPr id="2" name="Picture 2"/>
            <wp:cNvGraphicFramePr>
              <a:graphicFrameLocks noChangeAspect="1"/>
            </wp:cNvGraphicFramePr>
            <a:graphic>
              <a:graphicData uri="http://schemas.openxmlformats.org/drawingml/2006/picture">
                <pic:pic>
                  <pic:nvPicPr>
                    <pic:cNvPr id="0" name="08_global60_mosaic.png"/>
                    <pic:cNvPicPr/>
                  </pic:nvPicPr>
                  <pic:blipFill>
                    <a:blip r:embed="rId10"/>
                    <a:stretch>
                      <a:fillRect/>
                    </a:stretch>
                  </pic:blipFill>
                  <pic:spPr>
                    <a:xfrm>
                      <a:off x="0" y="0"/>
                      <a:ext cx="5943600" cy="2672879"/>
                    </a:xfrm>
                    <a:prstGeom prst="rect"/>
                  </pic:spPr>
                </pic:pic>
              </a:graphicData>
            </a:graphic>
          </wp:inline>
        </w:drawing>
      </w:r>
    </w:p>
    <w:p>
      <w:pPr>
        <w:pStyle w:val="ListBullet"/>
        <w:keepNext/>
        <w:spacing w:after="80"/>
      </w:pPr>
      <w:r>
        <w:rPr>
          <w:rFonts w:ascii="Times New Roman" w:hAnsi="Times New Roman"/>
          <w:sz w:val="24"/>
        </w:rPr>
        <w:t>All four datasets on one 200 m grid</w:t>
      </w:r>
    </w:p>
    <w:p>
      <w:pPr>
        <w:pStyle w:val="ListBullet"/>
        <w:keepNext/>
        <w:spacing w:after="80"/>
      </w:pPr>
      <w:r>
        <w:rPr>
          <w:rFonts w:ascii="Times New Roman" w:hAnsi="Times New Roman"/>
          <w:sz w:val="24"/>
        </w:rPr>
        <w:t>Composite Bands failed four times on the global rasters; projecting first and bounding the extent fixed it</w:t>
      </w:r>
    </w:p>
    <w:p>
      <w:pPr>
        <w:spacing w:after="200" w:before="0"/>
      </w:pPr>
      <w:r>
        <w:rPr>
          <w:rFonts w:ascii="Times New Roman" w:hAnsi="Times New Roman"/>
          <w:b w:val="0"/>
          <w:i/>
          <w:sz w:val="20"/>
        </w:rPr>
        <w:t>Source: PROJECT-KNOWLEDGE.md §16, §18, §28.1, §38</w:t>
      </w:r>
    </w:p>
    <w:p>
      <w:pPr>
        <w:keepNext/>
        <w:spacing w:after="120" w:before="240"/>
      </w:pPr>
      <w:r>
        <w:rPr>
          <w:rFonts w:ascii="Times New Roman" w:hAnsi="Times New Roman"/>
          <w:b/>
          <w:i w:val="0"/>
          <w:sz w:val="24"/>
        </w:rPr>
        <w:t>Figure 3. Ius Chasma type area: visible and night IR</w:t>
      </w:r>
    </w:p>
    <w:tbl>
      <w:tblPr>
        <w:tblW w:type="auto" w:w="0"/>
        <w:tblLook w:firstColumn="1" w:firstRow="1" w:lastColumn="0" w:lastRow="0" w:noHBand="0" w:noVBand="1" w:val="04A0"/>
      </w:tblPr>
      <w:tblGrid>
        <w:gridCol w:w="4680"/>
        <w:gridCol w:w="4680"/>
      </w:tblGrid>
      <w:tr>
        <w:tc>
          <w:tcPr>
            <w:tcW w:type="dxa" w:w="4680"/>
          </w:tcPr>
          <w:p>
            <w:pPr>
              <w:keepNext/>
            </w:pPr>
            <w:r>
              <w:drawing>
                <wp:inline xmlns:a="http://schemas.openxmlformats.org/drawingml/2006/main" xmlns:pic="http://schemas.openxmlformats.org/drawingml/2006/picture">
                  <wp:extent cx="2926080" cy="1740218"/>
                  <wp:docPr id="3" name="Picture 3"/>
                  <wp:cNvGraphicFramePr>
                    <a:graphicFrameLocks noChangeAspect="1"/>
                  </wp:cNvGraphicFramePr>
                  <a:graphic>
                    <a:graphicData uri="http://schemas.openxmlformats.org/drawingml/2006/picture">
                      <pic:pic>
                        <pic:nvPicPr>
                          <pic:cNvPr id="0" name="01_visible.png"/>
                          <pic:cNvPicPr/>
                        </pic:nvPicPr>
                        <pic:blipFill>
                          <a:blip r:embed="rId11"/>
                          <a:stretch>
                            <a:fillRect/>
                          </a:stretch>
                        </pic:blipFill>
                        <pic:spPr>
                          <a:xfrm>
                            <a:off x="0" y="0"/>
                            <a:ext cx="2926080" cy="1740218"/>
                          </a:xfrm>
                          <a:prstGeom prst="rect"/>
                        </pic:spPr>
                      </pic:pic>
                    </a:graphicData>
                  </a:graphic>
                </wp:inline>
              </w:drawing>
            </w:r>
          </w:p>
        </w:tc>
        <w:tc>
          <w:tcPr>
            <w:tcW w:type="dxa" w:w="4680"/>
          </w:tcPr>
          <w:p>
            <w:pPr>
              <w:keepNext/>
            </w:pPr>
            <w:r>
              <w:drawing>
                <wp:inline xmlns:a="http://schemas.openxmlformats.org/drawingml/2006/main" xmlns:pic="http://schemas.openxmlformats.org/drawingml/2006/picture">
                  <wp:extent cx="2926080" cy="1740218"/>
                  <wp:docPr id="4" name="Picture 4"/>
                  <wp:cNvGraphicFramePr>
                    <a:graphicFrameLocks noChangeAspect="1"/>
                  </wp:cNvGraphicFramePr>
                  <a:graphic>
                    <a:graphicData uri="http://schemas.openxmlformats.org/drawingml/2006/picture">
                      <pic:pic>
                        <pic:nvPicPr>
                          <pic:cNvPr id="0" name="02_night_ir.png"/>
                          <pic:cNvPicPr/>
                        </pic:nvPicPr>
                        <pic:blipFill>
                          <a:blip r:embed="rId12"/>
                          <a:stretch>
                            <a:fillRect/>
                          </a:stretch>
                        </pic:blipFill>
                        <pic:spPr>
                          <a:xfrm>
                            <a:off x="0" y="0"/>
                            <a:ext cx="2926080" cy="1740218"/>
                          </a:xfrm>
                          <a:prstGeom prst="rect"/>
                        </pic:spPr>
                      </pic:pic>
                    </a:graphicData>
                  </a:graphic>
                </wp:inline>
              </w:drawing>
            </w:r>
          </w:p>
        </w:tc>
      </w:tr>
    </w:tbl>
    <w:p>
      <w:pPr>
        <w:pStyle w:val="ListBullet"/>
        <w:keepNext/>
        <w:spacing w:after="80"/>
      </w:pPr>
      <w:r>
        <w:rPr>
          <w:rFonts w:ascii="Times New Roman" w:hAnsi="Times New Roman"/>
          <w:sz w:val="24"/>
        </w:rPr>
        <w:t>Left, Viking visible colour; right, THEMIS night IR. 271–286°E, 6–13°S: canyon walls, plateau, Louros Valles</w:t>
      </w:r>
    </w:p>
    <w:p>
      <w:pPr>
        <w:pStyle w:val="ListBullet"/>
        <w:keepNext/>
        <w:spacing w:after="80"/>
      </w:pPr>
      <w:r>
        <w:rPr>
          <w:rFonts w:ascii="Times New Roman" w:hAnsi="Times New Roman"/>
          <w:sz w:val="24"/>
        </w:rPr>
        <w:t>Same 100 m grid, every pixel valid in all five bands</w:t>
      </w:r>
    </w:p>
    <w:p>
      <w:pPr>
        <w:pStyle w:val="ListBullet"/>
        <w:keepNext/>
        <w:spacing w:after="80"/>
      </w:pPr>
      <w:r>
        <w:rPr>
          <w:rFonts w:ascii="Times New Roman" w:hAnsi="Times New Roman"/>
          <w:sz w:val="24"/>
        </w:rPr>
        <w:t>Night IR barely correlates with any other band (|r| ≤ 0.12), so it adds information the others lack</w:t>
      </w:r>
    </w:p>
    <w:p>
      <w:pPr>
        <w:spacing w:after="200" w:before="0"/>
      </w:pPr>
      <w:r>
        <w:rPr>
          <w:rFonts w:ascii="Times New Roman" w:hAnsi="Times New Roman"/>
          <w:b w:val="0"/>
          <w:i/>
          <w:sz w:val="20"/>
        </w:rPr>
        <w:t>Source: PROJECT-KNOWLEDGE.md §14.3, §18</w:t>
      </w:r>
    </w:p>
    <w:p>
      <w:pPr>
        <w:keepNext/>
        <w:spacing w:after="120" w:before="240"/>
      </w:pPr>
      <w:r>
        <w:rPr>
          <w:rFonts w:ascii="Times New Roman" w:hAnsi="Times New Roman"/>
          <w:b/>
          <w:i w:val="0"/>
          <w:sz w:val="24"/>
        </w:rPr>
        <w:t>Figure 4. Can the thermal pair map material across ±60°?</w:t>
      </w:r>
    </w:p>
    <w:p>
      <w:pPr>
        <w:keepNext/>
        <w:jc w:val="center"/>
      </w:pPr>
      <w:r>
        <w:drawing>
          <wp:inline xmlns:a="http://schemas.openxmlformats.org/drawingml/2006/main" xmlns:pic="http://schemas.openxmlformats.org/drawingml/2006/picture">
            <wp:extent cx="5943600" cy="2532490"/>
            <wp:docPr id="5" name="Picture 5"/>
            <wp:cNvGraphicFramePr>
              <a:graphicFrameLocks noChangeAspect="1"/>
            </wp:cNvGraphicFramePr>
            <a:graphic>
              <a:graphicData uri="http://schemas.openxmlformats.org/drawingml/2006/picture">
                <pic:pic>
                  <pic:nvPicPr>
                    <pic:cNvPr id="0" name="global60_thermal.png"/>
                    <pic:cNvPicPr/>
                  </pic:nvPicPr>
                  <pic:blipFill>
                    <a:blip r:embed="rId13"/>
                    <a:stretch>
                      <a:fillRect/>
                    </a:stretch>
                  </pic:blipFill>
                  <pic:spPr>
                    <a:xfrm>
                      <a:off x="0" y="0"/>
                      <a:ext cx="5943600" cy="2532490"/>
                    </a:xfrm>
                    <a:prstGeom prst="rect"/>
                  </pic:spPr>
                </pic:pic>
              </a:graphicData>
            </a:graphic>
          </wp:inline>
        </w:drawing>
      </w:r>
    </w:p>
    <w:p>
      <w:pPr>
        <w:pStyle w:val="ListBullet"/>
        <w:keepNext/>
        <w:spacing w:after="80"/>
      </w:pPr>
      <w:r>
        <w:rPr>
          <w:rFonts w:ascii="Times New Roman" w:hAnsi="Times New Roman"/>
          <w:sz w:val="24"/>
        </w:rPr>
        <w:t>Viking red separates the dusty provinces from the rocky ones by 47.67 DN</w:t>
      </w:r>
    </w:p>
    <w:p>
      <w:pPr>
        <w:pStyle w:val="ListBullet"/>
        <w:keepNext/>
        <w:spacing w:after="80"/>
      </w:pPr>
      <w:r>
        <w:rPr>
          <w:rFonts w:ascii="Times New Roman" w:hAnsi="Times New Roman"/>
          <w:sz w:val="24"/>
        </w:rPr>
        <w:t>THEMIS day and night IR separate them by −0.19 and +0.02 DN; the index, over seven provinces, by −0.0009</w:t>
      </w:r>
    </w:p>
    <w:p>
      <w:pPr>
        <w:pStyle w:val="ListBullet"/>
        <w:keepNext/>
        <w:spacing w:after="80"/>
      </w:pPr>
      <w:r>
        <w:rPr>
          <w:rFonts w:ascii="Times New Roman" w:hAnsi="Times New Roman"/>
          <w:sz w:val="24"/>
        </w:rPr>
        <w:t>Every province repeats the whole mosaic's mean and spread, because both THEMIS mosaics were stretched region by region</w:t>
      </w:r>
    </w:p>
    <w:p>
      <w:pPr>
        <w:pStyle w:val="ListBullet"/>
        <w:keepNext/>
        <w:spacing w:after="80"/>
      </w:pPr>
      <w:r>
        <w:rPr>
          <w:rFonts w:ascii="Times New Roman" w:hAnsi="Times New Roman"/>
          <w:sz w:val="24"/>
        </w:rPr>
        <w:t>Across the planet, the material signal is in visible albedo</w:t>
      </w:r>
    </w:p>
    <w:p>
      <w:pPr>
        <w:spacing w:after="200" w:before="0"/>
      </w:pPr>
      <w:r>
        <w:rPr>
          <w:rFonts w:ascii="Times New Roman" w:hAnsi="Times New Roman"/>
          <w:b w:val="0"/>
          <w:i/>
          <w:sz w:val="20"/>
        </w:rPr>
        <w:t>Source: PROJECT-KNOWLEDGE.md §28.10</w:t>
      </w:r>
    </w:p>
    <w:p>
      <w:pPr>
        <w:keepNext/>
        <w:spacing w:after="120" w:before="240"/>
      </w:pPr>
      <w:r>
        <w:rPr>
          <w:rFonts w:ascii="Times New Roman" w:hAnsi="Times New Roman"/>
          <w:b/>
          <w:i w:val="0"/>
          <w:sz w:val="24"/>
        </w:rPr>
        <w:t>Figure 5. Checked against calibrated thermal inertia (TES)</w:t>
      </w:r>
    </w:p>
    <w:p>
      <w:pPr>
        <w:keepNext/>
        <w:jc w:val="center"/>
      </w:pPr>
      <w:r>
        <w:drawing>
          <wp:inline xmlns:a="http://schemas.openxmlformats.org/drawingml/2006/main" xmlns:pic="http://schemas.openxmlformats.org/drawingml/2006/picture">
            <wp:extent cx="5943600" cy="2615184"/>
            <wp:docPr id="6" name="Picture 6"/>
            <wp:cNvGraphicFramePr>
              <a:graphicFrameLocks noChangeAspect="1"/>
            </wp:cNvGraphicFramePr>
            <a:graphic>
              <a:graphicData uri="http://schemas.openxmlformats.org/drawingml/2006/picture">
                <pic:pic>
                  <pic:nvPicPr>
                    <pic:cNvPr id="0" name="tes_check.png"/>
                    <pic:cNvPicPr/>
                  </pic:nvPicPr>
                  <pic:blipFill>
                    <a:blip r:embed="rId14"/>
                    <a:stretch>
                      <a:fillRect/>
                    </a:stretch>
                  </pic:blipFill>
                  <pic:spPr>
                    <a:xfrm>
                      <a:off x="0" y="0"/>
                      <a:ext cx="5943600" cy="2615184"/>
                    </a:xfrm>
                    <a:prstGeom prst="rect"/>
                  </pic:spPr>
                </pic:pic>
              </a:graphicData>
            </a:graphic>
          </wp:inline>
        </w:drawing>
      </w:r>
    </w:p>
    <w:p>
      <w:pPr>
        <w:pStyle w:val="ListBullet"/>
        <w:keepNext/>
        <w:spacing w:after="80"/>
      </w:pPr>
      <w:r>
        <w:rPr>
          <w:rFonts w:ascii="Times New Roman" w:hAnsi="Times New Roman"/>
          <w:sz w:val="24"/>
        </w:rPr>
        <w:t>Viking albedo follows calibrated thermal inertia across the planet (r −0.36)</w:t>
      </w:r>
    </w:p>
    <w:p>
      <w:pPr>
        <w:pStyle w:val="ListBullet"/>
        <w:keepNext/>
        <w:spacing w:after="80"/>
      </w:pPr>
      <w:r>
        <w:rPr>
          <w:rFonts w:ascii="Times New Roman" w:hAnsi="Times New Roman"/>
          <w:sz w:val="24"/>
        </w:rPr>
        <w:t>Night IR and the diurnal-contrast index follow it weakly, and only inside regions (|r| ≈ 0.1)</w:t>
      </w:r>
    </w:p>
    <w:p>
      <w:pPr>
        <w:pStyle w:val="ListBullet"/>
        <w:keepNext/>
        <w:spacing w:after="80"/>
      </w:pPr>
      <w:r>
        <w:rPr>
          <w:rFonts w:ascii="Times New Roman" w:hAnsi="Times New Roman"/>
          <w:sz w:val="24"/>
        </w:rPr>
        <w:t>Day IR does not follow it, and across the planet neither THEMIS mosaic does</w:t>
      </w:r>
    </w:p>
    <w:p>
      <w:pPr>
        <w:pStyle w:val="ListBullet"/>
        <w:keepNext/>
        <w:spacing w:after="80"/>
      </w:pPr>
      <w:r>
        <w:rPr>
          <w:rFonts w:ascii="Times New Roman" w:hAnsi="Times New Roman"/>
          <w:sz w:val="24"/>
        </w:rPr>
        <w:t>At TES's ~3 km cells the material signal is in visible albedo; thermal IR adds little</w:t>
      </w:r>
    </w:p>
    <w:p>
      <w:pPr>
        <w:spacing w:after="200" w:before="0"/>
      </w:pPr>
      <w:r>
        <w:rPr>
          <w:rFonts w:ascii="Times New Roman" w:hAnsi="Times New Roman"/>
          <w:b w:val="0"/>
          <w:i/>
          <w:sz w:val="20"/>
        </w:rPr>
        <w:t>Source: PROJECT-KNOWLEDGE.md §41, §42.4, §43.1</w:t>
      </w:r>
    </w:p>
    <w:p>
      <w:pPr>
        <w:keepNext/>
        <w:spacing w:after="120" w:before="240"/>
      </w:pPr>
      <w:r>
        <w:rPr>
          <w:rFonts w:ascii="Times New Roman" w:hAnsi="Times New Roman"/>
          <w:b/>
          <w:i w:val="0"/>
          <w:sz w:val="24"/>
        </w:rPr>
        <w:t>Figure 6. Craters at ±60°: closed depressions ≥ 20 km</w:t>
      </w:r>
    </w:p>
    <w:p>
      <w:pPr>
        <w:keepNext/>
        <w:jc w:val="center"/>
      </w:pPr>
      <w:r>
        <w:drawing>
          <wp:inline xmlns:a="http://schemas.openxmlformats.org/drawingml/2006/main" xmlns:pic="http://schemas.openxmlformats.org/drawingml/2006/picture">
            <wp:extent cx="5943600" cy="3198168"/>
            <wp:docPr id="7" name="Picture 7"/>
            <wp:cNvGraphicFramePr>
              <a:graphicFrameLocks noChangeAspect="1"/>
            </wp:cNvGraphicFramePr>
            <a:graphic>
              <a:graphicData uri="http://schemas.openxmlformats.org/drawingml/2006/picture">
                <pic:pic>
                  <pic:nvPicPr>
                    <pic:cNvPr id="0" name="07_global60_basins.png"/>
                    <pic:cNvPicPr/>
                  </pic:nvPicPr>
                  <pic:blipFill>
                    <a:blip r:embed="rId15"/>
                    <a:stretch>
                      <a:fillRect/>
                    </a:stretch>
                  </pic:blipFill>
                  <pic:spPr>
                    <a:xfrm>
                      <a:off x="0" y="0"/>
                      <a:ext cx="5943600" cy="3198168"/>
                    </a:xfrm>
                    <a:prstGeom prst="rect"/>
                  </pic:spPr>
                </pic:pic>
              </a:graphicData>
            </a:graphic>
          </wp:inline>
        </w:drawing>
      </w:r>
    </w:p>
    <w:p>
      <w:pPr>
        <w:pStyle w:val="ListBullet"/>
        <w:keepNext/>
        <w:spacing w:after="80"/>
      </w:pPr>
      <w:r>
        <w:rPr>
          <w:rFonts w:ascii="Times New Roman" w:hAnsi="Times New Roman"/>
          <w:sz w:val="24"/>
        </w:rPr>
        <w:t>5,144 basins found by fill depth in 48 s</w:t>
      </w:r>
    </w:p>
    <w:p>
      <w:pPr>
        <w:pStyle w:val="ListBullet"/>
        <w:keepNext/>
        <w:spacing w:after="80"/>
      </w:pPr>
      <w:r>
        <w:rPr>
          <w:rFonts w:ascii="Times New Roman" w:hAnsi="Times New Roman"/>
          <w:sz w:val="24"/>
        </w:rPr>
        <w:t>68% of 117 IAU craters ≥ 100 km recovered, diameter within ±50%</w:t>
      </w:r>
    </w:p>
    <w:p>
      <w:pPr>
        <w:pStyle w:val="ListBullet"/>
        <w:keepNext/>
        <w:spacing w:after="80"/>
      </w:pPr>
      <w:r>
        <w:rPr>
          <w:rFonts w:ascii="Times New Roman" w:hAnsi="Times New Roman"/>
          <w:sz w:val="24"/>
        </w:rPr>
        <w:t>Median diameter error +2.2%</w:t>
      </w:r>
    </w:p>
    <w:p>
      <w:pPr>
        <w:pStyle w:val="ListBullet"/>
        <w:keepNext/>
        <w:spacing w:after="80"/>
      </w:pPr>
      <w:r>
        <w:rPr>
          <w:rFonts w:ascii="Times New Roman" w:hAnsi="Times New Roman"/>
          <w:sz w:val="24"/>
        </w:rPr>
        <w:t>Breached craters are missed by design: they do not close</w:t>
      </w:r>
    </w:p>
    <w:p>
      <w:pPr>
        <w:spacing w:after="200" w:before="0"/>
      </w:pPr>
      <w:r>
        <w:rPr>
          <w:rFonts w:ascii="Times New Roman" w:hAnsi="Times New Roman"/>
          <w:b w:val="0"/>
          <w:i/>
          <w:sz w:val="20"/>
        </w:rPr>
        <w:t>Source: PROJECT-KNOWLEDGE.md §28.11</w:t>
      </w:r>
    </w:p>
    <w:p>
      <w:pPr>
        <w:keepNext/>
        <w:spacing w:after="120" w:before="240"/>
      </w:pPr>
      <w:r>
        <w:rPr>
          <w:rFonts w:ascii="Times New Roman" w:hAnsi="Times New Roman"/>
          <w:b/>
          <w:i w:val="0"/>
          <w:sz w:val="24"/>
        </w:rPr>
        <w:t>Figure 7. Closed depressions ≥ 1 km across ±60°</w:t>
      </w:r>
    </w:p>
    <w:p>
      <w:pPr>
        <w:keepNext/>
        <w:jc w:val="center"/>
      </w:pPr>
      <w:r>
        <w:drawing>
          <wp:inline xmlns:a="http://schemas.openxmlformats.org/drawingml/2006/main" xmlns:pic="http://schemas.openxmlformats.org/drawingml/2006/picture">
            <wp:extent cx="5943600" cy="3418181"/>
            <wp:docPr id="8" name="Picture 8"/>
            <wp:cNvGraphicFramePr>
              <a:graphicFrameLocks noChangeAspect="1"/>
            </wp:cNvGraphicFramePr>
            <a:graphic>
              <a:graphicData uri="http://schemas.openxmlformats.org/drawingml/2006/picture">
                <pic:pic>
                  <pic:nvPicPr>
                    <pic:cNvPr id="0" name="11_global60_depressions.png"/>
                    <pic:cNvPicPr/>
                  </pic:nvPicPr>
                  <pic:blipFill>
                    <a:blip r:embed="rId16"/>
                    <a:stretch>
                      <a:fillRect/>
                    </a:stretch>
                  </pic:blipFill>
                  <pic:spPr>
                    <a:xfrm>
                      <a:off x="0" y="0"/>
                      <a:ext cx="5943600" cy="3418181"/>
                    </a:xfrm>
                    <a:prstGeom prst="rect"/>
                  </pic:spPr>
                </pic:pic>
              </a:graphicData>
            </a:graphic>
          </wp:inline>
        </w:drawing>
      </w:r>
    </w:p>
    <w:p>
      <w:pPr>
        <w:pStyle w:val="ListBullet"/>
        <w:keepNext/>
        <w:spacing w:after="80"/>
      </w:pPr>
      <w:r>
        <w:rPr>
          <w:rFonts w:ascii="Times New Roman" w:hAnsi="Times New Roman"/>
          <w:sz w:val="24"/>
        </w:rPr>
        <w:t>465,354 closed depressions ≥ 1 km, from an 11-hour run on the desktop</w:t>
      </w:r>
    </w:p>
    <w:p>
      <w:pPr>
        <w:pStyle w:val="ListBullet"/>
        <w:keepNext/>
        <w:spacing w:after="80"/>
      </w:pPr>
      <w:r>
        <w:rPr>
          <w:rFonts w:ascii="Times New Roman" w:hAnsi="Times New Roman"/>
          <w:sz w:val="24"/>
        </w:rPr>
        <w:t>Against Robbins: 15.3% are catalogued craters at ≥ 1 km, 62.2% at ≥ 5 km, 83.1% at ≥ 20 km</w:t>
      </w:r>
    </w:p>
    <w:p>
      <w:pPr>
        <w:pStyle w:val="ListBullet"/>
        <w:keepNext/>
        <w:spacing w:after="80"/>
      </w:pPr>
      <w:r>
        <w:rPr>
          <w:rFonts w:ascii="Times New Roman" w:hAnsi="Times New Roman"/>
          <w:sz w:val="24"/>
        </w:rPr>
        <w:t>Their density barely follows the catalogued craters (r −0.11); below ~5 km it follows the DEM's sharpness</w:t>
      </w:r>
    </w:p>
    <w:p>
      <w:pPr>
        <w:pStyle w:val="ListBullet"/>
        <w:keepNext/>
        <w:spacing w:after="80"/>
      </w:pPr>
      <w:r>
        <w:rPr>
          <w:rFonts w:ascii="Times New Roman" w:hAnsi="Times New Roman"/>
          <w:sz w:val="24"/>
        </w:rPr>
        <w:t>Good for large craters and as prompts for review; for crater counts, Robbins is the reference</w:t>
      </w:r>
    </w:p>
    <w:p>
      <w:pPr>
        <w:spacing w:after="200" w:before="0"/>
      </w:pPr>
      <w:r>
        <w:rPr>
          <w:rFonts w:ascii="Times New Roman" w:hAnsi="Times New Roman"/>
          <w:b w:val="0"/>
          <w:i/>
          <w:sz w:val="20"/>
        </w:rPr>
        <w:t>Source: PROJECT-KNOWLEDGE.md §53.4, §53.6, §54.4, §55.4</w:t>
      </w:r>
    </w:p>
    <w:p>
      <w:pPr>
        <w:keepNext/>
        <w:spacing w:after="120" w:before="240"/>
      </w:pPr>
      <w:r>
        <w:rPr>
          <w:rFonts w:ascii="Times New Roman" w:hAnsi="Times New Roman"/>
          <w:b/>
          <w:i w:val="0"/>
          <w:sz w:val="24"/>
        </w:rPr>
        <w:t>Figure 8. Channels across ±60°</w:t>
      </w:r>
    </w:p>
    <w:p>
      <w:pPr>
        <w:keepNext/>
        <w:jc w:val="center"/>
      </w:pPr>
      <w:r>
        <w:drawing>
          <wp:inline xmlns:a="http://schemas.openxmlformats.org/drawingml/2006/main" xmlns:pic="http://schemas.openxmlformats.org/drawingml/2006/picture">
            <wp:extent cx="5943600" cy="2371055"/>
            <wp:docPr id="9" name="Picture 9"/>
            <wp:cNvGraphicFramePr>
              <a:graphicFrameLocks noChangeAspect="1"/>
            </wp:cNvGraphicFramePr>
            <a:graphic>
              <a:graphicData uri="http://schemas.openxmlformats.org/drawingml/2006/picture">
                <pic:pic>
                  <pic:nvPicPr>
                    <pic:cNvPr id="0" name="12_global60_channels.png"/>
                    <pic:cNvPicPr/>
                  </pic:nvPicPr>
                  <pic:blipFill>
                    <a:blip r:embed="rId17"/>
                    <a:stretch>
                      <a:fillRect/>
                    </a:stretch>
                  </pic:blipFill>
                  <pic:spPr>
                    <a:xfrm>
                      <a:off x="0" y="0"/>
                      <a:ext cx="5943600" cy="2371055"/>
                    </a:xfrm>
                    <a:prstGeom prst="rect"/>
                  </pic:spPr>
                </pic:pic>
              </a:graphicData>
            </a:graphic>
          </wp:inline>
        </w:drawing>
      </w:r>
    </w:p>
    <w:p>
      <w:pPr>
        <w:pStyle w:val="ListBullet"/>
        <w:keepNext/>
        <w:spacing w:after="80"/>
      </w:pPr>
      <w:r>
        <w:rPr>
          <w:rFonts w:ascii="Times New Roman" w:hAnsi="Times New Roman"/>
          <w:sz w:val="24"/>
        </w:rPr>
        <w:t>969,822 routed channel segments; orders 3–5 drawn</w:t>
      </w:r>
    </w:p>
    <w:p>
      <w:pPr>
        <w:pStyle w:val="ListBullet"/>
        <w:keepNext/>
        <w:spacing w:after="80"/>
      </w:pPr>
      <w:r>
        <w:rPr>
          <w:rFonts w:ascii="Times New Roman" w:hAnsi="Times New Roman"/>
          <w:sz w:val="24"/>
        </w:rPr>
        <w:t>60.5% of stream cells discarded as fill artefact (Ius alone: 56%)</w:t>
      </w:r>
    </w:p>
    <w:p>
      <w:pPr>
        <w:pStyle w:val="ListBullet"/>
        <w:keepNext/>
        <w:spacing w:after="80"/>
      </w:pPr>
      <w:r>
        <w:rPr>
          <w:rFonts w:ascii="Times New Roman" w:hAnsi="Times New Roman"/>
          <w:sz w:val="24"/>
        </w:rPr>
        <w:t>89.8% lie on ground under 2°, so the plateau channels are DEM noise</w:t>
      </w:r>
    </w:p>
    <w:p>
      <w:pPr>
        <w:pStyle w:val="ListBullet"/>
        <w:keepNext/>
        <w:spacing w:after="80"/>
      </w:pPr>
      <w:r>
        <w:rPr>
          <w:rFonts w:ascii="Times New Roman" w:hAnsi="Times New Roman"/>
          <w:sz w:val="24"/>
        </w:rPr>
        <w:t>No channel reference exists at ±60°, so the network is not scored</w:t>
      </w:r>
    </w:p>
    <w:p>
      <w:pPr>
        <w:spacing w:after="200" w:before="0"/>
      </w:pPr>
      <w:r>
        <w:rPr>
          <w:rFonts w:ascii="Times New Roman" w:hAnsi="Times New Roman"/>
          <w:b w:val="0"/>
          <w:i/>
          <w:sz w:val="20"/>
        </w:rPr>
        <w:t>Source: PROJECT-KNOWLEDGE.md §53.4, §53.6, §54.4, §55.4</w:t>
      </w:r>
    </w:p>
    <w:p>
      <w:pPr>
        <w:keepNext/>
        <w:spacing w:after="120" w:before="240"/>
      </w:pPr>
      <w:r>
        <w:rPr>
          <w:rFonts w:ascii="Times New Roman" w:hAnsi="Times New Roman"/>
          <w:b/>
          <w:i w:val="0"/>
          <w:sz w:val="24"/>
        </w:rPr>
        <w:t>Figure 9. Ius Chasma: candidates to digitise</w:t>
      </w:r>
    </w:p>
    <w:p>
      <w:pPr>
        <w:keepNext/>
        <w:jc w:val="center"/>
      </w:pPr>
      <w:r>
        <w:drawing>
          <wp:inline xmlns:a="http://schemas.openxmlformats.org/drawingml/2006/main" xmlns:pic="http://schemas.openxmlformats.org/drawingml/2006/picture">
            <wp:extent cx="5943600" cy="3534817"/>
            <wp:docPr id="10" name="Picture 10"/>
            <wp:cNvGraphicFramePr>
              <a:graphicFrameLocks noChangeAspect="1"/>
            </wp:cNvGraphicFramePr>
            <a:graphic>
              <a:graphicData uri="http://schemas.openxmlformats.org/drawingml/2006/picture">
                <pic:pic>
                  <pic:nvPicPr>
                    <pic:cNvPr id="0" name="06_ius_digitising.png"/>
                    <pic:cNvPicPr/>
                  </pic:nvPicPr>
                  <pic:blipFill>
                    <a:blip r:embed="rId18"/>
                    <a:stretch>
                      <a:fillRect/>
                    </a:stretch>
                  </pic:blipFill>
                  <pic:spPr>
                    <a:xfrm>
                      <a:off x="0" y="0"/>
                      <a:ext cx="5943600" cy="3534817"/>
                    </a:xfrm>
                    <a:prstGeom prst="rect"/>
                  </pic:spPr>
                </pic:pic>
              </a:graphicData>
            </a:graphic>
          </wp:inline>
        </w:drawing>
      </w:r>
    </w:p>
    <w:p>
      <w:pPr>
        <w:pStyle w:val="ListBullet"/>
        <w:keepNext/>
        <w:spacing w:after="80"/>
      </w:pPr>
      <w:r>
        <w:rPr>
          <w:rFonts w:ascii="Times New Roman" w:hAnsi="Times New Roman"/>
          <w:sz w:val="24"/>
        </w:rPr>
        <w:t>Fill raised the canyon floor 2,077 m; 56% of the first channel network was artefact</w:t>
      </w:r>
    </w:p>
    <w:p>
      <w:pPr>
        <w:pStyle w:val="ListBullet"/>
        <w:keepNext/>
        <w:spacing w:after="80"/>
      </w:pPr>
      <w:r>
        <w:rPr>
          <w:rFonts w:ascii="Times New Roman" w:hAnsi="Times New Roman"/>
          <w:sz w:val="24"/>
        </w:rPr>
        <w:t>188 channel candidates are steep and rock-floored; the review starts with them</w:t>
      </w:r>
    </w:p>
    <w:p>
      <w:pPr>
        <w:pStyle w:val="ListBullet"/>
        <w:keepNext/>
        <w:spacing w:after="80"/>
      </w:pPr>
      <w:r>
        <w:rPr>
          <w:rFonts w:ascii="Times New Roman" w:hAnsi="Times New Roman"/>
          <w:sz w:val="24"/>
        </w:rPr>
        <w:t>Only 11% of the 1,685 closed depressions ≥ 1 km match a Robbins crater, so they are prompts for review</w:t>
      </w:r>
    </w:p>
    <w:p>
      <w:pPr>
        <w:spacing w:after="200" w:before="0"/>
      </w:pPr>
      <w:r>
        <w:rPr>
          <w:rFonts w:ascii="Times New Roman" w:hAnsi="Times New Roman"/>
          <w:b w:val="0"/>
          <w:i/>
          <w:sz w:val="20"/>
        </w:rPr>
        <w:t>Source: PROJECT-KNOWLEDGE.md §25, §26, §42.3</w:t>
      </w:r>
    </w:p>
    <w:p>
      <w:pPr>
        <w:keepNext/>
        <w:spacing w:after="120" w:before="240"/>
      </w:pPr>
      <w:r>
        <w:rPr>
          <w:rFonts w:ascii="Times New Roman" w:hAnsi="Times New Roman"/>
          <w:b/>
          <w:i w:val="0"/>
          <w:sz w:val="24"/>
        </w:rPr>
        <w:t>Figure 10. Athabasca Valles: the second type area</w:t>
      </w:r>
    </w:p>
    <w:p>
      <w:pPr>
        <w:keepNext/>
        <w:jc w:val="center"/>
      </w:pPr>
      <w:r>
        <w:drawing>
          <wp:inline xmlns:a="http://schemas.openxmlformats.org/drawingml/2006/main" xmlns:pic="http://schemas.openxmlformats.org/drawingml/2006/picture">
            <wp:extent cx="5943600" cy="3426622"/>
            <wp:docPr id="11" name="Picture 11"/>
            <wp:cNvGraphicFramePr>
              <a:graphicFrameLocks noChangeAspect="1"/>
            </wp:cNvGraphicFramePr>
            <a:graphic>
              <a:graphicData uri="http://schemas.openxmlformats.org/drawingml/2006/picture">
                <pic:pic>
                  <pic:nvPicPr>
                    <pic:cNvPr id="0" name="09_athabasca_digitising.png"/>
                    <pic:cNvPicPr/>
                  </pic:nvPicPr>
                  <pic:blipFill>
                    <a:blip r:embed="rId19"/>
                    <a:stretch>
                      <a:fillRect/>
                    </a:stretch>
                  </pic:blipFill>
                  <pic:spPr>
                    <a:xfrm>
                      <a:off x="0" y="0"/>
                      <a:ext cx="5943600" cy="3426622"/>
                    </a:xfrm>
                    <a:prstGeom prst="rect"/>
                  </pic:spPr>
                </pic:pic>
              </a:graphicData>
            </a:graphic>
          </wp:inline>
        </w:drawing>
      </w:r>
    </w:p>
    <w:p>
      <w:pPr>
        <w:pStyle w:val="ListBullet"/>
        <w:keepNext/>
        <w:spacing w:after="80"/>
      </w:pPr>
      <w:r>
        <w:rPr>
          <w:rFonts w:ascii="Times New Roman" w:hAnsi="Times New Roman"/>
          <w:sz w:val="24"/>
        </w:rPr>
        <w:t>Flood lava once mapped as a water channel; the USGS map calls it Late Amazonian volcanic (lAv)</w:t>
      </w:r>
    </w:p>
    <w:p>
      <w:pPr>
        <w:pStyle w:val="ListBullet"/>
        <w:keepNext/>
        <w:spacing w:after="80"/>
      </w:pPr>
      <w:r>
        <w:rPr>
          <w:rFonts w:ascii="Times New Roman" w:hAnsi="Times New Roman"/>
          <w:sz w:val="24"/>
        </w:rPr>
        <w:t>Built the same way as Ius: 3,283 channel candidates, 409 of them rock-floored</w:t>
      </w:r>
    </w:p>
    <w:p>
      <w:pPr>
        <w:pStyle w:val="ListBullet"/>
        <w:keepNext/>
        <w:spacing w:after="80"/>
      </w:pPr>
      <w:r>
        <w:rPr>
          <w:rFonts w:ascii="Times New Roman" w:hAnsi="Times New Roman"/>
          <w:sz w:val="24"/>
        </w:rPr>
        <w:t>Catalogued craters: 1,122 per million km² on lAv, against 1,760 and 2,183 on the older units</w:t>
      </w:r>
    </w:p>
    <w:p>
      <w:pPr>
        <w:pStyle w:val="ListBullet"/>
        <w:keepNext/>
        <w:spacing w:after="80"/>
      </w:pPr>
      <w:r>
        <w:rPr>
          <w:rFonts w:ascii="Times New Roman" w:hAnsi="Times New Roman"/>
          <w:sz w:val="24"/>
        </w:rPr>
        <w:t>The diurnal-contrast index does not track calibrated TES inertia here (r ≈ 0); Viking albedo does (−0.55)</w:t>
      </w:r>
    </w:p>
    <w:p>
      <w:pPr>
        <w:spacing w:after="200" w:before="0"/>
      </w:pPr>
      <w:r>
        <w:rPr>
          <w:rFonts w:ascii="Times New Roman" w:hAnsi="Times New Roman"/>
          <w:b w:val="0"/>
          <w:i/>
          <w:sz w:val="20"/>
        </w:rPr>
        <w:t>Source: PROJECT-KNOWLEDGE.md §41, §42</w:t>
      </w:r>
    </w:p>
    <w:p>
      <w:pPr>
        <w:keepNext/>
        <w:spacing w:after="120" w:before="240"/>
      </w:pPr>
      <w:r>
        <w:rPr>
          <w:rFonts w:ascii="Times New Roman" w:hAnsi="Times New Roman"/>
          <w:b/>
          <w:i w:val="0"/>
          <w:sz w:val="24"/>
        </w:rPr>
        <w:t>Figure 11. Checking the first two classifications</w:t>
      </w:r>
    </w:p>
    <w:p>
      <w:pPr>
        <w:keepNext/>
        <w:jc w:val="center"/>
      </w:pPr>
      <w:r>
        <w:drawing>
          <wp:inline xmlns:a="http://schemas.openxmlformats.org/drawingml/2006/main" xmlns:pic="http://schemas.openxmlformats.org/drawingml/2006/picture">
            <wp:extent cx="5943600" cy="4081189"/>
            <wp:docPr id="12" name="Picture 12"/>
            <wp:cNvGraphicFramePr>
              <a:graphicFrameLocks noChangeAspect="1"/>
            </wp:cNvGraphicFramePr>
            <a:graphic>
              <a:graphicData uri="http://schemas.openxmlformats.org/drawingml/2006/picture">
                <pic:pic>
                  <pic:nvPicPr>
                    <pic:cNvPr id="0" name="05_svm_checks.png"/>
                    <pic:cNvPicPr/>
                  </pic:nvPicPr>
                  <pic:blipFill>
                    <a:blip r:embed="rId20"/>
                    <a:stretch>
                      <a:fillRect/>
                    </a:stretch>
                  </pic:blipFill>
                  <pic:spPr>
                    <a:xfrm>
                      <a:off x="0" y="0"/>
                      <a:ext cx="5943600" cy="4081189"/>
                    </a:xfrm>
                    <a:prstGeom prst="rect"/>
                  </pic:spPr>
                </pic:pic>
              </a:graphicData>
            </a:graphic>
          </wp:inline>
        </w:drawing>
      </w:r>
    </w:p>
    <w:p>
      <w:pPr>
        <w:pStyle w:val="ListBullet"/>
        <w:keepNext/>
        <w:spacing w:after="80"/>
      </w:pPr>
      <w:r>
        <w:rPr>
          <w:rFonts w:ascii="Times New Roman" w:hAnsi="Times New Roman"/>
          <w:sz w:val="24"/>
        </w:rPr>
        <w:t>The 29 Sep map follows its 4096-px processing tiles instead of the terrain</w:t>
      </w:r>
    </w:p>
    <w:p>
      <w:pPr>
        <w:pStyle w:val="ListBullet"/>
        <w:keepNext/>
        <w:spacing w:after="80"/>
      </w:pPr>
      <w:r>
        <w:rPr>
          <w:rFonts w:ascii="Times New Roman" w:hAnsi="Times New Roman"/>
          <w:sz w:val="24"/>
        </w:rPr>
        <w:t>The 30 Sep map is mostly elevation: elevation alone reproduces 62% of it</w:t>
      </w:r>
    </w:p>
    <w:p>
      <w:pPr>
        <w:pStyle w:val="ListBullet"/>
        <w:keepNext/>
        <w:spacing w:after="80"/>
      </w:pPr>
      <w:r>
        <w:rPr>
          <w:rFonts w:ascii="Times New Roman" w:hAnsi="Times New Roman"/>
          <w:sz w:val="24"/>
        </w:rPr>
        <w:t>Both problems led to the corrected stack, with no elevation band and slope in degrees</w:t>
      </w:r>
    </w:p>
    <w:p>
      <w:pPr>
        <w:spacing w:after="200" w:before="0"/>
      </w:pPr>
      <w:r>
        <w:rPr>
          <w:rFonts w:ascii="Times New Roman" w:hAnsi="Times New Roman"/>
          <w:b w:val="0"/>
          <w:i/>
          <w:sz w:val="20"/>
        </w:rPr>
        <w:t>Source: PROJECT-KNOWLEDGE.md §30</w:t>
      </w:r>
    </w:p>
    <w:p>
      <w:pPr>
        <w:keepNext/>
        <w:spacing w:after="120" w:before="240"/>
      </w:pPr>
      <w:r>
        <w:rPr>
          <w:rFonts w:ascii="Times New Roman" w:hAnsi="Times New Roman"/>
          <w:b/>
          <w:i w:val="0"/>
          <w:sz w:val="24"/>
        </w:rPr>
        <w:t>Figure 12. Landforms at ±60°, scored on labels the model never saw</w:t>
      </w:r>
    </w:p>
    <w:p>
      <w:pPr>
        <w:keepNext/>
        <w:jc w:val="center"/>
      </w:pPr>
      <w:r>
        <w:drawing>
          <wp:inline xmlns:a="http://schemas.openxmlformats.org/drawingml/2006/main" xmlns:pic="http://schemas.openxmlformats.org/drawingml/2006/picture">
            <wp:extent cx="5943600" cy="2965996"/>
            <wp:docPr id="13" name="Picture 13"/>
            <wp:cNvGraphicFramePr>
              <a:graphicFrameLocks noChangeAspect="1"/>
            </wp:cNvGraphicFramePr>
            <a:graphic>
              <a:graphicData uri="http://schemas.openxmlformats.org/drawingml/2006/picture">
                <pic:pic>
                  <pic:nvPicPr>
                    <pic:cNvPr id="0" name="04_global60_landforms.png"/>
                    <pic:cNvPicPr/>
                  </pic:nvPicPr>
                  <pic:blipFill>
                    <a:blip r:embed="rId21"/>
                    <a:stretch>
                      <a:fillRect/>
                    </a:stretch>
                  </pic:blipFill>
                  <pic:spPr>
                    <a:xfrm>
                      <a:off x="0" y="0"/>
                      <a:ext cx="5943600" cy="2965996"/>
                    </a:xfrm>
                    <a:prstGeom prst="rect"/>
                  </pic:spPr>
                </pic:pic>
              </a:graphicData>
            </a:graphic>
          </wp:inline>
        </w:drawing>
      </w:r>
    </w:p>
    <w:p>
      <w:pPr>
        <w:pStyle w:val="ListBullet"/>
        <w:keepNext/>
        <w:spacing w:after="80"/>
      </w:pPr>
      <w:r>
        <w:rPr>
          <w:rFonts w:ascii="Times New Roman" w:hAnsi="Times New Roman"/>
          <w:sz w:val="24"/>
        </w:rPr>
        <w:t>512 hand-drawn polygons in whole 15° blocks: 329 train the SVM, 183 are held out</w:t>
      </w:r>
    </w:p>
    <w:p>
      <w:pPr>
        <w:pStyle w:val="ListBullet"/>
        <w:keepNext/>
        <w:spacing w:after="80"/>
      </w:pPr>
      <w:r>
        <w:rPr>
          <w:rFonts w:ascii="Times New Roman" w:hAnsi="Times New Roman"/>
          <w:sz w:val="24"/>
        </w:rPr>
        <w:t>Published map, 200 m, 11 × 11 majority (2.2 km): 73.8%, κ 0.58 held out; one class everywhere: 58.6%</w:t>
      </w:r>
    </w:p>
    <w:p>
      <w:pPr>
        <w:pStyle w:val="ListBullet"/>
        <w:keepNext/>
        <w:spacing w:after="80"/>
      </w:pPr>
      <w:r>
        <w:rPr>
          <w:rFonts w:ascii="Times New Roman" w:hAnsi="Times New Roman"/>
          <w:sz w:val="24"/>
        </w:rPr>
        <w:t>Halving the cell bought no accuracy: 69.9% raw at 200 m, 70.5% at 400 m</w:t>
      </w:r>
    </w:p>
    <w:p>
      <w:pPr>
        <w:pStyle w:val="ListBullet"/>
        <w:keepNext/>
        <w:spacing w:after="80"/>
      </w:pPr>
      <w:r>
        <w:rPr>
          <w:rFonts w:ascii="Times New Roman" w:hAnsi="Times New Roman"/>
          <w:sz w:val="24"/>
        </w:rPr>
        <w:t>Normal Ground and cratered terrain hold up; lava tube does not (2% user's accuracy)</w:t>
      </w:r>
    </w:p>
    <w:p>
      <w:pPr>
        <w:spacing w:after="200" w:before="0"/>
      </w:pPr>
      <w:r>
        <w:rPr>
          <w:rFonts w:ascii="Times New Roman" w:hAnsi="Times New Roman"/>
          <w:b w:val="0"/>
          <w:i/>
          <w:sz w:val="20"/>
        </w:rPr>
        <w:t>Source: PROJECT-KNOWLEDGE.md §31.3, §55.3, §57</w:t>
      </w:r>
    </w:p>
    <w:p>
      <w:pPr>
        <w:keepNext/>
        <w:spacing w:after="120" w:before="240"/>
      </w:pPr>
      <w:r>
        <w:rPr>
          <w:rFonts w:ascii="Times New Roman" w:hAnsi="Times New Roman"/>
          <w:b/>
          <w:i w:val="0"/>
          <w:sz w:val="24"/>
        </w:rPr>
        <w:t>Figure 13. The landform classes against the USGS geologic map</w:t>
      </w:r>
    </w:p>
    <w:p>
      <w:pPr>
        <w:keepNext/>
        <w:jc w:val="center"/>
      </w:pPr>
      <w:r>
        <w:drawing>
          <wp:inline xmlns:a="http://schemas.openxmlformats.org/drawingml/2006/main" xmlns:pic="http://schemas.openxmlformats.org/drawingml/2006/picture">
            <wp:extent cx="5943600" cy="2480102"/>
            <wp:docPr id="14" name="Picture 14"/>
            <wp:cNvGraphicFramePr>
              <a:graphicFrameLocks noChangeAspect="1"/>
            </wp:cNvGraphicFramePr>
            <a:graphic>
              <a:graphicData uri="http://schemas.openxmlformats.org/drawingml/2006/picture">
                <pic:pic>
                  <pic:nvPicPr>
                    <pic:cNvPr id="0" name="t8_enrichment.png"/>
                    <pic:cNvPicPr/>
                  </pic:nvPicPr>
                  <pic:blipFill>
                    <a:blip r:embed="rId22"/>
                    <a:stretch>
                      <a:fillRect/>
                    </a:stretch>
                  </pic:blipFill>
                  <pic:spPr>
                    <a:xfrm>
                      <a:off x="0" y="0"/>
                      <a:ext cx="5943600" cy="2480102"/>
                    </a:xfrm>
                    <a:prstGeom prst="rect"/>
                  </pic:spPr>
                </pic:pic>
              </a:graphicData>
            </a:graphic>
          </wp:inline>
        </w:drawing>
      </w:r>
    </w:p>
    <w:p>
      <w:pPr>
        <w:pStyle w:val="ListBullet"/>
        <w:keepNext/>
        <w:spacing w:after="80"/>
      </w:pPr>
      <w:r>
        <w:rPr>
          <w:rFonts w:ascii="Times New Roman" w:hAnsi="Times New Roman"/>
          <w:sz w:val="24"/>
        </w:rPr>
        <w:t>Each cell: how much more often a class occurs in a unit group than across ±60° (×1 = no link)</w:t>
      </w:r>
    </w:p>
    <w:p>
      <w:pPr>
        <w:pStyle w:val="ListBullet"/>
        <w:keepNext/>
        <w:spacing w:after="80"/>
      </w:pPr>
      <w:r>
        <w:rPr>
          <w:rFonts w:ascii="Times New Roman" w:hAnsi="Times New Roman"/>
          <w:sz w:val="24"/>
        </w:rPr>
        <w:t>"Lava tube" gathers on volcano flanks and aprons (×3.30, ×4.29), not on volcanic plains (×0.84)</w:t>
      </w:r>
    </w:p>
    <w:p>
      <w:pPr>
        <w:pStyle w:val="ListBullet"/>
        <w:keepNext/>
        <w:spacing w:after="80"/>
      </w:pPr>
      <w:r>
        <w:rPr>
          <w:rFonts w:ascii="Times New Roman" w:hAnsi="Times New Roman"/>
          <w:sz w:val="24"/>
        </w:rPr>
        <w:t>76% of the volcanic plains come out Normal Ground</w:t>
      </w:r>
    </w:p>
    <w:p>
      <w:pPr>
        <w:pStyle w:val="ListBullet"/>
        <w:keepNext/>
        <w:spacing w:after="80"/>
      </w:pPr>
      <w:r>
        <w:rPr>
          <w:rFonts w:ascii="Times New Roman" w:hAnsi="Times New Roman"/>
          <w:sz w:val="24"/>
        </w:rPr>
        <w:t>The classes follow terrain, so lava flows are taken from the geologic map</w:t>
      </w:r>
    </w:p>
    <w:p>
      <w:pPr>
        <w:spacing w:after="200" w:before="0"/>
      </w:pPr>
      <w:r>
        <w:rPr>
          <w:rFonts w:ascii="Times New Roman" w:hAnsi="Times New Roman"/>
          <w:b w:val="0"/>
          <w:i/>
          <w:sz w:val="20"/>
        </w:rPr>
        <w:t>Source: PROJECT-KNOWLEDGE.md §43.2, §49, §57.1</w:t>
      </w:r>
    </w:p>
    <w:p>
      <w:pPr>
        <w:keepNext/>
        <w:spacing w:after="120" w:before="240"/>
      </w:pPr>
      <w:r>
        <w:rPr>
          <w:rFonts w:ascii="Times New Roman" w:hAnsi="Times New Roman"/>
          <w:b/>
          <w:i w:val="0"/>
          <w:sz w:val="24"/>
        </w:rPr>
        <w:t>Figure 14. Does thermal infrared improve the classification?</w:t>
      </w:r>
    </w:p>
    <w:p>
      <w:pPr>
        <w:keepNext/>
        <w:jc w:val="center"/>
      </w:pPr>
      <w:r>
        <w:drawing>
          <wp:inline xmlns:a="http://schemas.openxmlformats.org/drawingml/2006/main" xmlns:pic="http://schemas.openxmlformats.org/drawingml/2006/picture">
            <wp:extent cx="5943600" cy="2731084"/>
            <wp:docPr id="15" name="Picture 15"/>
            <wp:cNvGraphicFramePr>
              <a:graphicFrameLocks noChangeAspect="1"/>
            </wp:cNvGraphicFramePr>
            <a:graphic>
              <a:graphicData uri="http://schemas.openxmlformats.org/drawingml/2006/picture">
                <pic:pic>
                  <pic:nvPicPr>
                    <pic:cNvPr id="0" name="thermal_ablation.png"/>
                    <pic:cNvPicPr/>
                  </pic:nvPicPr>
                  <pic:blipFill>
                    <a:blip r:embed="rId23"/>
                    <a:stretch>
                      <a:fillRect/>
                    </a:stretch>
                  </pic:blipFill>
                  <pic:spPr>
                    <a:xfrm>
                      <a:off x="0" y="0"/>
                      <a:ext cx="5943600" cy="2731084"/>
                    </a:xfrm>
                    <a:prstGeom prst="rect"/>
                  </pic:spPr>
                </pic:pic>
              </a:graphicData>
            </a:graphic>
          </wp:inline>
        </w:drawing>
      </w:r>
    </w:p>
    <w:p>
      <w:pPr>
        <w:pStyle w:val="ListBullet"/>
        <w:keepNext/>
        <w:spacing w:after="80"/>
      </w:pPr>
      <w:r>
        <w:rPr>
          <w:rFonts w:ascii="Times New Roman" w:hAnsi="Times New Roman"/>
          <w:sz w:val="24"/>
        </w:rPr>
        <w:t>Slope and relief alone: 68.6%, κ 0.51 held out; all seven bands: 67.0%, κ 0.50</w:t>
      </w:r>
    </w:p>
    <w:p>
      <w:pPr>
        <w:pStyle w:val="ListBullet"/>
        <w:keepNext/>
        <w:spacing w:after="80"/>
      </w:pPr>
      <w:r>
        <w:rPr>
          <w:rFonts w:ascii="Times New Roman" w:hAnsi="Times New Roman"/>
          <w:sz w:val="24"/>
        </w:rPr>
        <w:t>The thermal bands add +1.3 points (95% interval +0.6 to +2.2), small but clear of zero</w:t>
      </w:r>
    </w:p>
    <w:p>
      <w:pPr>
        <w:pStyle w:val="ListBullet"/>
        <w:keepNext/>
        <w:spacing w:after="80"/>
      </w:pPr>
      <w:r>
        <w:rPr>
          <w:rFonts w:ascii="Times New Roman" w:hAnsi="Times New Roman"/>
          <w:sz w:val="24"/>
        </w:rPr>
        <w:t>Without terrain, visible and thermal score below one class everywhere (58.6%)</w:t>
      </w:r>
    </w:p>
    <w:p>
      <w:pPr>
        <w:pStyle w:val="ListBullet"/>
        <w:keepNext/>
        <w:spacing w:after="80"/>
      </w:pPr>
      <w:r>
        <w:rPr>
          <w:rFonts w:ascii="Times New Roman" w:hAnsi="Times New Roman"/>
          <w:sz w:val="24"/>
        </w:rPr>
        <w:t>The labels are landforms, so terrain decides them; testing thermal IR properly needs material labels</w:t>
      </w:r>
    </w:p>
    <w:p>
      <w:pPr>
        <w:spacing w:after="200" w:before="0"/>
      </w:pPr>
      <w:r>
        <w:rPr>
          <w:rFonts w:ascii="Times New Roman" w:hAnsi="Times New Roman"/>
          <w:b w:val="0"/>
          <w:i/>
          <w:sz w:val="20"/>
        </w:rPr>
        <w:t>Source: PROJECT-KNOWLEDGE.md §40</w:t>
      </w:r>
    </w:p>
    <w:p>
      <w:pPr>
        <w:keepNext/>
        <w:spacing w:after="120" w:before="240"/>
      </w:pPr>
      <w:r>
        <w:rPr>
          <w:rFonts w:ascii="Times New Roman" w:hAnsi="Times New Roman"/>
          <w:b/>
          <w:i w:val="0"/>
          <w:sz w:val="24"/>
        </w:rPr>
        <w:t>Figure 15. The thermal gain, confirmed with ArcGIS Pro's own SVM</w:t>
      </w:r>
    </w:p>
    <w:p>
      <w:pPr>
        <w:keepNext/>
        <w:jc w:val="center"/>
      </w:pPr>
      <w:r>
        <w:drawing>
          <wp:inline xmlns:a="http://schemas.openxmlformats.org/drawingml/2006/main" xmlns:pic="http://schemas.openxmlformats.org/drawingml/2006/picture">
            <wp:extent cx="5943600" cy="2496312"/>
            <wp:docPr id="16" name="Picture 16"/>
            <wp:cNvGraphicFramePr>
              <a:graphicFrameLocks noChangeAspect="1"/>
            </wp:cNvGraphicFramePr>
            <a:graphic>
              <a:graphicData uri="http://schemas.openxmlformats.org/drawingml/2006/picture">
                <pic:pic>
                  <pic:nvPicPr>
                    <pic:cNvPr id="0" name="t1_pro.png"/>
                    <pic:cNvPicPr/>
                  </pic:nvPicPr>
                  <pic:blipFill>
                    <a:blip r:embed="rId24"/>
                    <a:stretch>
                      <a:fillRect/>
                    </a:stretch>
                  </pic:blipFill>
                  <pic:spPr>
                    <a:xfrm>
                      <a:off x="0" y="0"/>
                      <a:ext cx="5943600" cy="2496312"/>
                    </a:xfrm>
                    <a:prstGeom prst="rect"/>
                  </pic:spPr>
                </pic:pic>
              </a:graphicData>
            </a:graphic>
          </wp:inline>
        </w:drawing>
      </w:r>
    </w:p>
    <w:p>
      <w:pPr>
        <w:pStyle w:val="ListBullet"/>
        <w:keepNext/>
        <w:spacing w:after="80"/>
      </w:pPr>
      <w:r>
        <w:rPr>
          <w:rFonts w:ascii="Times New Roman" w:hAnsi="Times New Roman"/>
          <w:sz w:val="24"/>
        </w:rPr>
        <w:t>Pro's SVM retrained over all of ±60° with the published settings, leaving out one band group at a time</w:t>
      </w:r>
    </w:p>
    <w:p>
      <w:pPr>
        <w:pStyle w:val="ListBullet"/>
        <w:keepNext/>
        <w:spacing w:after="80"/>
      </w:pPr>
      <w:r>
        <w:rPr>
          <w:rFonts w:ascii="Times New Roman" w:hAnsi="Times New Roman"/>
          <w:sz w:val="24"/>
        </w:rPr>
        <w:t>Thermal adds +1.36 points at 200 m (+0.46 to +2.47) and +1.97 at 400 m (+1.08 to +3.35)</w:t>
      </w:r>
    </w:p>
    <w:p>
      <w:pPr>
        <w:pStyle w:val="ListBullet"/>
        <w:keepNext/>
        <w:spacing w:after="80"/>
      </w:pPr>
      <w:r>
        <w:rPr>
          <w:rFonts w:ascii="Times New Roman" w:hAnsi="Times New Roman"/>
          <w:sz w:val="24"/>
        </w:rPr>
        <w:t>Thermal helps craters and hills and hurts lava tube; leaving out visible, or both groups, leaves the score tied</w:t>
      </w:r>
    </w:p>
    <w:p>
      <w:pPr>
        <w:pStyle w:val="ListBullet"/>
        <w:keepNext/>
        <w:spacing w:after="80"/>
      </w:pPr>
      <w:r>
        <w:rPr>
          <w:rFonts w:ascii="Times New Roman" w:hAnsi="Times New Roman"/>
          <w:sz w:val="24"/>
        </w:rPr>
        <w:t>Terrain alone ties the overall score but gets only 34 of 124 crater polygons right</w:t>
      </w:r>
    </w:p>
    <w:p>
      <w:pPr>
        <w:spacing w:after="200" w:before="0"/>
      </w:pPr>
      <w:r>
        <w:rPr>
          <w:rFonts w:ascii="Times New Roman" w:hAnsi="Times New Roman"/>
          <w:b w:val="0"/>
          <w:i/>
          <w:sz w:val="20"/>
        </w:rPr>
        <w:t>Source: PROJECT-KNOWLEDGE.md §56, §56.1</w:t>
      </w:r>
    </w:p>
    <w:p>
      <w:pPr>
        <w:keepNext/>
        <w:spacing w:after="120" w:before="240"/>
      </w:pPr>
      <w:r>
        <w:rPr>
          <w:rFonts w:ascii="Times New Roman" w:hAnsi="Times New Roman"/>
          <w:b/>
          <w:i w:val="0"/>
          <w:sz w:val="24"/>
        </w:rPr>
        <w:t>Figure 16. Deep learning, 1: a detector that draws boxes</w:t>
      </w:r>
    </w:p>
    <w:p>
      <w:pPr>
        <w:keepNext/>
        <w:jc w:val="center"/>
      </w:pPr>
      <w:r>
        <w:drawing>
          <wp:inline xmlns:a="http://schemas.openxmlformats.org/drawingml/2006/main" xmlns:pic="http://schemas.openxmlformats.org/drawingml/2006/picture">
            <wp:extent cx="5943600" cy="3827874"/>
            <wp:docPr id="17" name="Picture 17"/>
            <wp:cNvGraphicFramePr>
              <a:graphicFrameLocks noChangeAspect="1"/>
            </wp:cNvGraphicFramePr>
            <a:graphic>
              <a:graphicData uri="http://schemas.openxmlformats.org/drawingml/2006/picture">
                <pic:pic>
                  <pic:nvPicPr>
                    <pic:cNvPr id="0" name="16_x5_detections.png"/>
                    <pic:cNvPicPr/>
                  </pic:nvPicPr>
                  <pic:blipFill>
                    <a:blip r:embed="rId25"/>
                    <a:stretch>
                      <a:fillRect/>
                    </a:stretch>
                  </pic:blipFill>
                  <pic:spPr>
                    <a:xfrm>
                      <a:off x="0" y="0"/>
                      <a:ext cx="5943600" cy="3827874"/>
                    </a:xfrm>
                    <a:prstGeom prst="rect"/>
                  </pic:spPr>
                </pic:pic>
              </a:graphicData>
            </a:graphic>
          </wp:inline>
        </w:drawing>
      </w:r>
    </w:p>
    <w:p>
      <w:pPr>
        <w:pStyle w:val="ListBullet"/>
        <w:keepNext/>
        <w:spacing w:after="80"/>
      </w:pPr>
      <w:r>
        <w:rPr>
          <w:rFonts w:ascii="Times New Roman" w:hAnsi="Times New Roman"/>
          <w:sz w:val="24"/>
        </w:rPr>
        <w:t>RetinaNet on the 7-band stack, trained on the training blocks only, scored on the 183 held-out polygons</w:t>
      </w:r>
    </w:p>
    <w:p>
      <w:pPr>
        <w:pStyle w:val="ListBullet"/>
        <w:keepNext/>
        <w:spacing w:after="80"/>
      </w:pPr>
      <w:r>
        <w:rPr>
          <w:rFonts w:ascii="Times New Roman" w:hAnsi="Times New Roman"/>
          <w:sz w:val="24"/>
        </w:rPr>
        <w:t>Crater: 41.9% of polygons found, 87.6% of boxes right, against 71.1% for always naming Crater</w:t>
      </w:r>
    </w:p>
    <w:p>
      <w:pPr>
        <w:pStyle w:val="ListBullet"/>
        <w:keepNext/>
        <w:spacing w:after="80"/>
      </w:pPr>
      <w:r>
        <w:rPr>
          <w:rFonts w:ascii="Times New Roman" w:hAnsi="Times New Roman"/>
          <w:sz w:val="24"/>
        </w:rPr>
        <w:t>Normal Ground: 22.7% found, 56.9% right; hills and lava tube never named</w:t>
      </w:r>
    </w:p>
    <w:p>
      <w:pPr>
        <w:pStyle w:val="ListBullet"/>
        <w:keepNext/>
        <w:spacing w:after="80"/>
      </w:pPr>
      <w:r>
        <w:rPr>
          <w:rFonts w:ascii="Times New Roman" w:hAnsi="Times New Roman"/>
          <w:sz w:val="24"/>
        </w:rPr>
        <w:t>Retrained with the backbone unfrozen for 30 epochs, it names hills but finds only 4.5% of Normal Ground, so it is no better</w:t>
      </w:r>
    </w:p>
    <w:p>
      <w:pPr>
        <w:spacing w:after="200" w:before="0"/>
      </w:pPr>
      <w:r>
        <w:rPr>
          <w:rFonts w:ascii="Times New Roman" w:hAnsi="Times New Roman"/>
          <w:b w:val="0"/>
          <w:i/>
          <w:sz w:val="20"/>
        </w:rPr>
        <w:t>Source: PROJECT-KNOWLEDGE.md §66.1, §66.2, §66.5</w:t>
      </w:r>
    </w:p>
    <w:p>
      <w:pPr>
        <w:keepNext/>
        <w:spacing w:after="120" w:before="240"/>
      </w:pPr>
      <w:r>
        <w:rPr>
          <w:rFonts w:ascii="Times New Roman" w:hAnsi="Times New Roman"/>
          <w:b/>
          <w:i w:val="0"/>
          <w:sz w:val="24"/>
        </w:rPr>
        <w:t>Figure 17. Deep learning, 2: a U-Net maps terrain provinces</w:t>
      </w:r>
    </w:p>
    <w:p>
      <w:pPr>
        <w:keepNext/>
        <w:jc w:val="center"/>
      </w:pPr>
      <w:r>
        <w:drawing>
          <wp:inline xmlns:a="http://schemas.openxmlformats.org/drawingml/2006/main" xmlns:pic="http://schemas.openxmlformats.org/drawingml/2006/picture">
            <wp:extent cx="5943600" cy="3900098"/>
            <wp:docPr id="18" name="Picture 18"/>
            <wp:cNvGraphicFramePr>
              <a:graphicFrameLocks noChangeAspect="1"/>
            </wp:cNvGraphicFramePr>
            <a:graphic>
              <a:graphicData uri="http://schemas.openxmlformats.org/drawingml/2006/picture">
                <pic:pic>
                  <pic:nvPicPr>
                    <pic:cNvPr id="0" name="17_x5c_unet_provinces.png"/>
                    <pic:cNvPicPr/>
                  </pic:nvPicPr>
                  <pic:blipFill>
                    <a:blip r:embed="rId26"/>
                    <a:stretch>
                      <a:fillRect/>
                    </a:stretch>
                  </pic:blipFill>
                  <pic:spPr>
                    <a:xfrm>
                      <a:off x="0" y="0"/>
                      <a:ext cx="5943600" cy="3900098"/>
                    </a:xfrm>
                    <a:prstGeom prst="rect"/>
                  </pic:spPr>
                </pic:pic>
              </a:graphicData>
            </a:graphic>
          </wp:inline>
        </w:drawing>
      </w:r>
    </w:p>
    <w:p>
      <w:pPr>
        <w:pStyle w:val="ListBullet"/>
        <w:keepNext/>
        <w:spacing w:after="80"/>
      </w:pPr>
      <w:r>
        <w:rPr>
          <w:rFonts w:ascii="Times New Roman" w:hAnsi="Times New Roman"/>
          <w:sz w:val="24"/>
        </w:rPr>
        <w:t>A U-Net pixel classifier on the same stack and labels, over all of ±60°; a second pass, offset 128 px, removes its tile seams</w:t>
      </w:r>
    </w:p>
    <w:p>
      <w:pPr>
        <w:pStyle w:val="ListBullet"/>
        <w:keepNext/>
        <w:spacing w:after="80"/>
      </w:pPr>
      <w:r>
        <w:rPr>
          <w:rFonts w:ascii="Times New Roman" w:hAnsi="Times New Roman"/>
          <w:sz w:val="24"/>
        </w:rPr>
        <w:t>Held out: 98.9%, κ 0.980, against the published SVM map's 73.8%, κ 0.583, under the same scorer</w:t>
      </w:r>
    </w:p>
    <w:p>
      <w:pPr>
        <w:pStyle w:val="ListBullet"/>
        <w:keepNext/>
        <w:spacing w:after="80"/>
      </w:pPr>
      <w:r>
        <w:rPr>
          <w:rFonts w:ascii="Times New Roman" w:hAnsi="Times New Roman"/>
          <w:sz w:val="24"/>
        </w:rPr>
        <w:t>Lava tube becomes usable: 77.1% user's accuracy, against 2.4% for the SVM</w:t>
      </w:r>
    </w:p>
    <w:p>
      <w:pPr>
        <w:pStyle w:val="ListBullet"/>
        <w:keepNext/>
        <w:spacing w:after="80"/>
      </w:pPr>
      <w:r>
        <w:rPr>
          <w:rFonts w:ascii="Times New Roman" w:hAnsi="Times New Roman"/>
          <w:sz w:val="24"/>
        </w:rPr>
        <w:t>It maps provinces rather than single landforms: its 'Crater' covers 82.6% of the ring around named craters. The SVM map stays the published one</w:t>
      </w:r>
    </w:p>
    <w:p>
      <w:pPr>
        <w:spacing w:after="200" w:before="0"/>
      </w:pPr>
      <w:r>
        <w:rPr>
          <w:rFonts w:ascii="Times New Roman" w:hAnsi="Times New Roman"/>
          <w:b w:val="0"/>
          <w:i/>
          <w:sz w:val="20"/>
        </w:rPr>
        <w:t>Source: PROJECT-KNOWLEDGE.md §66.6–66.9</w:t>
      </w:r>
    </w:p>
    <w:p>
      <w:pPr>
        <w:keepNext/>
        <w:spacing w:after="120" w:before="240"/>
      </w:pPr>
      <w:r>
        <w:rPr>
          <w:rFonts w:ascii="Times New Roman" w:hAnsi="Times New Roman"/>
          <w:b/>
          <w:i w:val="0"/>
          <w:sz w:val="24"/>
        </w:rPr>
        <w:t>Figure 18. Do the infrared mosaics show lava-flow edges Viking misses? (H1)</w:t>
      </w:r>
    </w:p>
    <w:p>
      <w:pPr>
        <w:keepNext/>
        <w:jc w:val="center"/>
      </w:pPr>
      <w:r>
        <w:drawing>
          <wp:inline xmlns:a="http://schemas.openxmlformats.org/drawingml/2006/main" xmlns:pic="http://schemas.openxmlformats.org/drawingml/2006/picture">
            <wp:extent cx="5943600" cy="2615184"/>
            <wp:docPr id="19" name="Picture 19"/>
            <wp:cNvGraphicFramePr>
              <a:graphicFrameLocks noChangeAspect="1"/>
            </wp:cNvGraphicFramePr>
            <a:graphic>
              <a:graphicData uri="http://schemas.openxmlformats.org/drawingml/2006/picture">
                <pic:pic>
                  <pic:nvPicPr>
                    <pic:cNvPr id="0" name="t5_margins.png"/>
                    <pic:cNvPicPr/>
                  </pic:nvPicPr>
                  <pic:blipFill>
                    <a:blip r:embed="rId27"/>
                    <a:stretch>
                      <a:fillRect/>
                    </a:stretch>
                  </pic:blipFill>
                  <pic:spPr>
                    <a:xfrm>
                      <a:off x="0" y="0"/>
                      <a:ext cx="5943600" cy="2615184"/>
                    </a:xfrm>
                    <a:prstGeom prst="rect"/>
                  </pic:spPr>
                </pic:pic>
              </a:graphicData>
            </a:graphic>
          </wp:inline>
        </w:drawing>
      </w:r>
    </w:p>
    <w:p>
      <w:pPr>
        <w:pStyle w:val="ListBullet"/>
        <w:keepNext/>
        <w:spacing w:after="80"/>
      </w:pPr>
      <w:r>
        <w:rPr>
          <w:rFonts w:ascii="Times New Roman" w:hAnsi="Times New Roman"/>
          <w:sz w:val="24"/>
        </w:rPr>
        <w:t>905 profiles across 10 of the geologic map's lava contacts at Athabasca: does each band tell the units apart?</w:t>
      </w:r>
    </w:p>
    <w:p>
      <w:pPr>
        <w:pStyle w:val="ListBullet"/>
        <w:keepNext/>
        <w:spacing w:after="80"/>
      </w:pPr>
      <w:r>
        <w:rPr>
          <w:rFonts w:ascii="Times New Roman" w:hAnsi="Times New Roman"/>
          <w:sz w:val="24"/>
        </w:rPr>
        <w:t>Every band does only slightly better than chance (10%): Viking red 12.3%, day IR 21.0%</w:t>
      </w:r>
    </w:p>
    <w:p>
      <w:pPr>
        <w:pStyle w:val="ListBullet"/>
        <w:keepNext/>
        <w:spacing w:after="80"/>
      </w:pPr>
      <w:r>
        <w:rPr>
          <w:rFonts w:ascii="Times New Roman" w:hAnsi="Times New Roman"/>
          <w:sz w:val="24"/>
        </w:rPr>
        <w:t>Day IR leans toward H1, but the intervals overlap (difference +8.7 points, −1.7 to +18.1)</w:t>
      </w:r>
    </w:p>
    <w:p>
      <w:pPr>
        <w:pStyle w:val="ListBullet"/>
        <w:keepNext/>
        <w:spacing w:after="80"/>
      </w:pPr>
      <w:r>
        <w:rPr>
          <w:rFonts w:ascii="Times New Roman" w:hAnsi="Times New Roman"/>
          <w:sz w:val="24"/>
        </w:rPr>
        <w:t>Contacts on a 1:20 M map are kilometres wide; H1 is retested on margins digitised at 100 m</w:t>
      </w:r>
    </w:p>
    <w:p>
      <w:pPr>
        <w:spacing w:after="200" w:before="0"/>
      </w:pPr>
      <w:r>
        <w:rPr>
          <w:rFonts w:ascii="Times New Roman" w:hAnsi="Times New Roman"/>
          <w:b w:val="0"/>
          <w:i/>
          <w:sz w:val="20"/>
        </w:rPr>
        <w:t>Source: PROJECT-KNOWLEDGE.md §47.2</w:t>
      </w:r>
    </w:p>
    <w:p>
      <w:pPr>
        <w:keepNext/>
        <w:spacing w:after="120" w:before="240"/>
      </w:pPr>
      <w:r>
        <w:rPr>
          <w:rFonts w:ascii="Times New Roman" w:hAnsi="Times New Roman"/>
          <w:b/>
          <w:i w:val="0"/>
          <w:sz w:val="24"/>
        </w:rPr>
        <w:t>Figure 19. Do volcanic channels differ from fluvial ones? (H2)</w:t>
      </w:r>
    </w:p>
    <w:p>
      <w:pPr>
        <w:keepNext/>
        <w:jc w:val="center"/>
      </w:pPr>
      <w:r>
        <w:drawing>
          <wp:inline xmlns:a="http://schemas.openxmlformats.org/drawingml/2006/main" xmlns:pic="http://schemas.openxmlformats.org/drawingml/2006/picture">
            <wp:extent cx="5943600" cy="2269375"/>
            <wp:docPr id="20" name="Picture 20"/>
            <wp:cNvGraphicFramePr>
              <a:graphicFrameLocks noChangeAspect="1"/>
            </wp:cNvGraphicFramePr>
            <a:graphic>
              <a:graphicData uri="http://schemas.openxmlformats.org/drawingml/2006/picture">
                <pic:pic>
                  <pic:nvPicPr>
                    <pic:cNvPr id="0" name="t4_channels.png"/>
                    <pic:cNvPicPr/>
                  </pic:nvPicPr>
                  <pic:blipFill>
                    <a:blip r:embed="rId28"/>
                    <a:stretch>
                      <a:fillRect/>
                    </a:stretch>
                  </pic:blipFill>
                  <pic:spPr>
                    <a:xfrm>
                      <a:off x="0" y="0"/>
                      <a:ext cx="5943600" cy="2269375"/>
                    </a:xfrm>
                    <a:prstGeom prst="rect"/>
                  </pic:spPr>
                </pic:pic>
              </a:graphicData>
            </a:graphic>
          </wp:inline>
        </w:drawing>
      </w:r>
    </w:p>
    <w:p>
      <w:pPr>
        <w:pStyle w:val="ListBullet"/>
        <w:keepNext/>
        <w:spacing w:after="80"/>
      </w:pPr>
      <w:r>
        <w:rPr>
          <w:rFonts w:ascii="Times New Roman" w:hAnsi="Times New Roman"/>
          <w:sz w:val="24"/>
        </w:rPr>
        <w:t>Channel candidates, Ius Chasma (fluvial) against Athabasca Valles (volcanic): 2,588 and 3,272</w:t>
      </w:r>
    </w:p>
    <w:p>
      <w:pPr>
        <w:pStyle w:val="ListBullet"/>
        <w:keepNext/>
        <w:spacing w:after="80"/>
      </w:pPr>
      <w:r>
        <w:rPr>
          <w:rFonts w:ascii="Times New Roman" w:hAnsi="Times New Roman"/>
          <w:sz w:val="24"/>
        </w:rPr>
        <w:t>H2 expected the volcanic channels to be steeper; they are shallower (median 1.4 against 10.2 m per km)</w:t>
      </w:r>
    </w:p>
    <w:p>
      <w:pPr>
        <w:pStyle w:val="ListBullet"/>
        <w:keepNext/>
        <w:spacing w:after="80"/>
      </w:pPr>
      <w:r>
        <w:rPr>
          <w:rFonts w:ascii="Times New Roman" w:hAnsi="Times New Roman"/>
          <w:sz w:val="24"/>
        </w:rPr>
        <w:t>Thermal response tells the two apart no better than chance (AUC 0.50)</w:t>
      </w:r>
    </w:p>
    <w:p>
      <w:pPr>
        <w:pStyle w:val="ListBullet"/>
        <w:keepNext/>
        <w:spacing w:after="80"/>
      </w:pPr>
      <w:r>
        <w:rPr>
          <w:rFonts w:ascii="Times New Roman" w:hAnsi="Times New Roman"/>
          <w:sz w:val="24"/>
        </w:rPr>
        <w:t>Not supported at stage 1: the window sets the gradient, not the origin. Reviewed channels retest it</w:t>
      </w:r>
    </w:p>
    <w:p>
      <w:pPr>
        <w:spacing w:after="200" w:before="0"/>
      </w:pPr>
      <w:r>
        <w:rPr>
          <w:rFonts w:ascii="Times New Roman" w:hAnsi="Times New Roman"/>
          <w:b w:val="0"/>
          <w:i/>
          <w:sz w:val="20"/>
        </w:rPr>
        <w:t>Source: PROJECT-KNOWLEDGE.md §51.1</w:t>
      </w:r>
    </w:p>
    <w:p>
      <w:pPr>
        <w:keepNext/>
        <w:spacing w:after="120" w:before="240"/>
      </w:pPr>
      <w:r>
        <w:rPr>
          <w:rFonts w:ascii="Times New Roman" w:hAnsi="Times New Roman"/>
          <w:b/>
          <w:i w:val="0"/>
          <w:sz w:val="24"/>
        </w:rPr>
        <w:t>Figure 20. Is the composite more stable than a single band? (H3)</w:t>
      </w:r>
    </w:p>
    <w:p>
      <w:pPr>
        <w:keepNext/>
        <w:jc w:val="center"/>
      </w:pPr>
      <w:r>
        <w:drawing>
          <wp:inline xmlns:a="http://schemas.openxmlformats.org/drawingml/2006/main" xmlns:pic="http://schemas.openxmlformats.org/drawingml/2006/picture">
            <wp:extent cx="5943600" cy="2496312"/>
            <wp:docPr id="21" name="Picture 21"/>
            <wp:cNvGraphicFramePr>
              <a:graphicFrameLocks noChangeAspect="1"/>
            </wp:cNvGraphicFramePr>
            <a:graphic>
              <a:graphicData uri="http://schemas.openxmlformats.org/drawingml/2006/picture">
                <pic:pic>
                  <pic:nvPicPr>
                    <pic:cNvPr id="0" name="t6_stability.png"/>
                    <pic:cNvPicPr/>
                  </pic:nvPicPr>
                  <pic:blipFill>
                    <a:blip r:embed="rId29"/>
                    <a:stretch>
                      <a:fillRect/>
                    </a:stretch>
                  </pic:blipFill>
                  <pic:spPr>
                    <a:xfrm>
                      <a:off x="0" y="0"/>
                      <a:ext cx="5943600" cy="2496312"/>
                    </a:xfrm>
                    <a:prstGeom prst="rect"/>
                  </pic:spPr>
                </pic:pic>
              </a:graphicData>
            </a:graphic>
          </wp:inline>
        </w:drawing>
      </w:r>
    </w:p>
    <w:p>
      <w:pPr>
        <w:pStyle w:val="ListBullet"/>
        <w:keepNext/>
        <w:spacing w:after="80"/>
      </w:pPr>
      <w:r>
        <w:rPr>
          <w:rFonts w:ascii="Times New Roman" w:hAnsi="Times New Roman"/>
          <w:sz w:val="24"/>
        </w:rPr>
        <w:t>Iso Cluster trained on the west and the east half of Ius, compared over the whole window</w:t>
      </w:r>
    </w:p>
    <w:p>
      <w:pPr>
        <w:pStyle w:val="ListBullet"/>
        <w:keepNext/>
        <w:spacing w:after="80"/>
      </w:pPr>
      <w:r>
        <w:rPr>
          <w:rFonts w:ascii="Times New Roman" w:hAnsi="Times New Roman"/>
          <w:sz w:val="24"/>
        </w:rPr>
        <w:t>The composites are the least reproducible inputs: 0.40 and 0.38, against 0.61–0.89 for single bands</w:t>
      </w:r>
    </w:p>
    <w:p>
      <w:pPr>
        <w:pStyle w:val="ListBullet"/>
        <w:keepNext/>
        <w:spacing w:after="80"/>
      </w:pPr>
      <w:r>
        <w:rPr>
          <w:rFonts w:ascii="Times New Roman" w:hAnsi="Times New Roman"/>
          <w:sz w:val="24"/>
        </w:rPr>
        <w:t>They give the smoothest maps, only just ahead of Viking (0.85 against 0.84)</w:t>
      </w:r>
    </w:p>
    <w:p>
      <w:pPr>
        <w:pStyle w:val="ListBullet"/>
        <w:keepNext/>
        <w:spacing w:after="80"/>
      </w:pPr>
      <w:r>
        <w:rPr>
          <w:rFonts w:ascii="Times New Roman" w:hAnsi="Times New Roman"/>
          <w:sz w:val="24"/>
        </w:rPr>
        <w:t>H3 is not supported</w:t>
      </w:r>
    </w:p>
    <w:p>
      <w:pPr>
        <w:spacing w:after="200" w:before="0"/>
      </w:pPr>
      <w:r>
        <w:rPr>
          <w:rFonts w:ascii="Times New Roman" w:hAnsi="Times New Roman"/>
          <w:b w:val="0"/>
          <w:i/>
          <w:sz w:val="20"/>
        </w:rPr>
        <w:t>Source: PROJECT-KNOWLEDGE.md §47.3</w:t>
      </w:r>
    </w:p>
    <w:p>
      <w:pPr>
        <w:keepNext/>
        <w:spacing w:after="120" w:before="240"/>
      </w:pPr>
      <w:r>
        <w:rPr>
          <w:rFonts w:ascii="Times New Roman" w:hAnsi="Times New Roman"/>
          <w:b/>
          <w:i w:val="0"/>
          <w:sz w:val="24"/>
        </w:rPr>
        <w:t>Figure 21. How many tributary orders does 100 m resolve? (Q5)</w:t>
      </w:r>
    </w:p>
    <w:p>
      <w:pPr>
        <w:keepNext/>
        <w:jc w:val="center"/>
      </w:pPr>
      <w:r>
        <w:drawing>
          <wp:inline xmlns:a="http://schemas.openxmlformats.org/drawingml/2006/main" xmlns:pic="http://schemas.openxmlformats.org/drawingml/2006/picture">
            <wp:extent cx="5943600" cy="2496312"/>
            <wp:docPr id="22" name="Picture 22"/>
            <wp:cNvGraphicFramePr>
              <a:graphicFrameLocks noChangeAspect="1"/>
            </wp:cNvGraphicFramePr>
            <a:graphic>
              <a:graphicData uri="http://schemas.openxmlformats.org/drawingml/2006/picture">
                <pic:pic>
                  <pic:nvPicPr>
                    <pic:cNvPr id="0" name="t7_orders.png"/>
                    <pic:cNvPicPr/>
                  </pic:nvPicPr>
                  <pic:blipFill>
                    <a:blip r:embed="rId30"/>
                    <a:stretch>
                      <a:fillRect/>
                    </a:stretch>
                  </pic:blipFill>
                  <pic:spPr>
                    <a:xfrm>
                      <a:off x="0" y="0"/>
                      <a:ext cx="5943600" cy="2496312"/>
                    </a:xfrm>
                    <a:prstGeom prst="rect"/>
                  </pic:spPr>
                </pic:pic>
              </a:graphicData>
            </a:graphic>
          </wp:inline>
        </w:drawing>
      </w:r>
    </w:p>
    <w:p>
      <w:pPr>
        <w:pStyle w:val="ListBullet"/>
        <w:keepNext/>
        <w:spacing w:after="80"/>
      </w:pPr>
      <w:r>
        <w:rPr>
          <w:rFonts w:ascii="Times New Roman" w:hAnsi="Times New Roman"/>
          <w:sz w:val="24"/>
        </w:rPr>
        <w:t>Channel thresholds from 1 to 500 km² of catchment at Ius Chasma</w:t>
      </w:r>
    </w:p>
    <w:p>
      <w:pPr>
        <w:pStyle w:val="ListBullet"/>
        <w:keepNext/>
        <w:spacing w:after="80"/>
      </w:pPr>
      <w:r>
        <w:rPr>
          <w:rFonts w:ascii="Times New Roman" w:hAnsi="Times New Roman"/>
          <w:sz w:val="24"/>
        </w:rPr>
        <w:t>The highest stream order follows the threshold: 5 at 1 km², 3 at 50 km², 2 at 500 km²</w:t>
      </w:r>
    </w:p>
    <w:p>
      <w:pPr>
        <w:pStyle w:val="ListBullet"/>
        <w:keepNext/>
        <w:spacing w:after="80"/>
      </w:pPr>
      <w:r>
        <w:rPr>
          <w:rFonts w:ascii="Times New Roman" w:hAnsi="Times New Roman"/>
          <w:sz w:val="24"/>
        </w:rPr>
        <w:t>Only 30.8–36.7% of first-order streams lie on slopes ≥ 2°, at every threshold</w:t>
      </w:r>
    </w:p>
    <w:p>
      <w:pPr>
        <w:pStyle w:val="ListBullet"/>
        <w:keepNext/>
        <w:spacing w:after="80"/>
      </w:pPr>
      <w:r>
        <w:rPr>
          <w:rFonts w:ascii="Times New Roman" w:hAnsi="Times New Roman"/>
          <w:sz w:val="24"/>
        </w:rPr>
        <w:t>The order count reflects the threshold chosen, so the DEM cannot answer Q5</w:t>
      </w:r>
    </w:p>
    <w:p>
      <w:pPr>
        <w:spacing w:after="200" w:before="0"/>
      </w:pPr>
      <w:r>
        <w:rPr>
          <w:rFonts w:ascii="Times New Roman" w:hAnsi="Times New Roman"/>
          <w:b w:val="0"/>
          <w:i/>
          <w:sz w:val="20"/>
        </w:rPr>
        <w:t>Source: PROJECT-KNOWLEDGE.md §47.4</w:t>
      </w:r>
    </w:p>
    <w:p>
      <w:pPr>
        <w:keepNext/>
        <w:spacing w:after="120" w:before="240"/>
      </w:pPr>
      <w:r>
        <w:rPr>
          <w:rFonts w:ascii="Times New Roman" w:hAnsi="Times New Roman"/>
          <w:b/>
          <w:i w:val="0"/>
          <w:sz w:val="24"/>
        </w:rPr>
        <w:t>7. Project Issues and Hurdles</w:t>
      </w:r>
    </w:p>
    <w:p>
      <w:pPr>
        <w:pStyle w:val="ListBullet"/>
        <w:spacing w:after="80"/>
      </w:pPr>
      <w:r>
        <w:rPr>
          <w:rFonts w:ascii="Times New Roman" w:hAnsi="Times New Roman"/>
          <w:b/>
          <w:sz w:val="24"/>
        </w:rPr>
        <w:t xml:space="preserve">The thermal signal is weak where it can be checked. </w:t>
      </w:r>
      <w:r>
        <w:rPr>
          <w:rFonts w:ascii="Times New Roman" w:hAnsi="Times New Roman"/>
          <w:sz w:val="24"/>
        </w:rPr>
        <w:t>The THEMIS mosaics follow calibrated TES thermal inertia only weakly inside 15° blocks (|r| ≈ 0.1) and not at all across the planet; Viking albedo follows it (r −0.31 to −0.36). In the classification the thermal bands add 1.3–2.0 points, with two classifiers (§40.1, §42.4, §43.1, §56).</w:t>
      </w:r>
    </w:p>
    <w:p>
      <w:pPr>
        <w:pStyle w:val="ListBullet"/>
        <w:spacing w:after="80"/>
      </w:pPr>
      <w:r>
        <w:rPr>
          <w:rFonts w:ascii="Times New Roman" w:hAnsi="Times New Roman"/>
          <w:b/>
          <w:sz w:val="24"/>
        </w:rPr>
        <w:t xml:space="preserve">The landform classes are terrain classes. </w:t>
      </w:r>
      <w:r>
        <w:rPr>
          <w:rFonts w:ascii="Times New Roman" w:hAnsi="Times New Roman"/>
          <w:sz w:val="24"/>
        </w:rPr>
        <w:t>Slope and relief alone score as well as all seven bands. On the geologic map the classes sit where terrain puts them, and "lava tube" lands on volcano flanks rather than lava plains (§40.1, §43.2).</w:t>
      </w:r>
    </w:p>
    <w:p>
      <w:pPr>
        <w:pStyle w:val="ListBullet"/>
        <w:spacing w:after="80"/>
      </w:pPr>
      <w:r>
        <w:rPr>
          <w:rFonts w:ascii="Times New Roman" w:hAnsi="Times New Roman"/>
          <w:b/>
          <w:sz w:val="24"/>
        </w:rPr>
        <w:t xml:space="preserve">Five "Crater" labels are volcanoes. </w:t>
      </w:r>
      <w:r>
        <w:rPr>
          <w:rFonts w:ascii="Times New Roman" w:hAnsi="Times New Roman"/>
          <w:sz w:val="24"/>
        </w:rPr>
        <w:t>Arsia Mons alone is 31% of the held-out Crater area; a seven-class scheme is proposed for the final (§68.2).</w:t>
      </w:r>
    </w:p>
    <w:p>
      <w:pPr>
        <w:pStyle w:val="ListBullet"/>
        <w:spacing w:after="80"/>
      </w:pPr>
      <w:r>
        <w:rPr>
          <w:rFonts w:ascii="Times New Roman" w:hAnsi="Times New Roman"/>
          <w:b/>
          <w:sz w:val="24"/>
        </w:rPr>
        <w:t xml:space="preserve">Lava flows come from the geologic map. </w:t>
      </w:r>
      <w:r>
        <w:rPr>
          <w:rFonts w:ascii="Times New Roman" w:hAnsi="Times New Roman"/>
          <w:sz w:val="24"/>
        </w:rPr>
        <w:t>These bands cannot tell volcanic plains from other plains, and a fifth "volcanic" class scored below chance. Lava flows are taken from the USGS map's volcanic units (§43.3, §44).</w:t>
      </w:r>
    </w:p>
    <w:p>
      <w:pPr>
        <w:pStyle w:val="ListBullet"/>
        <w:spacing w:after="80"/>
      </w:pPr>
      <w:r>
        <w:rPr>
          <w:rFonts w:ascii="Times New Roman" w:hAnsi="Times New Roman"/>
          <w:b/>
          <w:sz w:val="24"/>
        </w:rPr>
        <w:t xml:space="preserve">Closed depressions are not a crater count. </w:t>
      </w:r>
      <w:r>
        <w:rPr>
          <w:rFonts w:ascii="Times New Roman" w:hAnsi="Times New Roman"/>
          <w:sz w:val="24"/>
        </w:rPr>
        <w:t>Of the candidates ≥ 1 km, 11–13% in the type areas and 15.3% across ±60° are catalogued craters; from 5 km up most are (62.2%). The Robbins catalogue (385,049 craters) is the crater reference (§42.3, §54.4).</w:t>
      </w:r>
    </w:p>
    <w:p>
      <w:pPr>
        <w:pStyle w:val="ListBullet"/>
        <w:spacing w:after="80"/>
      </w:pPr>
      <w:r>
        <w:rPr>
          <w:rFonts w:ascii="Times New Roman" w:hAnsi="Times New Roman"/>
          <w:b/>
          <w:sz w:val="24"/>
        </w:rPr>
        <w:t xml:space="preserve">Four hypotheses tested, none supported. </w:t>
      </w:r>
      <w:r>
        <w:rPr>
          <w:rFonts w:ascii="Times New Roman" w:hAnsi="Times New Roman"/>
          <w:sz w:val="24"/>
        </w:rPr>
        <w:t>No band separates the geologic map's lava contacts much better than chance, though the map is too coarse to settle H1; the volcanic channels are shallower, and thermal response separates nothing (H2, stage 1); the composite's classes are the least reproducible input (H3); no channel threshold keeps first-order streams on real slopes (Q5) (§47, §51).</w:t>
      </w:r>
    </w:p>
    <w:p>
      <w:pPr>
        <w:pStyle w:val="ListBullet"/>
        <w:spacing w:after="80"/>
      </w:pPr>
      <w:r>
        <w:rPr>
          <w:rFonts w:ascii="Times New Roman" w:hAnsi="Times New Roman"/>
          <w:b/>
          <w:sz w:val="24"/>
        </w:rPr>
        <w:t xml:space="preserve">The review has not started. </w:t>
      </w:r>
      <w:r>
        <w:rPr>
          <w:rFonts w:ascii="Times New Roman" w:hAnsi="Times New Roman"/>
          <w:sz w:val="24"/>
        </w:rPr>
        <w:t>0 of 9,287 candidates are reviewed; H1 and H2 wait for digitised features (§46).</w:t>
      </w:r>
    </w:p>
    <w:p>
      <w:pPr>
        <w:pStyle w:val="ListBullet"/>
        <w:spacing w:after="80"/>
      </w:pPr>
      <w:r>
        <w:rPr>
          <w:rFonts w:ascii="Times New Roman" w:hAnsi="Times New Roman"/>
          <w:b/>
          <w:sz w:val="24"/>
        </w:rPr>
        <w:t xml:space="preserve">428.7 GB on one USB drive. </w:t>
      </w:r>
      <w:r>
        <w:rPr>
          <w:rFonts w:ascii="Times New Roman" w:hAnsi="Times New Roman"/>
          <w:sz w:val="24"/>
        </w:rPr>
        <w:t>Reads cap near 112 MB/s, and the drive has dropped off mid-write, so big outputs are built on internal disk first (§2.2, §36.4, §67.4).</w:t>
      </w:r>
    </w:p>
    <w:p>
      <w:pPr>
        <w:pStyle w:val="ListBullet"/>
        <w:spacing w:after="80"/>
      </w:pPr>
      <w:r>
        <w:rPr>
          <w:rFonts w:ascii="Times New Roman" w:hAnsi="Times New Roman"/>
          <w:b/>
          <w:sz w:val="24"/>
        </w:rPr>
        <w:t xml:space="preserve">Solved since September. </w:t>
      </w:r>
      <w:r>
        <w:rPr>
          <w:rFonts w:ascii="Times New Roman" w:hAnsi="Times New Roman"/>
          <w:sz w:val="24"/>
        </w:rPr>
        <w:t>Three coordinate frames, the z-factor defect, four failed global composites, the missing night mosaic, a defective DEM column at 180° (§15–20, §54).</w:t>
      </w:r>
    </w:p>
    <w:p>
      <w:pPr>
        <w:keepNext/>
        <w:spacing w:after="120" w:before="240"/>
      </w:pPr>
      <w:r>
        <w:rPr>
          <w:rFonts w:ascii="Times New Roman" w:hAnsi="Times New Roman"/>
          <w:b/>
          <w:i w:val="0"/>
          <w:sz w:val="24"/>
        </w:rPr>
        <w:t>8. Next Steps</w:t>
      </w:r>
    </w:p>
    <w:p>
      <w:pPr>
        <w:pStyle w:val="ListBullet"/>
        <w:spacing w:after="80"/>
      </w:pPr>
      <w:r>
        <w:rPr>
          <w:rFonts w:ascii="Times New Roman" w:hAnsi="Times New Roman"/>
          <w:sz w:val="24"/>
        </w:rPr>
        <w:t>Review the 9,287 machine candidates at Ius Chasma and Athabasca Valles; draw breached craters and lava margins</w:t>
      </w:r>
    </w:p>
    <w:p>
      <w:pPr>
        <w:pStyle w:val="ListBullet"/>
        <w:spacing w:after="80"/>
      </w:pPr>
      <w:r>
        <w:rPr>
          <w:rFonts w:ascii="Times New Roman" w:hAnsi="Times New Roman"/>
          <w:sz w:val="24"/>
        </w:rPr>
        <w:t>Score the candidates against the reviewed features (layout 14); retest H1 on digitised margins and H2 on reviewed channels with their origin set</w:t>
      </w:r>
    </w:p>
    <w:p>
      <w:pPr>
        <w:pStyle w:val="ListBullet"/>
        <w:spacing w:after="80"/>
      </w:pPr>
      <w:r>
        <w:rPr>
          <w:rFonts w:ascii="Times New Roman" w:hAnsi="Times New Roman"/>
          <w:sz w:val="24"/>
        </w:rPr>
        <w:t>Seven classes (D17): review the 1,086 proposed labels, rerun the SVM and U-Net, and score both maps on the same held-out polygons</w:t>
      </w:r>
    </w:p>
    <w:p>
      <w:pPr>
        <w:pStyle w:val="ListBullet"/>
        <w:spacing w:after="80"/>
      </w:pPr>
      <w:r>
        <w:rPr>
          <w:rFonts w:ascii="Times New Roman" w:hAnsi="Times New Roman"/>
          <w:sz w:val="24"/>
        </w:rPr>
        <w:t>Deep learning: set aside validation blocks before any further tuning, so the held-out blocks stay a clean test (§66.5)</w:t>
      </w:r>
    </w:p>
    <w:tbl>
      <w:tblPr>
        <w:tblStyle w:val="TableGrid"/>
        <w:tblW w:type="auto" w:w="0"/>
        <w:jc w:val="center"/>
        <w:tblLayout w:type="fixed"/>
        <w:tblLook w:firstColumn="1" w:firstRow="1" w:lastColumn="0" w:lastRow="0" w:noHBand="0" w:noVBand="1" w:val="04A0"/>
      </w:tblPr>
      <w:tblGrid>
        <w:gridCol w:w="4680"/>
        <w:gridCol w:w="4680"/>
      </w:tblGrid>
      <w:tr>
        <w:trPr>
          <w:tblHeader/>
          <w:cantSplit/>
        </w:trPr>
        <w:tc>
          <w:tcPr>
            <w:tcW w:type="dxa" w:w="2016"/>
            <w:shd w:val="clear" w:fill="DCDCDC"/>
          </w:tcPr>
          <w:p>
            <w:pPr>
              <w:keepNext/>
              <w:spacing w:after="40"/>
            </w:pPr>
            <w:r>
              <w:rPr>
                <w:rFonts w:ascii="Times New Roman" w:hAnsi="Times New Roman"/>
                <w:b/>
                <w:sz w:val="20"/>
              </w:rPr>
              <w:t>When</w:t>
            </w:r>
          </w:p>
        </w:tc>
        <w:tc>
          <w:tcPr>
            <w:tcW w:type="dxa" w:w="7344"/>
            <w:shd w:val="clear" w:fill="DCDCDC"/>
          </w:tcPr>
          <w:p>
            <w:pPr>
              <w:keepNext/>
              <w:spacing w:after="40"/>
            </w:pPr>
            <w:r>
              <w:rPr>
                <w:rFonts w:ascii="Times New Roman" w:hAnsi="Times New Roman"/>
                <w:b/>
                <w:sz w:val="20"/>
              </w:rPr>
              <w:t>What</w:t>
            </w:r>
          </w:p>
        </w:tc>
      </w:tr>
      <w:tr>
        <w:trPr>
          <w:cantSplit/>
        </w:trPr>
        <w:tc>
          <w:tcPr>
            <w:tcW w:type="dxa" w:w="2016"/>
          </w:tcPr>
          <w:p>
            <w:pPr>
              <w:keepNext/>
              <w:spacing w:after="40"/>
            </w:pPr>
            <w:r>
              <w:rPr>
                <w:rFonts w:ascii="Times New Roman" w:hAnsi="Times New Roman"/>
                <w:sz w:val="20"/>
              </w:rPr>
              <w:t>8–26 Oct</w:t>
            </w:r>
          </w:p>
        </w:tc>
        <w:tc>
          <w:tcPr>
            <w:tcW w:type="dxa" w:w="7344"/>
          </w:tcPr>
          <w:p>
            <w:pPr>
              <w:keepNext/>
              <w:spacing w:after="40"/>
            </w:pPr>
            <w:r>
              <w:rPr>
                <w:rFonts w:ascii="Times New Roman" w:hAnsi="Times New Roman"/>
                <w:sz w:val="20"/>
              </w:rPr>
              <w:t>Desktop runs done: pyramids, ±60° crater and channel pass, 200 m map, T1 in Pro, the deep-learning detector and U-Net; seven classes proposed</w:t>
            </w:r>
          </w:p>
        </w:tc>
      </w:tr>
      <w:tr>
        <w:trPr>
          <w:cantSplit/>
        </w:trPr>
        <w:tc>
          <w:tcPr>
            <w:tcW w:type="dxa" w:w="2016"/>
          </w:tcPr>
          <w:p>
            <w:pPr>
              <w:keepNext/>
              <w:spacing w:after="40"/>
            </w:pPr>
            <w:r>
              <w:rPr>
                <w:rFonts w:ascii="Times New Roman" w:hAnsi="Times New Roman"/>
                <w:sz w:val="20"/>
              </w:rPr>
              <w:t>26 Oct</w:t>
            </w:r>
          </w:p>
        </w:tc>
        <w:tc>
          <w:tcPr>
            <w:tcW w:type="dxa" w:w="7344"/>
          </w:tcPr>
          <w:p>
            <w:pPr>
              <w:keepNext/>
              <w:spacing w:after="40"/>
            </w:pPr>
            <w:r>
              <w:rPr>
                <w:rFonts w:ascii="Times New Roman" w:hAnsi="Times New Roman"/>
                <w:sz w:val="20"/>
              </w:rPr>
              <w:t>Interim data cut: what is measured by now is in the interim; the rest goes to the final</w:t>
            </w:r>
          </w:p>
        </w:tc>
      </w:tr>
      <w:tr>
        <w:trPr>
          <w:cantSplit/>
        </w:trPr>
        <w:tc>
          <w:tcPr>
            <w:tcW w:type="dxa" w:w="2016"/>
          </w:tcPr>
          <w:p>
            <w:pPr>
              <w:keepNext/>
              <w:spacing w:after="40"/>
            </w:pPr>
            <w:r>
              <w:rPr>
                <w:rFonts w:ascii="Times New Roman" w:hAnsi="Times New Roman"/>
                <w:sz w:val="20"/>
              </w:rPr>
              <w:t>27 Oct – 22 Nov</w:t>
            </w:r>
          </w:p>
        </w:tc>
        <w:tc>
          <w:tcPr>
            <w:tcW w:type="dxa" w:w="7344"/>
          </w:tcPr>
          <w:p>
            <w:pPr>
              <w:keepNext/>
              <w:spacing w:after="40"/>
            </w:pPr>
            <w:r>
              <w:rPr>
                <w:rFonts w:ascii="Times New Roman" w:hAnsi="Times New Roman"/>
                <w:sz w:val="20"/>
              </w:rPr>
              <w:t>Review and digitising; the seven-class labels and maps; H1 and H2 on digitised features; data freeze</w:t>
            </w:r>
          </w:p>
        </w:tc>
      </w:tr>
      <w:tr>
        <w:trPr>
          <w:cantSplit/>
        </w:trPr>
        <w:tc>
          <w:tcPr>
            <w:tcW w:type="dxa" w:w="2016"/>
          </w:tcPr>
          <w:p>
            <w:pPr>
              <w:keepNext/>
              <w:spacing w:after="40"/>
            </w:pPr>
            <w:r>
              <w:rPr>
                <w:rFonts w:ascii="Times New Roman" w:hAnsi="Times New Roman"/>
                <w:sz w:val="20"/>
              </w:rPr>
              <w:t>mid-Nov</w:t>
            </w:r>
          </w:p>
        </w:tc>
        <w:tc>
          <w:tcPr>
            <w:tcW w:type="dxa" w:w="7344"/>
          </w:tcPr>
          <w:p>
            <w:pPr>
              <w:keepNext/>
              <w:spacing w:after="40"/>
            </w:pPr>
            <w:r>
              <w:rPr>
                <w:rFonts w:ascii="Times New Roman" w:hAnsi="Times New Roman"/>
                <w:sz w:val="20"/>
              </w:rPr>
              <w:t>Interim presentation and report</w:t>
            </w:r>
          </w:p>
        </w:tc>
      </w:tr>
      <w:tr>
        <w:trPr>
          <w:cantSplit/>
        </w:trPr>
        <w:tc>
          <w:tcPr>
            <w:tcW w:type="dxa" w:w="2016"/>
          </w:tcPr>
          <w:p>
            <w:pPr>
              <w:keepNext/>
              <w:spacing w:after="40"/>
            </w:pPr>
            <w:r>
              <w:rPr>
                <w:rFonts w:ascii="Times New Roman" w:hAnsi="Times New Roman"/>
                <w:sz w:val="20"/>
              </w:rPr>
              <w:t>23 Nov – 4 Dec</w:t>
            </w:r>
          </w:p>
        </w:tc>
        <w:tc>
          <w:tcPr>
            <w:tcW w:type="dxa" w:w="7344"/>
          </w:tcPr>
          <w:p>
            <w:pPr>
              <w:keepNext/>
              <w:spacing w:after="40"/>
            </w:pPr>
            <w:r>
              <w:rPr>
                <w:rFonts w:ascii="Times New Roman" w:hAnsi="Times New Roman"/>
                <w:sz w:val="20"/>
              </w:rPr>
              <w:t>Final report and presentation</w:t>
            </w:r>
          </w:p>
        </w:tc>
      </w:tr>
      <w:tr>
        <w:trPr>
          <w:cantSplit/>
        </w:trPr>
        <w:tc>
          <w:tcPr>
            <w:tcW w:type="dxa" w:w="2016"/>
          </w:tcPr>
          <w:p>
            <w:pPr>
              <w:spacing w:after="40"/>
            </w:pPr>
            <w:r>
              <w:rPr>
                <w:rFonts w:ascii="Times New Roman" w:hAnsi="Times New Roman"/>
                <w:sz w:val="20"/>
              </w:rPr>
              <w:t>8 Dec</w:t>
            </w:r>
          </w:p>
        </w:tc>
        <w:tc>
          <w:tcPr>
            <w:tcW w:type="dxa" w:w="7344"/>
          </w:tcPr>
          <w:p>
            <w:pPr>
              <w:spacing w:after="40"/>
            </w:pPr>
            <w:r>
              <w:rPr>
                <w:rFonts w:ascii="Times New Roman" w:hAnsi="Times New Roman"/>
                <w:sz w:val="20"/>
              </w:rPr>
              <w:t>Final due</w:t>
            </w:r>
          </w:p>
        </w:tc>
      </w:tr>
    </w:tbl>
    <w:p>
      <w:pPr>
        <w:spacing w:after="40" w:before="0"/>
      </w:pPr>
    </w:p>
    <w:p>
      <w:pPr>
        <w:spacing w:after="120" w:before="0"/>
      </w:pPr>
      <w:r>
        <w:rPr>
          <w:rFonts w:ascii="Times New Roman" w:hAnsi="Times New Roman"/>
          <w:b w:val="0"/>
          <w:i/>
          <w:sz w:val="20"/>
        </w:rPr>
        <w:t>Generated 2026-10-26 by build_interim_report_live.py from interim.py, the same source as the interim presentation.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Times New Roman" w:hAnsi="Times New Roman"/>
      <w:sz w:val="24"/>
    </w:rPr>
  </w:style>
  <w:style w:type="paragraph" w:styleId="ListBullet2">
    <w:name w:val="List Bullet 2"/>
    <w:basedOn w:val="Normal"/>
    <w:uiPriority w:val="99"/>
    <w:unhideWhenUsed/>
    <w:rsid w:val="00326F90"/>
    <w:pPr>
      <w:numPr>
        <w:numId w:val="2"/>
      </w:numPr>
      <w:spacing w:after="80"/>
      <w:contextualSpacing/>
    </w:pPr>
    <w:rPr>
      <w:rFonts w:ascii="Times New Roman" w:hAnsi="Times New Roman"/>
      <w:sz w:val="24"/>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