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center"/>
      </w:pPr>
      <w:r>
        <w:rPr>
          <w:rFonts w:ascii="Times New Roman" w:hAnsi="Times New Roman"/>
          <w:b/>
          <w:i w:val="0"/>
          <w:sz w:val="28"/>
        </w:rPr>
        <w:t>Mars Global Mosaic: Mapping Lava Flows, Fluvial Channels, and Impact Craters in Visible and Infrared</w:t>
      </w:r>
    </w:p>
    <w:p>
      <w:pPr>
        <w:spacing w:after="40" w:before="0"/>
        <w:jc w:val="center"/>
      </w:pPr>
      <w:r>
        <w:rPr>
          <w:rFonts w:ascii="Times New Roman" w:hAnsi="Times New Roman"/>
          <w:b w:val="0"/>
          <w:i w:val="0"/>
          <w:sz w:val="24"/>
        </w:rPr>
        <w:t>REMOTE SENSING 2026 OCN 4704  ·  Logan Edwards</w:t>
      </w:r>
    </w:p>
    <w:p>
      <w:pPr>
        <w:spacing w:after="280" w:before="0"/>
        <w:jc w:val="center"/>
      </w:pPr>
      <w:r>
        <w:rPr>
          <w:rFonts w:ascii="Times New Roman" w:hAnsi="Times New Roman"/>
          <w:b w:val="0"/>
          <w:i/>
          <w:sz w:val="24"/>
        </w:rPr>
        <w:t>Interim Report  ·  status as of 16 October 2026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1. Project Investigators</w:t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4"/>
        </w:rPr>
        <w:t>Logan Edwards, REMOTE SENSING 2026 OCN 4704.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2. Project Goals</w:t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4"/>
        </w:rPr>
        <w:t>Assemble one co-registered visible and thermal-infrared mosaic of Mars in ArcGIS Pro, over the ±60° band the THEMIS night mosaic covers (86.6% of the surface), and use it to map lava flows, fluvial channels and impact craters.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One co-registered stack: Viking visible colour, THEMIS day and night infrared, HRSC/MOLA topography, on a single grid over ±60°.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Map and classify the three landform families from it, in a type area first (Ius Chasma) and then across ±60°.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Test whether thermal infrared separates surfaces that visible light cannot.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Score every product against something it never saw: held-out hand labels, the IAU crater gazetteer, and the USGS geologic map.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3. Relevant Spectral Bands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  <w:cantSplit/>
        </w:trPr>
        <w:tc>
          <w:tcPr>
            <w:tcW w:type="dxa" w:w="2394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Band or product</w:t>
            </w:r>
          </w:p>
        </w:tc>
        <w:tc>
          <w:tcPr>
            <w:tcW w:type="dxa" w:w="1741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Wavelength</w:t>
            </w:r>
          </w:p>
        </w:tc>
        <w:tc>
          <w:tcPr>
            <w:tcW w:type="dxa" w:w="653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Cell</w:t>
            </w:r>
          </w:p>
        </w:tc>
        <w:tc>
          <w:tcPr>
            <w:tcW w:type="dxa" w:w="4571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What it contributes</w:t>
            </w:r>
          </w:p>
        </w:tc>
      </w:tr>
      <w:tr>
        <w:trPr>
          <w:cantSplit/>
        </w:trPr>
        <w:tc>
          <w:tcPr>
            <w:tcW w:type="dxa" w:w="239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Viking MDIM 2.1 R, G, B</w:t>
            </w:r>
          </w:p>
        </w:tc>
        <w:tc>
          <w:tcPr>
            <w:tcW w:type="dxa" w:w="174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visible, ~0.4–0.7 µm</w:t>
            </w:r>
          </w:p>
        </w:tc>
        <w:tc>
          <w:tcPr>
            <w:tcW w:type="dxa" w:w="653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232 m</w:t>
            </w:r>
          </w:p>
        </w:tc>
        <w:tc>
          <w:tcPr>
            <w:tcW w:type="dxa" w:w="457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Albedo: bright dust against dark basalt. Keeps real regional differences (§28.10).</w:t>
            </w:r>
          </w:p>
        </w:tc>
      </w:tr>
      <w:tr>
        <w:trPr>
          <w:cantSplit/>
        </w:trPr>
        <w:tc>
          <w:tcPr>
            <w:tcW w:type="dxa" w:w="239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THEMIS Day IR (v12)</w:t>
            </w:r>
          </w:p>
        </w:tc>
        <w:tc>
          <w:tcPr>
            <w:tcW w:type="dxa" w:w="174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thermal IR, 6.8–14.9 µm</w:t>
            </w:r>
          </w:p>
        </w:tc>
        <w:tc>
          <w:tcPr>
            <w:tcW w:type="dxa" w:w="653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100 m</w:t>
            </w:r>
          </w:p>
        </w:tc>
        <w:tc>
          <w:tcPr>
            <w:tcW w:type="dxa" w:w="457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Daytime temperature: bright in visible = cool by day (r −0.49 at Ius, §18.3).</w:t>
            </w:r>
          </w:p>
        </w:tc>
      </w:tr>
      <w:tr>
        <w:trPr>
          <w:cantSplit/>
        </w:trPr>
        <w:tc>
          <w:tcPr>
            <w:tcW w:type="dxa" w:w="239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THEMIS Night IR (v14, ±60°)</w:t>
            </w:r>
          </w:p>
        </w:tc>
        <w:tc>
          <w:tcPr>
            <w:tcW w:type="dxa" w:w="174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thermal IR, 6.8–14.9 µm</w:t>
            </w:r>
          </w:p>
        </w:tc>
        <w:tc>
          <w:tcPr>
            <w:tcW w:type="dxa" w:w="653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100 m</w:t>
            </w:r>
          </w:p>
        </w:tc>
        <w:tc>
          <w:tcPr>
            <w:tcW w:type="dxa" w:w="457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Night temperature: rock holds heat. The most independent band, |r| ≤ 0.12 (§18.3).</w:t>
            </w:r>
          </w:p>
        </w:tc>
      </w:tr>
      <w:tr>
        <w:trPr>
          <w:cantSplit/>
        </w:trPr>
        <w:tc>
          <w:tcPr>
            <w:tcW w:type="dxa" w:w="239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HRSC/MOLA blended DEM</w:t>
            </w:r>
          </w:p>
        </w:tc>
        <w:tc>
          <w:tcPr>
            <w:tcW w:type="dxa" w:w="174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altimetry + stereo</w:t>
            </w:r>
          </w:p>
        </w:tc>
        <w:tc>
          <w:tcPr>
            <w:tcW w:type="dxa" w:w="653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200 m</w:t>
            </w:r>
          </w:p>
        </w:tc>
        <w:tc>
          <w:tcPr>
            <w:tcW w:type="dxa" w:w="457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Slope in degrees, local relief, hillshade, flow routing, closed-depression depth (§20).</w:t>
            </w:r>
          </w:p>
        </w:tc>
      </w:tr>
      <w:tr>
        <w:trPr>
          <w:cantSplit/>
        </w:trPr>
        <w:tc>
          <w:tcPr>
            <w:tcW w:type="dxa" w:w="239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Diurnal contrast index</w:t>
            </w:r>
          </w:p>
        </w:tc>
        <w:tc>
          <w:tcPr>
            <w:tcW w:type="dxa" w:w="174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day − night, relative</w:t>
            </w:r>
          </w:p>
        </w:tc>
        <w:tc>
          <w:tcPr>
            <w:tcW w:type="dxa" w:w="653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100 m</w:t>
            </w:r>
          </w:p>
        </w:tc>
        <w:tc>
          <w:tcPr>
            <w:tcW w:type="dxa" w:w="457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 local material discriminator inside one area; not thermal inertia, not planet-wide (§24, §28.10).</w:t>
            </w:r>
          </w:p>
        </w:tc>
      </w:tr>
    </w:tbl>
    <w:p>
      <w:pPr>
        <w:spacing w:after="40" w:before="0"/>
      </w:pPr>
    </w:p>
    <w:p>
      <w:pPr>
        <w:spacing w:after="80" w:before="0"/>
      </w:pPr>
      <w:r>
        <w:rPr>
          <w:rFonts w:ascii="Times New Roman" w:hAnsi="Times New Roman"/>
          <w:b w:val="0"/>
          <w:i w:val="0"/>
          <w:sz w:val="24"/>
        </w:rPr>
        <w:t>Correlation between the five image bands over the Ius Chasma type area (PROJECT-KNOWLEDGE.md §18.3):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  <w:cantSplit/>
        </w:trPr>
        <w:tc>
          <w:tcPr>
            <w:tcW w:type="dxa" w:w="2047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r</w:t>
            </w:r>
          </w:p>
        </w:tc>
        <w:tc>
          <w:tcPr>
            <w:tcW w:type="dxa" w:w="1462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Viking R</w:t>
            </w:r>
          </w:p>
        </w:tc>
        <w:tc>
          <w:tcPr>
            <w:tcW w:type="dxa" w:w="1462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Viking G</w:t>
            </w:r>
          </w:p>
        </w:tc>
        <w:tc>
          <w:tcPr>
            <w:tcW w:type="dxa" w:w="1462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Viking B</w:t>
            </w:r>
          </w:p>
        </w:tc>
        <w:tc>
          <w:tcPr>
            <w:tcW w:type="dxa" w:w="1462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Day IR</w:t>
            </w:r>
          </w:p>
        </w:tc>
        <w:tc>
          <w:tcPr>
            <w:tcW w:type="dxa" w:w="1462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Night IR</w:t>
            </w:r>
          </w:p>
        </w:tc>
      </w:tr>
      <w:tr>
        <w:trPr>
          <w:cantSplit/>
        </w:trPr>
        <w:tc>
          <w:tcPr>
            <w:tcW w:type="dxa" w:w="204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Viking R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+0.960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+0.925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−0.486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−0.121</w:t>
            </w:r>
          </w:p>
        </w:tc>
      </w:tr>
      <w:tr>
        <w:trPr>
          <w:cantSplit/>
        </w:trPr>
        <w:tc>
          <w:tcPr>
            <w:tcW w:type="dxa" w:w="204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Viking G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+0.960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+0.993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−0.496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−0.085</w:t>
            </w:r>
          </w:p>
        </w:tc>
      </w:tr>
      <w:tr>
        <w:trPr>
          <w:cantSplit/>
        </w:trPr>
        <w:tc>
          <w:tcPr>
            <w:tcW w:type="dxa" w:w="204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Viking B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+0.925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+0.993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−0.488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−0.068</w:t>
            </w:r>
          </w:p>
        </w:tc>
      </w:tr>
      <w:tr>
        <w:trPr>
          <w:cantSplit/>
        </w:trPr>
        <w:tc>
          <w:tcPr>
            <w:tcW w:type="dxa" w:w="204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Day IR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−0.486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−0.496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−0.488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+0.105</w:t>
            </w:r>
          </w:p>
        </w:tc>
      </w:tr>
      <w:tr>
        <w:trPr>
          <w:cantSplit/>
        </w:trPr>
        <w:tc>
          <w:tcPr>
            <w:tcW w:type="dxa" w:w="204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Night IR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−0.121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−0.085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−0.068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+0.105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</w:tr>
    </w:tbl>
    <w:p>
      <w:pPr>
        <w:spacing w:after="40" w:before="0"/>
      </w:pP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4"/>
        </w:rPr>
        <w:t>Three visible bands are one dimension (r 0.93–0.99); day IR adds a second, night IR a third. Effective dimensionality ≈ 3: the measured case for fusing them.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4. Project Tasks and Percent Complete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  <w:cantSplit/>
        </w:trPr>
        <w:tc>
          <w:tcPr>
            <w:tcW w:type="dxa" w:w="527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#</w:t>
            </w:r>
          </w:p>
        </w:tc>
        <w:tc>
          <w:tcPr>
            <w:tcW w:type="dxa" w:w="2637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Task</w:t>
            </w:r>
          </w:p>
        </w:tc>
        <w:tc>
          <w:tcPr>
            <w:tcW w:type="dxa" w:w="4614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Where it stands</w:t>
            </w:r>
          </w:p>
        </w:tc>
        <w:tc>
          <w:tcPr>
            <w:tcW w:type="dxa" w:w="791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13 Sep</w:t>
            </w:r>
          </w:p>
        </w:tc>
        <w:tc>
          <w:tcPr>
            <w:tcW w:type="dxa" w:w="791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Now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Scope, targets and type area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Ius Chasma and Athabasca Valles type areas; ±60° extent decided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90%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Raster acquisition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Three globals + THEMIS Night IR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100%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Statistics, stretches, pyramids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Done: all products overviewed, the four source globals in 26 min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70%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Grouped mosaic viewer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Done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100%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DEM terrain derivatives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Rebuilt in degrees, type area and ±60°; WARNING 000869 gone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80%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Image-gradient products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Renamed Gradient_*; not used further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70%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Jezero context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Hosted services only; the dead HiRISE link removed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Classification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±60° SVM on hand-drawn labels, 200 m: 73.8%, κ 0.58 held out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CRS harmonisation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Done: one 100 m / 200 m grid over ±60°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15%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Visible + IR composite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Done: type area; 7-band ±60° stack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5%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Landform digitising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Classes ready and empty; candidates reviewable; validation sheet ready; 512 training polygons drawn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Crater inventory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Robbins catalogue in the project (385,049); 465,354 closed depressions ≥ 1 km at ±60°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Map layouts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14 layouts, from none, with graticules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Report and presentations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Interim deck and report are living builds from one source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25%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</w:tbl>
    <w:p>
      <w:pPr>
        <w:spacing w:after="40" w:before="0"/>
      </w:pP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5. Processing Completed Since the Last Report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  <w:cantSplit/>
        </w:trPr>
        <w:tc>
          <w:tcPr>
            <w:tcW w:type="dxa" w:w="1239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When</w:t>
            </w:r>
          </w:p>
        </w:tc>
        <w:tc>
          <w:tcPr>
            <w:tcW w:type="dxa" w:w="3854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What</w:t>
            </w:r>
          </w:p>
        </w:tc>
        <w:tc>
          <w:tcPr>
            <w:tcW w:type="dxa" w:w="3304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Outcome</w:t>
            </w:r>
          </w:p>
        </w:tc>
        <w:tc>
          <w:tcPr>
            <w:tcW w:type="dxa" w:w="964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KB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18 Sep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Night IR acquired; type-area stack; slope on a metric grid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Four inputs on one 100 m grid, 100% co-valid; slope in degrees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§15–20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19 Sep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±60° grids and diurnal contrast index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15.2 bn px in 36.3 min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§28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19 Sep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Channel and crater candidates, Ius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2,610 channels; 1,685 closed depressions in 49 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§25–26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19 Sep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Basins at ±60°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5,144 ≥ 20 km in 48 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§28.11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24–30 Sep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Global composites in the Pro GUI (desktop)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First successes: 2 h 52 m, 3 h 10 m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§29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29 Sep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Hand-drawn training polygons; SVMs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Four classes; two ±60° maps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§29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 Oct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The first two SVM maps checked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Tile artefact; mostly elevation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§30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3 Oct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Corrected stack; SVM scored held out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73.5%, κ 0.58 (5 × 5)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§31–32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6–7 Oct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Backup to GitHub; class codes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Public repository; pixel = class code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§35–36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8 Oct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Reference data, Athabasca, tests T1–T3 and T8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Thermal adds +1.3 points; ten layouts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§38–44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8–9 Oct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Digitising by review; tests T4–T7; validation sheet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No support for H1–H3 or a tributary count; 12 layouts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§46–51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13–15 Oct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Desktop: pyramids; ±60° craters and channels ≥ 1 km; 180° DEM fix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465,354 closed depressions, 969,822 channel segments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§53–54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14–16 Oct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200 m classification; T1 with Pro's SVM; the published map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73.8%, κ 0.58; thermal adds +1.36 and +1.97 points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§55–57</w:t>
            </w:r>
          </w:p>
        </w:tc>
      </w:tr>
    </w:tbl>
    <w:p>
      <w:pPr>
        <w:spacing w:after="40" w:before="0"/>
      </w:pP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6. Preliminary Results</w:t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4"/>
        </w:rPr>
        <w:t>Every map is a layout in the ArcGIS project, exported for this report; every number is quoted from the project knowledge base, whose section is given under each figure.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1. Where: the analysis extent and the two type areas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6786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global60_locat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8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±60° latitude, 86.6% of the planet: the THEMIS night mosaic's coverage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Ius Chasma, canyon and tributaries; Athabasca Valles, flood lava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Orange: volcanic units of the USGS geologic map, the lava-flow reference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§16, §41, §42, §43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2. The mosaic at ±60°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6728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global60_mosa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2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Four datasets on one 200 m grid for the first time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 failed global Composite Bands is solved: project first, then bound the extent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Night-IR coverage sets the extent: 86.6% of the planet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§16, §18, §28.1, §38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3. Ius Chasma type area: visible and night IR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keepNext/>
            </w:pPr>
            <w:r>
              <w:drawing>
                <wp:inline xmlns:a="http://schemas.openxmlformats.org/drawingml/2006/main" xmlns:pic="http://schemas.openxmlformats.org/drawingml/2006/picture">
                  <wp:extent cx="2926080" cy="174021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visibl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7402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</w:tcPr>
          <w:p>
            <w:pPr>
              <w:keepNext/>
            </w:pPr>
            <w:r>
              <w:drawing>
                <wp:inline xmlns:a="http://schemas.openxmlformats.org/drawingml/2006/main" xmlns:pic="http://schemas.openxmlformats.org/drawingml/2006/picture">
                  <wp:extent cx="2926080" cy="174021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night_ir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7402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271–286°E, 6–13°S: canyon walls, plateau, Louros Valles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Same 100 m grid, every pixel valid in all five bands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Night IR correlates |r| ≤ 0.12 with every other band: information no other layer holds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§14.3, §18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4. Can the thermal pair map material across ±60°?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53249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bal60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2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Viking red separates the dusty provinces from the rocky ones by 47.67 DN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THEMIS day and night IR: −0.19 and +0.02 DN; the index over seven provinces: −0.0009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Each province repeats the mosaic-wide mean and spread: contrast-stretched region by region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Planet-wide, visible albedo carries the material signal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§28.10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5. Checked against calibrated thermal inertia (TES)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6151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_chec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5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Viking albedo tracks real thermal inertia across the planet (r −0.36)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Night IR and the diurnal-contrast index: a weak signal inside regions only (|r| ≈ 0.1)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Day IR carries none; across the planet the THEMIS pair says nothing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So the material signal is in visible albedo; thermal IR adds little at 3 km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§41, §42.4, §43.1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6. Craters at ±60°: closed depressions ≥ 20 km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97753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global60_basin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7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5,144 basins found by fill depth in 48 s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68% of 117 IAU craters ≥ 100 km recovered, diameter within ±50%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Diameter error median +2.2%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Misses breached craters by construction: they are not closed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§28.11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7. Closed depressions ≥ 1 km across ±60°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341818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global60_depressi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8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465,354 closed depressions ≥ 1 km, from an 11-hour run on the desktop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Against Robbins: 15.3% are catalogued craters at ≥ 1 km, 62.2% at ≥ 5 km, 83.1% at ≥ 20 km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Below ~5 km their density follows the DEM's sharpness, not the craters (r −0.11)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A map of large craters and a list of prompts, not a crater inventory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§53.4, §53.6, §54.4, §55.4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8. Channels across ±60°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37105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global60_channel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1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969,822 routed channel segments; orders 3–5 drawn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60.5% of stream cells discarded as fill artefact (Ius alone: 56%)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89.8% lie on ground under 2°: plateau channels are DEM noise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No channel reference exists at ±60°, so the network is not scored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§53.4, §53.6, §54.4, §55.4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9. Ius Chasma: candidates to digitise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353481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ius_digitis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4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Fill raised the canyon floor 2,077 m; 56% of the first channel network was artefact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188 channel candidates are steep and rock-floored: the place to start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1,685 closed depressions ≥ 1 km: only 11% match a catalogued (Robbins) crater, so they are prompts, not a crater count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§25, §26, §42.3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10. Athabasca Valles: the second type area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310574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athabasca_digitisin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Flood lava once mapped as a water channel; the USGS map calls it Late Amazonian volcanic (lAv)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Same 100 m stack, terrain and candidates as Ius: 3,283 channels, 409 rock-floored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Catalogued craters: 1,122 per million km² on lAv, against 1,760 and 2,183 on the older units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Calibrated TES inertia: the diurnal-contrast index does not track it (r ≈ 0); Viking albedo does (−0.55)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§41, §42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11. Landforms at ±60°, scored on labels the model never saw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92317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global60_landform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3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SVM on 512 hand-drawn polygons, split by whole 15° blocks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200 m, smoothed 11 × 11 (2.2 km): 73.8%, κ 0.58 held out (one class everywhere: 58.6%)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Halving the cell bought no accuracy: 69.9% raw at 200 m, 70.5% at 400 m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Normal Ground and cratered terrain are solid; lava tube is not (2% user's)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§31.3, §55.3, §57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12. The landform classes against the USGS geologic map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48010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8_enrichmen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0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Each cell: how much more often a class occurs in a unit group than across ±60° (×1 = no link)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"Lava tube" is not enriched on volcanic plains (×0.84) but on volcano flanks and aprons (×3.30, ×4.29)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76% of the volcanic plains come out Normal Ground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A coherent terrain map, not a lava-flow map: lava flows come from the geologic map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§43.2, §49, §57.1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13. Does thermal infrared improve the classification?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73108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abla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1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Slope and relief alone: 68.6%, κ 0.51 held out; all seven bands: 67.0%, κ 0.50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 thermal bands add +1.3 points (95% interval +0.6 to +2.2): real, but small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Without terrain, visible and thermal score below one class everywhere (58.6%)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 labelled classes are landforms, so terrain decides them; the thermal claim needs material labels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§40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14. The thermal gain, confirmed with ArcGIS Pro's own SVM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4963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_pr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6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Retrained with the published model's settings, without each band group, over the whole ±60°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Thermal adds +1.36 points at 200 m (+0.46 to +2.47) and +1.97 at 400 m (+1.08 to +3.35)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It helps craters and hills and hurts lava tube; dropping visible or both groups leaves the score tied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Terrain alone ties the score but makes a poor crater map: 34 of 124 crater polygons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§56, §56.1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15. Do the infrared mosaics show lava-flow edges Viking misses? (H1)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61518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5_margin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5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Profiles across the geologic map's lava contacts at Athabasca: does each band tell the units apart?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Every band does so only slightly more often than chance (10%): Viking red 12.3%, day IR 21.0%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Day IR leans toward H1, but the intervals overlap (difference +8.7 points, −1.7 to +18.1)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A 1:20 M map's contacts are kilometres wide: H1 is retested on margins digitised at 100 m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§47.2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16. Is the composite more stable than a single band? (H3)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49631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6_stabilit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6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Iso Cluster trained on the west and the east half of Ius, compared over the whole window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 composites are the least reproducible inputs: 0.40 and 0.38, against 0.61–0.89 for single bands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They give the smoothest maps, only just ahead of Viking (0.85 against 0.84)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H3 is not supported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§47.3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17. How many tributary orders does 100 m resolve? (Q5)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49631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7_order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6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Channel thresholds from 1 to 500 km² of catchment at Ius Chasma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 highest stream order follows the threshold: 5 at 1 km², 3 at 50 km², 2 at 500 km²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Only 30.8–36.7% of first-order streams lie on slopes ≥ 2°, at every threshold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 order count is a setting, not a property of the terrain: no answer the DEM supports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§47.4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18. Do volcanic channels differ from fluvial ones? (H2)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26937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4_channel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Channel candidates, Ius Chasma (fluvial) against Athabasca Valles (volcanic): 2,588 and 3,272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 volcanic channels are shallower, not steeper: median 1.4 against 10.2 m per km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Thermal response tells the two apart no better than chance (AUC 0.50)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H2 is not supported at this stage; the window, not the origin, sets the gradient; retested on reviewed channels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§51.1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19. Checking the first two classifications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408118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vm_check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1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29 Sep map follows its 4096-px processing tiles, not the terrain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30 Sep map is mostly elevation: elevation alone reproduces 62% of it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Both led to the corrected stack: no elevation band, slope in degrees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§30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7. Project Issues and Hurdles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The thermal signal is weak where it can be checked. </w:t>
      </w:r>
      <w:r>
        <w:rPr>
          <w:rFonts w:ascii="Times New Roman" w:hAnsi="Times New Roman"/>
          <w:sz w:val="24"/>
        </w:rPr>
        <w:t>Against calibrated TES thermal inertia, the THEMIS mosaics keep only a weak local signal (|r| ≈ 0.1 within 15° blocks) and none across the planet; Viking albedo tracks it (r −0.31 to −0.36). In the classification the thermal bands add 1.3–2.0 points, with two classifiers (§40.1, §42.4, §43.1, §56).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The landform classes are terrain classes. </w:t>
      </w:r>
      <w:r>
        <w:rPr>
          <w:rFonts w:ascii="Times New Roman" w:hAnsi="Times New Roman"/>
          <w:sz w:val="24"/>
        </w:rPr>
        <w:t>Slope and relief alone match all seven bands; against the geologic map the classes sit where terrain puts them, and "lava tube" marks volcano flanks, not lava plains (§40.1, §43.2).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Lava flows come from the geologic map. </w:t>
      </w:r>
      <w:r>
        <w:rPr>
          <w:rFonts w:ascii="Times New Roman" w:hAnsi="Times New Roman"/>
          <w:sz w:val="24"/>
        </w:rPr>
        <w:t>Volcanic plains are not separable from other plains in these bands; a fifth "volcanic" class tested below chance. The USGS map's volcanic units are the lava-flow reference (§43.3, §44).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Closed depressions are not a crater count. </w:t>
      </w:r>
      <w:r>
        <w:rPr>
          <w:rFonts w:ascii="Times New Roman" w:hAnsi="Times New Roman"/>
          <w:sz w:val="24"/>
        </w:rPr>
        <w:t>Of the candidates ≥ 1 km, 11–13% in the type areas and 15.3% across ±60° are catalogued craters; from 5 km up most are (62.2%). Robbins (385,049 craters) is the crater reference (§42.3, §54.4).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Four hypotheses tested, none supported. </w:t>
      </w:r>
      <w:r>
        <w:rPr>
          <w:rFonts w:ascii="Times New Roman" w:hAnsi="Times New Roman"/>
          <w:sz w:val="24"/>
        </w:rPr>
        <w:t>No band separates the geologic map's lava contacts much better than chance (the map is too coarse to settle H1); the composite's classes are the least reproducible input (H3); no channel threshold keeps first-order streams on real slopes (Q5); the volcanic window's channels are shallower, and thermal response separates nothing (H2, stage 1) (§47, §51).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Digitising has not started. </w:t>
      </w:r>
      <w:r>
        <w:rPr>
          <w:rFonts w:ascii="Times New Roman" w:hAnsi="Times New Roman"/>
          <w:sz w:val="24"/>
        </w:rPr>
        <w:t>The three landform classes are ready and empty in both type areas; candidates can now be accepted or rejected in the attribute table (§46). It is the critical path, and only judgement can do it.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250 GB on one USB drive. </w:t>
      </w:r>
      <w:r>
        <w:rPr>
          <w:rFonts w:ascii="Times New Roman" w:hAnsi="Times New Roman"/>
          <w:sz w:val="24"/>
        </w:rPr>
        <w:t>Reads cap near 112 MB/s, and the drive has dropped off mid-write; big outputs are built on internal disk first (§2.2, §36.4).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Solved since September. </w:t>
      </w:r>
      <w:r>
        <w:rPr>
          <w:rFonts w:ascii="Times New Roman" w:hAnsi="Times New Roman"/>
          <w:sz w:val="24"/>
        </w:rPr>
        <w:t>Three coordinate frames, the z-factor defect, four failed global composites, the missing night mosaic, a defective DEM column at 180° (§15–20, §54).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8. Next Steps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Digitise Ius Chasma and Athabasca Valles: accept or reject the machine candidates, then draw what they miss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Score the machine candidates against the reviewed features: the validation sheet (layout 14)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Hypothesis H2 again, on reviewed channels with their origin set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Deep learning past the first detector: scored on the held-out polygons, it beats always naming Crater (87.6% against 71.1%) but never names the two rare classes (§66.2)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Flow margins in visible against infrared at Athabasca, retested on digitised margins: hypothesis H1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  <w:cantSplit/>
        </w:trPr>
        <w:tc>
          <w:tcPr>
            <w:tcW w:type="dxa" w:w="2016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When</w:t>
            </w:r>
          </w:p>
        </w:tc>
        <w:tc>
          <w:tcPr>
            <w:tcW w:type="dxa" w:w="7344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What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8–25 Oct</w:t>
            </w:r>
          </w:p>
        </w:tc>
        <w:tc>
          <w:tcPr>
            <w:tcW w:type="dxa" w:w="734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Digitising by review starts; desktop runs done: pyramids, ±60° crater and channel pass, 200 m map, T1 in Pro, the deep-learning detector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26 Oct – 1 Nov</w:t>
            </w:r>
          </w:p>
        </w:tc>
        <w:tc>
          <w:tcPr>
            <w:tcW w:type="dxa" w:w="734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H1 and H2 on digitised features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mid-Nov</w:t>
            </w:r>
          </w:p>
        </w:tc>
        <w:tc>
          <w:tcPr>
            <w:tcW w:type="dxa" w:w="734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Interim presentation and report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14–22 Nov</w:t>
            </w:r>
          </w:p>
        </w:tc>
        <w:tc>
          <w:tcPr>
            <w:tcW w:type="dxa" w:w="734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Validation against the digitised landforms; data freeze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23 Nov – 4 Dec</w:t>
            </w:r>
          </w:p>
        </w:tc>
        <w:tc>
          <w:tcPr>
            <w:tcW w:type="dxa" w:w="734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Final report and presentation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8 Dec</w:t>
            </w:r>
          </w:p>
        </w:tc>
        <w:tc>
          <w:tcPr>
            <w:tcW w:type="dxa" w:w="734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Final due</w:t>
            </w:r>
          </w:p>
        </w:tc>
      </w:tr>
    </w:tbl>
    <w:p>
      <w:pPr>
        <w:spacing w:after="40" w:before="0"/>
      </w:pPr>
    </w:p>
    <w:p>
      <w:pPr>
        <w:spacing w:after="120" w:before="0"/>
      </w:pPr>
      <w:r>
        <w:rPr>
          <w:rFonts w:ascii="Times New Roman" w:hAnsi="Times New Roman"/>
          <w:b w:val="0"/>
          <w:i/>
          <w:sz w:val="20"/>
        </w:rPr>
        <w:t>Generated 2026-10-20 by build_interim_report_live.py from interim.py, the same source as the interim presentation.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/>
      <w:contextualSpacing/>
    </w:pPr>
    <w:rPr>
      <w:rFonts w:ascii="Times New Roman" w:hAnsi="Times New Roman"/>
      <w:sz w:val="24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