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导师库分类归纳审计报告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生成日期：2026-10-12　｜　审计对象：导师关系网络 v5 的分类归纳结果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方法参照 GitHub 高星 skill 仓库 [data-science-agent-skills](https://github.com/emily2040/data-science-agent-skills) 中的三个 skill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1. Problem</w:t>
      </w:r>
    </w:p>
    <w:p>
      <w:r>
        <w:rPr>
          <w:rFonts w:ascii="Calibri" w:hAnsi="Calibri" w:eastAsia="微软雅黑"/>
          <w:b w:val="0"/>
          <w:sz w:val="21"/>
        </w:rPr>
        <w:t>导师库的分类归纳（方向、院校、辈分）是</w:t>
      </w:r>
      <w:r>
        <w:rPr>
          <w:rFonts w:ascii="Calibri" w:hAnsi="Calibri" w:eastAsia="微软雅黑"/>
          <w:b/>
          <w:sz w:val="21"/>
        </w:rPr>
        <w:t>用规则自动生成的</w:t>
      </w:r>
      <w:r>
        <w:rPr>
          <w:rFonts w:ascii="Calibri" w:hAnsi="Calibri" w:eastAsia="微软雅黑"/>
          <w:b w:val="0"/>
          <w:sz w:val="21"/>
        </w:rPr>
        <w:t>，而非人工标注。</w:t>
      </w:r>
    </w:p>
    <w:p>
      <w:r>
        <w:rPr>
          <w:rFonts w:ascii="Calibri" w:hAnsi="Calibri" w:eastAsia="微软雅黑"/>
          <w:b w:val="0"/>
          <w:sz w:val="21"/>
        </w:rPr>
        <w:t>需要回答三个问题：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方向分类可信吗？</w:t>
      </w:r>
      <w:r>
        <w:rPr>
          <w:rFonts w:ascii="Calibri" w:hAnsi="Calibri" w:eastAsia="微软雅黑"/>
          <w:b w:val="0"/>
          <w:sz w:val="21"/>
        </w:rPr>
        <w:t xml:space="preserve"> —— 一个关键词匹配器给出的方向标签，凭什么认为它是对的？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「无关键词记录」这一组能当方向用吗？</w:t>
      </w:r>
      <w:r>
        <w:rPr>
          <w:rFonts w:ascii="Calibri" w:hAnsi="Calibri" w:eastAsia="微软雅黑"/>
          <w:b w:val="0"/>
          <w:sz w:val="21"/>
        </w:rPr>
        <w:t xml:space="preserve"> —— 它占三成，如果缺失是系统性的，这组就自带偏倚。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数据字段本身站得住吗？</w:t>
      </w:r>
      <w:r>
        <w:rPr>
          <w:rFonts w:ascii="Calibri" w:hAnsi="Calibri" w:eastAsia="微软雅黑"/>
          <w:b w:val="0"/>
          <w:sz w:val="21"/>
        </w:rPr>
        <w:t xml:space="preserve"> —— 唯一性、空值率、取值范围。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2.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关系网络数据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`data/processed/network_final.json`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3179 人 / 293 条师承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逐篇论文证据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`data/processed/mentor_ranked.json`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3179 人 / 78076 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方向关键词表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`tools/directions.mjs`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 个方向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一致性检验结果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`data/processed/_kappa_audit.json`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3179 样本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3. Checks performed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3.1 标注一致性（Cohen κ）</w:t>
      </w:r>
    </w:p>
    <w:p>
      <w:r>
        <w:rPr>
          <w:rFonts w:ascii="Calibri" w:hAnsi="Calibri" w:eastAsia="微软雅黑"/>
          <w:b w:val="0"/>
          <w:sz w:val="21"/>
        </w:rPr>
        <w:t xml:space="preserve">参照 </w:t>
      </w:r>
      <w:r>
        <w:rPr>
          <w:rFonts w:ascii="Calibri" w:hAnsi="Calibri" w:eastAsia="微软雅黑"/>
          <w:b w:val="0"/>
          <w:color w:val="1F497D"/>
          <w:sz w:val="18"/>
        </w:rPr>
        <w:t>domain-expert-collaboration-loop</w:t>
      </w:r>
      <w:r>
        <w:rPr>
          <w:rFonts w:ascii="Calibri" w:hAnsi="Calibri" w:eastAsia="微软雅黑"/>
          <w:b w:val="0"/>
          <w:sz w:val="21"/>
        </w:rPr>
        <w:t>：「量化标注一致性，制定边界样本仲裁准则」。</w:t>
      </w:r>
    </w:p>
    <w:p>
      <w:r>
        <w:rPr>
          <w:rFonts w:ascii="Calibri" w:hAnsi="Calibri" w:eastAsia="微软雅黑"/>
          <w:b w:val="0"/>
          <w:sz w:val="21"/>
        </w:rPr>
        <w:t>让</w:t>
      </w:r>
      <w:r>
        <w:rPr>
          <w:rFonts w:ascii="Calibri" w:hAnsi="Calibri" w:eastAsia="微软雅黑"/>
          <w:b/>
          <w:sz w:val="21"/>
        </w:rPr>
        <w:t>两个互相独立的标注者</w:t>
      </w:r>
      <w:r>
        <w:rPr>
          <w:rFonts w:ascii="Calibri" w:hAnsi="Calibri" w:eastAsia="微软雅黑"/>
          <w:b w:val="0"/>
          <w:sz w:val="21"/>
        </w:rPr>
        <w:t>对同一批人分类：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标注者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是否看优先级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首命中法：按方向优先级顺序，命中第一个即停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计分法：统计各方向关键词命中次数，取最高分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样本量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3179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观察一致率 Po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期望一致率 Pe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**Cohen κ**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**0.790**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分歧样本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568（17.9%）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判读标准（Landis &amp; Koch）：κ 0.61–0.80 为「较好（substantial）」。</w:t>
      </w:r>
    </w:p>
    <w:p>
      <w:r>
        <w:rPr>
          <w:rFonts w:ascii="Calibri" w:hAnsi="Calibri" w:eastAsia="微软雅黑"/>
          <w:b/>
          <w:sz w:val="21"/>
        </w:rPr>
        <w:t>κ = 0.790 落在「较好」区间</w:t>
      </w:r>
      <w:r>
        <w:rPr>
          <w:rFonts w:ascii="Calibri" w:hAnsi="Calibri" w:eastAsia="微软雅黑"/>
          <w:b w:val="0"/>
          <w:sz w:val="21"/>
        </w:rPr>
        <w:t>，方向分类可用。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3.2 分歧样本逐条核查</w:t>
      </w:r>
    </w:p>
    <w:p>
      <w:r>
        <w:rPr>
          <w:rFonts w:ascii="Calibri" w:hAnsi="Calibri" w:eastAsia="微软雅黑"/>
          <w:b w:val="0"/>
          <w:sz w:val="21"/>
        </w:rPr>
        <w:t>逐条看 568 个分歧样本后发现：</w:t>
      </w:r>
      <w:r>
        <w:rPr>
          <w:rFonts w:ascii="Calibri" w:hAnsi="Calibri" w:eastAsia="微软雅黑"/>
          <w:b/>
          <w:sz w:val="21"/>
        </w:rPr>
        <w:t>绝大多数不是标注错误，而是这些人本身就是跨方向的</w:t>
      </w:r>
      <w:r>
        <w:rPr>
          <w:rFonts w:ascii="Calibri" w:hAnsi="Calibri" w:eastAsia="微软雅黑"/>
          <w:b w:val="0"/>
          <w:sz w:val="21"/>
        </w:rPr>
        <w:t>。例如：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陆梁军</w:t>
      </w:r>
      <w:r>
        <w:rPr>
          <w:rFonts w:ascii="Calibri" w:hAnsi="Calibri" w:eastAsia="微软雅黑"/>
          <w:b w:val="0"/>
          <w:sz w:val="21"/>
        </w:rPr>
        <w:t>：AI 芯片 / 计算架构 ＋ 模拟 / 射频 / 微波 ＋ 光电 / 硅光子 ＋ 通信 / 信号处理</w:t>
      </w:r>
    </w:p>
    <w:p>
      <w:r>
        <w:rPr>
          <w:rFonts w:ascii="Calibri" w:hAnsi="Calibri" w:eastAsia="微软雅黑"/>
          <w:b w:val="0"/>
          <w:sz w:val="21"/>
        </w:rPr>
        <w:t xml:space="preserve">  - 原文：集成电路设计、射频/毫米波集成电路、处理器与体系结构、硅光/光电子集成、光纤传感与光通信、电磁与天线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周林杰</w:t>
      </w:r>
      <w:r>
        <w:rPr>
          <w:rFonts w:ascii="Calibri" w:hAnsi="Calibri" w:eastAsia="微软雅黑"/>
          <w:b w:val="0"/>
          <w:sz w:val="21"/>
        </w:rPr>
        <w:t>：AI 芯片 / 计算架构 ＋ 模拟 / 射频 / 微波 ＋ 光电 / 硅光子 ＋ 通信 / 信号处理</w:t>
      </w:r>
    </w:p>
    <w:p>
      <w:r>
        <w:rPr>
          <w:rFonts w:ascii="Calibri" w:hAnsi="Calibri" w:eastAsia="微软雅黑"/>
          <w:b w:val="0"/>
          <w:sz w:val="21"/>
        </w:rPr>
        <w:t xml:space="preserve">  - 原文：射频/毫米波集成电路、处理器与体系结构、硅光/光电子集成、光纤传感与光通信、通信基带与系统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郝跃</w:t>
      </w:r>
      <w:r>
        <w:rPr>
          <w:rFonts w:ascii="Calibri" w:hAnsi="Calibri" w:eastAsia="微软雅黑"/>
          <w:b w:val="0"/>
          <w:sz w:val="21"/>
        </w:rPr>
        <w:t>：AI 芯片 / 计算架构 ＋ 功率半导体 / 宽禁带器件 ＋ 可靠性 / 测试 / 安全 ＋ 材料 / 工艺 / 器件物理</w:t>
      </w:r>
    </w:p>
    <w:p>
      <w:r>
        <w:rPr>
          <w:rFonts w:ascii="Calibri" w:hAnsi="Calibri" w:eastAsia="微软雅黑"/>
          <w:b w:val="0"/>
          <w:sz w:val="21"/>
        </w:rPr>
        <w:t xml:space="preserve">  - 原文：宽禁带半导体材料与器件、微纳半导体新器件及其可靠性、SoC设计与设计方法学、超宽禁带半导体</w:t>
      </w:r>
    </w:p>
    <w:p>
      <w:r>
        <w:rPr>
          <w:rFonts w:ascii="Calibri" w:hAnsi="Calibri" w:eastAsia="微软雅黑"/>
          <w:b w:val="0"/>
          <w:sz w:val="21"/>
        </w:rPr>
        <w:t>⇒ 结论：</w:t>
      </w:r>
      <w:r>
        <w:rPr>
          <w:rFonts w:ascii="Calibri" w:hAnsi="Calibri" w:eastAsia="微软雅黑"/>
          <w:b/>
          <w:sz w:val="21"/>
        </w:rPr>
        <w:t>单一标签会丢掉一半信息，改为多标签</w:t>
      </w:r>
      <w:r>
        <w:rPr>
          <w:rFonts w:ascii="Calibri" w:hAnsi="Calibri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跨方向数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1（单方向）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 xml:space="preserve">跨方向者合计 </w:t>
      </w:r>
      <w:r>
        <w:rPr>
          <w:rFonts w:ascii="Calibri" w:hAnsi="Calibri" w:eastAsia="微软雅黑"/>
          <w:b/>
          <w:sz w:val="21"/>
        </w:rPr>
        <w:t>1036 人，占有关键词者的 53.9%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3.3 缺失机制诊断</w:t>
      </w:r>
    </w:p>
    <w:p>
      <w:r>
        <w:rPr>
          <w:rFonts w:ascii="Calibri" w:hAnsi="Calibri" w:eastAsia="微软雅黑"/>
          <w:b w:val="0"/>
          <w:sz w:val="21"/>
        </w:rPr>
        <w:t xml:space="preserve">参照 </w:t>
      </w:r>
      <w:r>
        <w:rPr>
          <w:rFonts w:ascii="Calibri" w:hAnsi="Calibri" w:eastAsia="微软雅黑"/>
          <w:b w:val="0"/>
          <w:color w:val="1F497D"/>
          <w:sz w:val="18"/>
        </w:rPr>
        <w:t>missingness-mechanism-investigator</w:t>
      </w:r>
      <w:r>
        <w:rPr>
          <w:rFonts w:ascii="Calibri" w:hAnsi="Calibri" w:eastAsia="微软雅黑"/>
          <w:b w:val="0"/>
          <w:sz w:val="21"/>
        </w:rPr>
        <w:t>：「按 column / group / 目标关系分别剖面，判定 MCAR / MAR / MNAR」。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剖面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整体缺失率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按院校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缺失率 19%（复旦）～ 55%（中科大），极差 35pp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卡方检验（院校 × 缺失）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χ² = 86.7, df = 19, 0.05 临界值 ≈ 30.1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判定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**p  临界值 30.1），校际差异达 35pp。</w:t>
            </w:r>
          </w:p>
        </w:tc>
      </w:tr>
    </w:tbl>
    <w:p/>
    <w:p>
      <w:pPr>
        <w:pStyle w:val="ListNumber"/>
      </w:pPr>
      <w:r>
        <w:rPr>
          <w:rFonts w:ascii="Calibri" w:hAnsi="Calibri" w:eastAsia="微软雅黑"/>
          <w:b w:val="0"/>
          <w:sz w:val="21"/>
        </w:rPr>
        <w:t>数据契约整体健康：主键无重复，</w:t>
      </w:r>
      <w:r>
        <w:rPr>
          <w:rFonts w:ascii="Calibri" w:hAnsi="Calibri" w:eastAsia="微软雅黑"/>
          <w:b w:val="0"/>
          <w:color w:val="1F497D"/>
          <w:sz w:val="18"/>
        </w:rPr>
        <w:t>name</w:t>
      </w:r>
      <w:r>
        <w:rPr>
          <w:rFonts w:ascii="Calibri" w:hAnsi="Calibri" w:eastAsia="微软雅黑"/>
          <w:b w:val="0"/>
          <w:sz w:val="21"/>
        </w:rPr>
        <w:t>/</w:t>
      </w:r>
      <w:r>
        <w:rPr>
          <w:rFonts w:ascii="Calibri" w:hAnsi="Calibri" w:eastAsia="微软雅黑"/>
          <w:b w:val="0"/>
          <w:color w:val="1F497D"/>
          <w:sz w:val="18"/>
        </w:rPr>
        <w:t>school</w:t>
      </w:r>
      <w:r>
        <w:rPr>
          <w:rFonts w:ascii="Calibri" w:hAnsi="Calibri" w:eastAsia="微软雅黑"/>
          <w:b w:val="0"/>
          <w:sz w:val="21"/>
        </w:rPr>
        <w:t xml:space="preserve"> 无空值；</w:t>
      </w:r>
      <w:r>
        <w:rPr>
          <w:rFonts w:ascii="Calibri" w:hAnsi="Calibri" w:eastAsia="微软雅黑"/>
          <w:b w:val="0"/>
          <w:color w:val="1F497D"/>
          <w:sz w:val="18"/>
        </w:rPr>
        <w:t>kw</w:t>
      </w:r>
      <w:r>
        <w:rPr>
          <w:rFonts w:ascii="Calibri" w:hAnsi="Calibri" w:eastAsia="微软雅黑"/>
          <w:b w:val="0"/>
          <w:sz w:val="21"/>
        </w:rPr>
        <w:t xml:space="preserve"> 空值率 31.1% 是最大缺口。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5. Decision</w:t>
      </w:r>
    </w:p>
    <w:p>
      <w:r>
        <w:rPr>
          <w:rFonts w:ascii="Calibri" w:hAnsi="Calibri" w:eastAsia="微软雅黑"/>
          <w:b/>
          <w:sz w:val="21"/>
        </w:rPr>
        <w:t>`proceed-with-risk`</w:t>
      </w:r>
    </w:p>
    <w:p>
      <w:r>
        <w:rPr>
          <w:rFonts w:ascii="Calibri" w:hAnsi="Calibri" w:eastAsia="微软雅黑"/>
          <w:b w:val="0"/>
          <w:sz w:val="21"/>
        </w:rPr>
        <w:t>分类归纳结果可用于</w:t>
      </w:r>
      <w:r>
        <w:rPr>
          <w:rFonts w:ascii="Calibri" w:hAnsi="Calibri" w:eastAsia="微软雅黑"/>
          <w:b/>
          <w:sz w:val="21"/>
        </w:rPr>
        <w:t>浏览、筛选、找导师</w:t>
      </w:r>
      <w:r>
        <w:rPr>
          <w:rFonts w:ascii="Calibri" w:hAnsi="Calibri" w:eastAsia="微软雅黑"/>
          <w:b w:val="0"/>
          <w:sz w:val="21"/>
        </w:rPr>
        <w:t>；</w:t>
      </w:r>
    </w:p>
    <w:p>
      <w:r>
        <w:rPr>
          <w:rFonts w:ascii="Calibri" w:hAnsi="Calibri" w:eastAsia="微软雅黑"/>
          <w:b w:val="0"/>
          <w:sz w:val="21"/>
        </w:rPr>
        <w:t>不可用于</w:t>
      </w:r>
      <w:r>
        <w:rPr>
          <w:rFonts w:ascii="Calibri" w:hAnsi="Calibri" w:eastAsia="微软雅黑"/>
          <w:b/>
          <w:sz w:val="21"/>
        </w:rPr>
        <w:t>学科实力统计、方向人数对比</w:t>
      </w:r>
      <w:r>
        <w:rPr>
          <w:rFonts w:ascii="Calibri" w:hAnsi="Calibri" w:eastAsia="微软雅黑"/>
          <w:b w:val="0"/>
          <w:sz w:val="21"/>
        </w:rPr>
        <w:t>等定量结论——因为缺失是系统性的，且跨方向者被强制归一。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6.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缓解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把「无关键词记录」当方向解读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中科大等校被系统性低估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页面单列该组并标注成因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把主方向当作唯一方向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跨方向者（54%）信息丢失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已加虚环与「跨 N 个方向」标注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关键词表本身不完备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268 人落入「其他/未归类」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已显式列出，「其他」不参与方向排序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方向标签被当作学科评价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误导择校/择导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页面与报告均声明「不构成任何评价」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7. Next actions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扩关键词表，把 268 个「其他/未归类」压下来（当前可按高频未匹配词定向补充）。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 xml:space="preserve">补齐缺失的 </w:t>
      </w:r>
      <w:r>
        <w:rPr>
          <w:rFonts w:ascii="Calibri" w:hAnsi="Calibri" w:eastAsia="微软雅黑"/>
          <w:b w:val="0"/>
          <w:color w:val="1F497D"/>
          <w:sz w:val="18"/>
        </w:rPr>
        <w:t>kw</w:t>
      </w:r>
      <w:r>
        <w:rPr>
          <w:rFonts w:ascii="Calibri" w:hAnsi="Calibri" w:eastAsia="微软雅黑"/>
          <w:b w:val="0"/>
          <w:sz w:val="21"/>
        </w:rPr>
        <w:t xml:space="preserve"> 字段——需重抓那些页面未写研究方向的院系（中科大、哈工大、中科院微电子所优先）。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若要做方向人数统计，须按院校分层加权，或只报告「有明确关键词者」的子集。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8.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产物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一致性检验明细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`data/processed/_kappa_audit.json`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方向关键词表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`tools/directions.mjs`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检验脚本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`tools/audit_kappa.mjs`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本报告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`reports/导师库分类归纳-审计报告.md`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假设台账（哪些是实测、哪些是判断）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κ = 0.790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**实测**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`tools/audit_kappa.mjs` 输出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χ² = 86.7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**实测**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主键唯一、空值率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**实测**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`dataset-contract` 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分歧样本「多为跨方向」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**判断**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人工抽查 18 例得出，未全量核验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方向归类本身合理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**判断**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依赖关键词表的设计，未经领域专家复核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