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583B4" w14:textId="6E582171" w:rsidR="00185272" w:rsidRPr="004E71E5" w:rsidRDefault="00185272" w:rsidP="000E75EA">
      <w:pPr>
        <w:pStyle w:val="Heading2"/>
        <w:rPr>
          <w:b/>
          <w:bCs/>
          <w:sz w:val="28"/>
          <w:szCs w:val="28"/>
          <w:u w:val="single"/>
          <w:lang w:val="en-US"/>
        </w:rPr>
      </w:pPr>
      <w:r w:rsidRPr="004E71E5">
        <w:rPr>
          <w:b/>
          <w:bCs/>
          <w:sz w:val="28"/>
          <w:szCs w:val="28"/>
          <w:u w:val="single"/>
          <w:lang w:val="en-US"/>
        </w:rPr>
        <w:t>AI PREDICTING HORM</w:t>
      </w:r>
      <w:r w:rsidR="004E71E5" w:rsidRPr="004E71E5">
        <w:rPr>
          <w:b/>
          <w:bCs/>
          <w:sz w:val="28"/>
          <w:szCs w:val="28"/>
          <w:u w:val="single"/>
          <w:lang w:val="en-US"/>
        </w:rPr>
        <w:t>O</w:t>
      </w:r>
      <w:r w:rsidRPr="004E71E5">
        <w:rPr>
          <w:b/>
          <w:bCs/>
          <w:sz w:val="28"/>
          <w:szCs w:val="28"/>
          <w:u w:val="single"/>
          <w:lang w:val="en-US"/>
        </w:rPr>
        <w:t xml:space="preserve">AL DISORDERS USING NON-INVASIVE LIFESTYLE </w:t>
      </w:r>
    </w:p>
    <w:p w14:paraId="6AC8141C" w14:textId="77777777" w:rsidR="000E75EA" w:rsidRDefault="000E75EA" w:rsidP="009964B2">
      <w:pPr>
        <w:rPr>
          <w:b/>
          <w:bCs/>
          <w:u w:val="single"/>
          <w:lang w:val="en-US"/>
        </w:rPr>
      </w:pPr>
    </w:p>
    <w:p w14:paraId="6D6FD19F" w14:textId="1832AA9D" w:rsidR="009964B2" w:rsidRPr="009964B2" w:rsidRDefault="00274659" w:rsidP="009964B2">
      <w:pPr>
        <w:rPr>
          <w:b/>
          <w:bCs/>
          <w:u w:val="single"/>
        </w:rPr>
      </w:pPr>
      <w:r w:rsidRPr="009964B2">
        <w:rPr>
          <w:b/>
          <w:bCs/>
          <w:u w:val="single"/>
          <w:lang w:val="en-US"/>
        </w:rPr>
        <w:t>(A)</w:t>
      </w:r>
      <w:r w:rsidR="009964B2" w:rsidRPr="009964B2">
        <w:rPr>
          <w:rFonts w:ascii="Arial" w:eastAsia="Times New Roman" w:hAnsi="Arial" w:cs="Arial"/>
          <w:b/>
          <w:bCs/>
          <w:kern w:val="0"/>
          <w:sz w:val="27"/>
          <w:szCs w:val="27"/>
          <w:u w:val="single"/>
          <w:lang w:eastAsia="en-IN"/>
          <w14:ligatures w14:val="none"/>
        </w:rPr>
        <w:t xml:space="preserve"> </w:t>
      </w:r>
      <w:r w:rsidR="009964B2" w:rsidRPr="009964B2">
        <w:rPr>
          <w:b/>
          <w:bCs/>
          <w:u w:val="single"/>
        </w:rPr>
        <w:t>Problem Identification — Domain and Motivation</w:t>
      </w:r>
    </w:p>
    <w:p w14:paraId="75C9B858" w14:textId="04B5C8F0" w:rsidR="009964B2" w:rsidRPr="009964B2" w:rsidRDefault="009964B2" w:rsidP="009964B2">
      <w:pPr>
        <w:rPr>
          <w:b/>
          <w:bCs/>
        </w:rPr>
      </w:pPr>
      <w:r>
        <w:rPr>
          <w:b/>
          <w:bCs/>
        </w:rPr>
        <w:t>1)</w:t>
      </w:r>
      <w:r w:rsidRPr="009964B2">
        <w:rPr>
          <w:b/>
          <w:bCs/>
        </w:rPr>
        <w:t>Application Domain &amp; Global Importance</w:t>
      </w:r>
    </w:p>
    <w:p w14:paraId="56B20446" w14:textId="77777777" w:rsidR="009964B2" w:rsidRPr="009964B2" w:rsidRDefault="009964B2" w:rsidP="009964B2">
      <w:r w:rsidRPr="009964B2">
        <w:t xml:space="preserve">The application domain centers on leveraging machine learning and statistical modeling to non-invasively identify, screen, and predict Metabolic Syndrome (MetS) and its cascading endocrine complications, such as thyroid pathologies and cardiovascular risks. MetS constitutes a critical global health crisis characterized by a cluster of interconnected metabolic abnormalities, including centripetal obesity, hypertension, hyperglycemia, and dyslipidemia. </w:t>
      </w:r>
    </w:p>
    <w:p w14:paraId="065AD876" w14:textId="77777777" w:rsidR="009964B2" w:rsidRPr="009964B2" w:rsidRDefault="009964B2" w:rsidP="009964B2">
      <w:r w:rsidRPr="009964B2">
        <w:t xml:space="preserve">According to peer-reviewed epidemiological evaluations and WHO/IDF reports, the global burden of MetS is staggering, with its estimated prevalence exceeding 1 billion individuals worldwide and continuing to escalate. Driven heavily by demographic transitions, the weighted prevalence of MetS within United States cohorts has climbed to over 34.7% among the general adult population, spiking drastically to nearly 48.6% in individuals aged 60 years or older. While historical prevalence rates within East Asian cohorts sat lower at roughly 12.6% to 13.7%, subsequent decades have recorded steep increases in metabolic diseases across developing economies, cementing MetS as a dominant precursor to Type 2 Diabetes Mellitus (T2DM), Cardiovascular Disease (CVD), and Chronic Kidney Disease (CKD). </w:t>
      </w:r>
    </w:p>
    <w:p w14:paraId="662ED0FA" w14:textId="5444177F" w:rsidR="009964B2" w:rsidRPr="009964B2" w:rsidRDefault="009964B2" w:rsidP="009964B2">
      <w:pPr>
        <w:rPr>
          <w:b/>
          <w:bCs/>
        </w:rPr>
      </w:pPr>
      <w:r>
        <w:rPr>
          <w:b/>
          <w:bCs/>
        </w:rPr>
        <w:t>2)</w:t>
      </w:r>
      <w:r w:rsidRPr="009964B2">
        <w:rPr>
          <w:b/>
          <w:bCs/>
        </w:rPr>
        <w:t>Stakeholder Identification &amp; Supported Decisions</w:t>
      </w:r>
    </w:p>
    <w:p w14:paraId="2D13E3CF" w14:textId="77777777" w:rsidR="009964B2" w:rsidRPr="009964B2" w:rsidRDefault="009964B2" w:rsidP="009964B2">
      <w:r w:rsidRPr="009964B2">
        <w:t>The primary stakeholders for this diagnostic infrastructure encompass primary care physicians, public health screening coordinators, and healthcare administrators managing high-volume physical examination environments. Traditional clinical diagnostic pipelines require highly invasive protocols—specifically fasting venipuncture blood draws—to assess biochemical indicators like fasting plasma glucose, high-density lipoprotein cholesterol, and triglycerides. These invasive frameworks impose significant cost burdens, demand heavy clinical processing time, and cause patient discomfort, rendering them largely inefficient for proactive, large-scale community screening campaigns.</w:t>
      </w:r>
    </w:p>
    <w:p w14:paraId="23C9A0EF" w14:textId="266E5A3D" w:rsidR="000E75EA" w:rsidRDefault="009964B2" w:rsidP="00001BB8">
      <w:r w:rsidRPr="009964B2">
        <w:t>The decision supported by this system is the early, low-cost identification and clinical triaging of high-risk MetS individuals using entirely non-invasive, anthropometric data (e.g., age, gender, Body Mass Index, systolic blood pressure, and diastolic blood pressure). By executing this classification at the point-of-care, the system enables clinicians to make rapid, evidence-based triage decisions, instantly flags individuals who require advanced diagnostic workups, and assists in prioritizing patients for early preventative lifestyle interventions or multidisciplinary care pathways.</w:t>
      </w:r>
    </w:p>
    <w:p w14:paraId="7D230C37" w14:textId="77777777" w:rsidR="000E75EA" w:rsidRPr="000E75EA" w:rsidRDefault="000E75EA" w:rsidP="00001BB8"/>
    <w:p w14:paraId="36ED21CA" w14:textId="0973351F" w:rsidR="00001BB8" w:rsidRDefault="00B015BA" w:rsidP="00001BB8">
      <w:pPr>
        <w:rPr>
          <w:b/>
          <w:bCs/>
          <w:u w:val="single"/>
        </w:rPr>
      </w:pPr>
      <w:r w:rsidRPr="00B015BA">
        <w:rPr>
          <w:b/>
          <w:bCs/>
          <w:u w:val="single"/>
        </w:rPr>
        <w:t>Research Gaps</w:t>
      </w:r>
    </w:p>
    <w:p w14:paraId="1B7659D7" w14:textId="732393E1" w:rsidR="00001BB8" w:rsidRPr="00001BB8" w:rsidRDefault="00001BB8" w:rsidP="00001BB8">
      <w:pPr>
        <w:rPr>
          <w:b/>
          <w:bCs/>
          <w:u w:val="single"/>
        </w:rPr>
      </w:pPr>
      <w:r w:rsidRPr="00001BB8">
        <w:t>From the critical analysis of the 15 reviewed literature entries, five key research gaps emerge in the current state of non-invasive metabolic and endocrine risk prediction:</w:t>
      </w:r>
    </w:p>
    <w:p w14:paraId="26613F02" w14:textId="01F7D412" w:rsidR="00001BB8" w:rsidRPr="00001BB8" w:rsidRDefault="00001BB8" w:rsidP="00001BB8">
      <w:pPr>
        <w:numPr>
          <w:ilvl w:val="0"/>
          <w:numId w:val="2"/>
        </w:numPr>
      </w:pPr>
      <w:r w:rsidRPr="00001BB8">
        <w:rPr>
          <w:b/>
          <w:bCs/>
        </w:rPr>
        <w:t>Limited Integration of Lifestyle and Non-Invasive Behavioral Factors:</w:t>
      </w:r>
      <w:r w:rsidRPr="00001BB8">
        <w:t xml:space="preserve"> Most existing predictive architectures rely heavily on invasive biochemical markers, clinical lab records, or medical imaging modalities [15]. While recent frameworks utilize routine anthropometrics or physical examination features, there is a limited emphasis on dynamically integrating </w:t>
      </w:r>
      <w:r w:rsidRPr="00001BB8">
        <w:lastRenderedPageBreak/>
        <w:t>continuous non-invasive lifestyle factors</w:t>
      </w:r>
      <w:r w:rsidR="00874730">
        <w:t xml:space="preserve"> </w:t>
      </w:r>
      <w:r w:rsidRPr="00001BB8">
        <w:t>such as detailed dietary habits, physical activity, sleep patterns, and stress indicators</w:t>
      </w:r>
      <w:r w:rsidR="00874730">
        <w:t xml:space="preserve"> </w:t>
      </w:r>
      <w:r w:rsidRPr="00001BB8">
        <w:t>directly into primary risk prediction models.</w:t>
      </w:r>
    </w:p>
    <w:p w14:paraId="7BBB0883" w14:textId="3868A9FF" w:rsidR="00001BB8" w:rsidRPr="00001BB8" w:rsidRDefault="00001BB8" w:rsidP="00001BB8">
      <w:pPr>
        <w:numPr>
          <w:ilvl w:val="0"/>
          <w:numId w:val="2"/>
        </w:numPr>
      </w:pPr>
      <w:r w:rsidRPr="00001BB8">
        <w:rPr>
          <w:b/>
          <w:bCs/>
        </w:rPr>
        <w:t>Lack of Personalized Feature Importance for Risk Stratification:</w:t>
      </w:r>
      <w:r w:rsidRPr="00001BB8">
        <w:t xml:space="preserve"> Existing machine learning and stacking ensemble models frequently process input parameters globally without providing individualized feature</w:t>
      </w:r>
      <w:r w:rsidR="00874730">
        <w:t xml:space="preserve"> </w:t>
      </w:r>
      <w:r w:rsidRPr="00001BB8">
        <w:t>weight attribution. The absence of fine</w:t>
      </w:r>
      <w:r w:rsidR="00874730">
        <w:t xml:space="preserve"> </w:t>
      </w:r>
      <w:r w:rsidRPr="00001BB8">
        <w:t>grained, personalized feature importance limits a clinician's ability to identify which specific lifestyle or physiological markers drive risk in a given patient, reducing the model's practical utility for targeted clinical triaging [10].</w:t>
      </w:r>
    </w:p>
    <w:p w14:paraId="51429328" w14:textId="42C34326" w:rsidR="00001BB8" w:rsidRPr="00001BB8" w:rsidRDefault="00001BB8" w:rsidP="00001BB8">
      <w:pPr>
        <w:numPr>
          <w:ilvl w:val="0"/>
          <w:numId w:val="2"/>
        </w:numPr>
      </w:pPr>
      <w:r w:rsidRPr="00001BB8">
        <w:rPr>
          <w:b/>
          <w:bCs/>
        </w:rPr>
        <w:t>Trade-offs in Model Explainability (XAI) and High Latency:</w:t>
      </w:r>
      <w:r w:rsidRPr="00001BB8">
        <w:t xml:space="preserve"> High</w:t>
      </w:r>
      <w:r w:rsidR="00874730">
        <w:t xml:space="preserve"> </w:t>
      </w:r>
      <w:r w:rsidRPr="00001BB8">
        <w:t>capacity deep learning and complex ensemble architectures (e.g., CNNs, XGBoost stacking) achieve superior diagnostic accuracy (&gt;91</w:t>
      </w:r>
      <w:r w:rsidR="00874730">
        <w:t>-</w:t>
      </w:r>
      <w:r w:rsidRPr="00001BB8">
        <w:t>98%) [3</w:t>
      </w:r>
      <w:r w:rsidR="00935845">
        <w:t>]</w:t>
      </w:r>
      <w:r w:rsidRPr="00001BB8">
        <w:t>, but frequently operate as opaque "black boxes". Furthermore, systematic reviews indicate that only a minority of studies (</w:t>
      </w:r>
      <w:r w:rsidR="00874730">
        <w:t>~</w:t>
      </w:r>
      <w:r w:rsidRPr="00001BB8">
        <w:t>25%) incorporate Explainable AI (XAI) frameworks like SHAP or LIME [12]; among those that do, post-hoc explanation generation often introduces computational latency that hinders real-time, point-of-care deployment</w:t>
      </w:r>
      <w:r w:rsidR="00004A2C">
        <w:t>.</w:t>
      </w:r>
    </w:p>
    <w:p w14:paraId="02145242" w14:textId="71246C46" w:rsidR="00001BB8" w:rsidRPr="00001BB8" w:rsidRDefault="00001BB8" w:rsidP="00001BB8">
      <w:pPr>
        <w:numPr>
          <w:ilvl w:val="0"/>
          <w:numId w:val="2"/>
        </w:numPr>
      </w:pPr>
      <w:r w:rsidRPr="00001BB8">
        <w:rPr>
          <w:b/>
          <w:bCs/>
        </w:rPr>
        <w:t>Poor Generalization and Overfitting Across Single-Center Cohorts:</w:t>
      </w:r>
      <w:r w:rsidRPr="00001BB8">
        <w:t xml:space="preserve"> A significant proportion of current literature relies heavily on geographically homogeneous samples, localized clinical registries, or overused public repositories (such as the Kaggle PCOS dataset) [4, 12]. Stacking classifiers and deep neural networks tuned on these restricted datasets show a high risk of overfitting, leading to marked performance degradation when evaluated across diverse demographic, multi-ethnic, or external clinical cohorts</w:t>
      </w:r>
      <w:r w:rsidR="00004A2C">
        <w:t>.</w:t>
      </w:r>
    </w:p>
    <w:p w14:paraId="1A7376C6" w14:textId="364E69A3" w:rsidR="00B015BA" w:rsidRDefault="00001BB8" w:rsidP="00B015BA">
      <w:pPr>
        <w:numPr>
          <w:ilvl w:val="0"/>
          <w:numId w:val="2"/>
        </w:numPr>
      </w:pPr>
      <w:r w:rsidRPr="00001BB8">
        <w:rPr>
          <w:b/>
          <w:bCs/>
        </w:rPr>
        <w:t>Inconsistent Model Benchmarking and Cross-Architecture Variance:</w:t>
      </w:r>
      <w:r w:rsidRPr="00001BB8">
        <w:t xml:space="preserve"> Existing studies exhibit high performance variance across different machine learning algorithms under identical evaluation settings [14]. For instance, certain traditional models (such as Support Vector Machines) experience severe degradation during cross-validation [14], while others struggle with non</w:t>
      </w:r>
      <w:r w:rsidR="00874730">
        <w:t xml:space="preserve"> </w:t>
      </w:r>
      <w:r w:rsidRPr="00001BB8">
        <w:t>linear feature interactions [3, 10].</w:t>
      </w:r>
      <w:r w:rsidR="005E0760">
        <w:t xml:space="preserve"> </w:t>
      </w:r>
      <w:r w:rsidRPr="00001BB8">
        <w:t>There remains a lack of standardized, multi-model benchmarking under unified pre-processing and cross</w:t>
      </w:r>
      <w:r w:rsidR="00874730">
        <w:t xml:space="preserve"> </w:t>
      </w:r>
      <w:r w:rsidRPr="00001BB8">
        <w:t>validation pipelines to establish definitive baseline superiority across non-invasive diagnostic settings.</w:t>
      </w:r>
    </w:p>
    <w:p w14:paraId="0406E959" w14:textId="77777777" w:rsidR="000E75EA" w:rsidRDefault="000E75EA" w:rsidP="000E75EA">
      <w:pPr>
        <w:ind w:left="720"/>
      </w:pPr>
    </w:p>
    <w:p w14:paraId="5ECF2CAF" w14:textId="0F15B134" w:rsidR="00B015BA" w:rsidRPr="00250D20" w:rsidRDefault="00BE2691" w:rsidP="00B015BA">
      <w:pPr>
        <w:rPr>
          <w:b/>
          <w:bCs/>
          <w:u w:val="single"/>
        </w:rPr>
      </w:pPr>
      <w:r w:rsidRPr="00250D20">
        <w:rPr>
          <w:b/>
          <w:bCs/>
          <w:u w:val="single"/>
        </w:rPr>
        <w:t xml:space="preserve">Literature </w:t>
      </w:r>
      <w:r w:rsidR="00277594">
        <w:rPr>
          <w:b/>
          <w:bCs/>
          <w:u w:val="single"/>
        </w:rPr>
        <w:t>Review</w:t>
      </w:r>
      <w:r w:rsidRPr="00250D20">
        <w:rPr>
          <w:b/>
          <w:bCs/>
          <w:u w:val="single"/>
        </w:rPr>
        <w:t xml:space="preserve"> Table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709"/>
        <w:gridCol w:w="1701"/>
        <w:gridCol w:w="1985"/>
        <w:gridCol w:w="1842"/>
        <w:gridCol w:w="1763"/>
      </w:tblGrid>
      <w:tr w:rsidR="00BC449E" w14:paraId="5354A79E" w14:textId="77777777" w:rsidTr="006756F2">
        <w:tc>
          <w:tcPr>
            <w:tcW w:w="1242" w:type="dxa"/>
          </w:tcPr>
          <w:p w14:paraId="36950417" w14:textId="07F80AE0" w:rsidR="00BC449E" w:rsidRPr="006756F2" w:rsidRDefault="009644B1" w:rsidP="00185272">
            <w:pPr>
              <w:rPr>
                <w:b/>
                <w:bCs/>
                <w:lang w:val="en-US"/>
              </w:rPr>
            </w:pPr>
            <w:r w:rsidRPr="006756F2">
              <w:rPr>
                <w:b/>
                <w:bCs/>
                <w:lang w:val="en-US"/>
              </w:rPr>
              <w:t>Ref.</w:t>
            </w:r>
          </w:p>
        </w:tc>
        <w:tc>
          <w:tcPr>
            <w:tcW w:w="709" w:type="dxa"/>
          </w:tcPr>
          <w:p w14:paraId="0DCAACB7" w14:textId="376AA95C" w:rsidR="00BC449E" w:rsidRPr="006756F2" w:rsidRDefault="009644B1" w:rsidP="00185272">
            <w:pPr>
              <w:rPr>
                <w:b/>
                <w:bCs/>
                <w:lang w:val="en-US"/>
              </w:rPr>
            </w:pPr>
            <w:r w:rsidRPr="006756F2">
              <w:rPr>
                <w:b/>
                <w:bCs/>
                <w:lang w:val="en-US"/>
              </w:rPr>
              <w:t>Year</w:t>
            </w:r>
          </w:p>
        </w:tc>
        <w:tc>
          <w:tcPr>
            <w:tcW w:w="1701" w:type="dxa"/>
          </w:tcPr>
          <w:p w14:paraId="3350B176" w14:textId="18455326" w:rsidR="00BC449E" w:rsidRPr="006756F2" w:rsidRDefault="009644B1" w:rsidP="00185272">
            <w:pPr>
              <w:rPr>
                <w:b/>
                <w:bCs/>
                <w:lang w:val="en-US"/>
              </w:rPr>
            </w:pPr>
            <w:r w:rsidRPr="006756F2">
              <w:rPr>
                <w:b/>
                <w:bCs/>
                <w:lang w:val="en-US"/>
              </w:rPr>
              <w:t>Dataset</w:t>
            </w:r>
          </w:p>
        </w:tc>
        <w:tc>
          <w:tcPr>
            <w:tcW w:w="1985" w:type="dxa"/>
          </w:tcPr>
          <w:p w14:paraId="27DEFEB1" w14:textId="77777777" w:rsidR="006756F2" w:rsidRDefault="009644B1" w:rsidP="00185272">
            <w:pPr>
              <w:rPr>
                <w:b/>
                <w:bCs/>
                <w:lang w:val="en-US"/>
              </w:rPr>
            </w:pPr>
            <w:r w:rsidRPr="006756F2">
              <w:rPr>
                <w:b/>
                <w:bCs/>
                <w:lang w:val="en-US"/>
              </w:rPr>
              <w:t>Method</w:t>
            </w:r>
          </w:p>
          <w:p w14:paraId="39B4D28F" w14:textId="3AECC219" w:rsidR="00BC449E" w:rsidRPr="006756F2" w:rsidRDefault="00843DB7" w:rsidP="00185272">
            <w:pPr>
              <w:rPr>
                <w:b/>
                <w:bCs/>
                <w:lang w:val="en-US"/>
              </w:rPr>
            </w:pPr>
            <w:r w:rsidRPr="006756F2">
              <w:rPr>
                <w:b/>
                <w:bCs/>
                <w:lang w:val="en-US"/>
              </w:rPr>
              <w:t>/Architecture</w:t>
            </w:r>
          </w:p>
        </w:tc>
        <w:tc>
          <w:tcPr>
            <w:tcW w:w="1842" w:type="dxa"/>
          </w:tcPr>
          <w:p w14:paraId="68FE97DB" w14:textId="2D114C75" w:rsidR="00BC449E" w:rsidRPr="006756F2" w:rsidRDefault="00843DB7" w:rsidP="00185272">
            <w:pPr>
              <w:rPr>
                <w:b/>
                <w:bCs/>
                <w:lang w:val="en-US"/>
              </w:rPr>
            </w:pPr>
            <w:r w:rsidRPr="006756F2">
              <w:rPr>
                <w:b/>
                <w:bCs/>
                <w:lang w:val="en-US"/>
              </w:rPr>
              <w:t>Key Metric&amp;Value</w:t>
            </w:r>
          </w:p>
        </w:tc>
        <w:tc>
          <w:tcPr>
            <w:tcW w:w="1763" w:type="dxa"/>
          </w:tcPr>
          <w:p w14:paraId="0A149995" w14:textId="328BC456" w:rsidR="00BC449E" w:rsidRPr="006756F2" w:rsidRDefault="00843DB7" w:rsidP="00185272">
            <w:pPr>
              <w:rPr>
                <w:b/>
                <w:bCs/>
                <w:lang w:val="en-US"/>
              </w:rPr>
            </w:pPr>
            <w:r w:rsidRPr="006756F2">
              <w:rPr>
                <w:b/>
                <w:bCs/>
                <w:lang w:val="en-US"/>
              </w:rPr>
              <w:t>Stated Limitation</w:t>
            </w:r>
          </w:p>
        </w:tc>
      </w:tr>
      <w:tr w:rsidR="00BC449E" w14:paraId="0A017706" w14:textId="77777777" w:rsidTr="006756F2">
        <w:tc>
          <w:tcPr>
            <w:tcW w:w="1242" w:type="dxa"/>
          </w:tcPr>
          <w:p w14:paraId="230926F0" w14:textId="04634062" w:rsidR="009D4332" w:rsidRPr="00FC1C6A" w:rsidRDefault="009D4332" w:rsidP="009D4332">
            <w:pPr>
              <w:rPr>
                <w:sz w:val="20"/>
                <w:szCs w:val="20"/>
              </w:rPr>
            </w:pPr>
            <w:r w:rsidRPr="00FC1C6A">
              <w:rPr>
                <w:sz w:val="20"/>
                <w:szCs w:val="20"/>
              </w:rPr>
              <w:t>[1]</w:t>
            </w:r>
          </w:p>
          <w:p w14:paraId="31278088" w14:textId="77777777" w:rsidR="009D4332" w:rsidRPr="00FC1C6A" w:rsidRDefault="009D4332" w:rsidP="009D4332">
            <w:pPr>
              <w:rPr>
                <w:sz w:val="20"/>
                <w:szCs w:val="20"/>
              </w:rPr>
            </w:pPr>
            <w:r w:rsidRPr="00FC1C6A">
              <w:rPr>
                <w:i/>
                <w:iCs/>
                <w:sz w:val="20"/>
                <w:szCs w:val="20"/>
              </w:rPr>
              <w:t>(DOI: 10.2147/DMSO.S413829)</w:t>
            </w:r>
          </w:p>
          <w:p w14:paraId="71AF44F8" w14:textId="77777777" w:rsidR="00BC449E" w:rsidRPr="00FC1C6A" w:rsidRDefault="00BC449E" w:rsidP="0018527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6BF5BF80" w14:textId="35589FA3" w:rsidR="00BC449E" w:rsidRPr="00FC1C6A" w:rsidRDefault="009D4332" w:rsidP="00185272">
            <w:pPr>
              <w:rPr>
                <w:sz w:val="20"/>
                <w:szCs w:val="20"/>
                <w:lang w:val="en-US"/>
              </w:rPr>
            </w:pPr>
            <w:r w:rsidRPr="00FC1C6A">
              <w:rPr>
                <w:sz w:val="20"/>
                <w:szCs w:val="20"/>
                <w:lang w:val="en-US"/>
              </w:rPr>
              <w:t>2023</w:t>
            </w:r>
          </w:p>
        </w:tc>
        <w:tc>
          <w:tcPr>
            <w:tcW w:w="1701" w:type="dxa"/>
          </w:tcPr>
          <w:p w14:paraId="4DC0706F" w14:textId="4E46437C" w:rsidR="00BC449E" w:rsidRPr="00FC1C6A" w:rsidRDefault="005F3F0C" w:rsidP="00185272">
            <w:pPr>
              <w:rPr>
                <w:sz w:val="20"/>
                <w:szCs w:val="20"/>
                <w:lang w:val="en-US"/>
              </w:rPr>
            </w:pPr>
            <w:r w:rsidRPr="00FC1C6A">
              <w:rPr>
                <w:sz w:val="20"/>
                <w:szCs w:val="20"/>
              </w:rPr>
              <w:t>6,512 health checkup participants (Non-invasive anthropometric parameters)</w:t>
            </w:r>
          </w:p>
        </w:tc>
        <w:tc>
          <w:tcPr>
            <w:tcW w:w="1985" w:type="dxa"/>
          </w:tcPr>
          <w:p w14:paraId="6AA6318E" w14:textId="5A38B4E3" w:rsidR="00BC449E" w:rsidRPr="00FC1C6A" w:rsidRDefault="005F3F0C" w:rsidP="00185272">
            <w:pPr>
              <w:rPr>
                <w:sz w:val="20"/>
                <w:szCs w:val="20"/>
                <w:lang w:val="en-US"/>
              </w:rPr>
            </w:pPr>
            <w:r w:rsidRPr="00FC1C6A">
              <w:rPr>
                <w:sz w:val="20"/>
                <w:szCs w:val="20"/>
              </w:rPr>
              <w:t>Random Forest, Decision Tree, Support Vector Machine, and Naive Bayes</w:t>
            </w:r>
          </w:p>
        </w:tc>
        <w:tc>
          <w:tcPr>
            <w:tcW w:w="1842" w:type="dxa"/>
          </w:tcPr>
          <w:p w14:paraId="04C80F9F" w14:textId="1030195B" w:rsidR="00BC449E" w:rsidRPr="00FC1C6A" w:rsidRDefault="005F3F0C" w:rsidP="00185272">
            <w:pPr>
              <w:rPr>
                <w:sz w:val="20"/>
                <w:szCs w:val="20"/>
                <w:lang w:val="en-US"/>
              </w:rPr>
            </w:pPr>
            <w:r w:rsidRPr="00FC1C6A">
              <w:rPr>
                <w:sz w:val="20"/>
                <w:szCs w:val="20"/>
              </w:rPr>
              <w:t>RF achieved AUC of 0.892, Sensitivity of 84.5%</w:t>
            </w:r>
          </w:p>
        </w:tc>
        <w:tc>
          <w:tcPr>
            <w:tcW w:w="1763" w:type="dxa"/>
          </w:tcPr>
          <w:p w14:paraId="0A0C03FB" w14:textId="5A1F5C1B" w:rsidR="00BC449E" w:rsidRPr="00FC1C6A" w:rsidRDefault="005F3F0C" w:rsidP="00185272">
            <w:pPr>
              <w:rPr>
                <w:sz w:val="20"/>
                <w:szCs w:val="20"/>
                <w:lang w:val="en-US"/>
              </w:rPr>
            </w:pPr>
            <w:r w:rsidRPr="00FC1C6A">
              <w:rPr>
                <w:sz w:val="20"/>
                <w:szCs w:val="20"/>
              </w:rPr>
              <w:t>Lack of multi-ethnic external validation; static cross-sectional design.</w:t>
            </w:r>
          </w:p>
        </w:tc>
      </w:tr>
      <w:tr w:rsidR="00BC449E" w14:paraId="2959FD3F" w14:textId="77777777" w:rsidTr="006756F2">
        <w:tc>
          <w:tcPr>
            <w:tcW w:w="1242" w:type="dxa"/>
          </w:tcPr>
          <w:p w14:paraId="340E02A6" w14:textId="447CC95D" w:rsidR="006172E0" w:rsidRPr="00FC1C6A" w:rsidRDefault="006172E0" w:rsidP="006172E0">
            <w:pPr>
              <w:rPr>
                <w:sz w:val="20"/>
                <w:szCs w:val="20"/>
              </w:rPr>
            </w:pPr>
            <w:r w:rsidRPr="00FC1C6A">
              <w:rPr>
                <w:sz w:val="20"/>
                <w:szCs w:val="20"/>
              </w:rPr>
              <w:t>[2]</w:t>
            </w:r>
          </w:p>
          <w:p w14:paraId="18886071" w14:textId="77777777" w:rsidR="006172E0" w:rsidRPr="00FC1C6A" w:rsidRDefault="006172E0" w:rsidP="006172E0">
            <w:pPr>
              <w:rPr>
                <w:sz w:val="20"/>
                <w:szCs w:val="20"/>
              </w:rPr>
            </w:pPr>
            <w:r w:rsidRPr="00FC1C6A">
              <w:rPr>
                <w:i/>
                <w:iCs/>
                <w:sz w:val="20"/>
                <w:szCs w:val="20"/>
              </w:rPr>
              <w:t>(DOI: 10.3390/healthcare12242527)</w:t>
            </w:r>
          </w:p>
          <w:p w14:paraId="753FD58D" w14:textId="77777777" w:rsidR="00BC449E" w:rsidRPr="00FC1C6A" w:rsidRDefault="00BC449E" w:rsidP="0018527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2CF08127" w14:textId="64F7DE2E" w:rsidR="00BC449E" w:rsidRPr="00FC1C6A" w:rsidRDefault="006172E0" w:rsidP="00185272">
            <w:pPr>
              <w:rPr>
                <w:sz w:val="20"/>
                <w:szCs w:val="20"/>
                <w:lang w:val="en-US"/>
              </w:rPr>
            </w:pPr>
            <w:r w:rsidRPr="00FC1C6A">
              <w:rPr>
                <w:sz w:val="20"/>
                <w:szCs w:val="20"/>
                <w:lang w:val="en-US"/>
              </w:rPr>
              <w:t>2024</w:t>
            </w:r>
          </w:p>
        </w:tc>
        <w:tc>
          <w:tcPr>
            <w:tcW w:w="1701" w:type="dxa"/>
          </w:tcPr>
          <w:p w14:paraId="2197839F" w14:textId="4EB95940" w:rsidR="00BC449E" w:rsidRPr="00FC1C6A" w:rsidRDefault="00553DB1" w:rsidP="00185272">
            <w:pPr>
              <w:rPr>
                <w:sz w:val="20"/>
                <w:szCs w:val="20"/>
                <w:lang w:val="en-US"/>
              </w:rPr>
            </w:pPr>
            <w:r w:rsidRPr="00FC1C6A">
              <w:rPr>
                <w:sz w:val="20"/>
                <w:szCs w:val="20"/>
              </w:rPr>
              <w:t>Multicenter international cohort validation dataset for Metabolic Syndrome (MetS)</w:t>
            </w:r>
          </w:p>
        </w:tc>
        <w:tc>
          <w:tcPr>
            <w:tcW w:w="1985" w:type="dxa"/>
          </w:tcPr>
          <w:p w14:paraId="4CA1250E" w14:textId="3CCC3AEF" w:rsidR="00BC449E" w:rsidRPr="00FC1C6A" w:rsidRDefault="00553DB1" w:rsidP="00185272">
            <w:pPr>
              <w:rPr>
                <w:sz w:val="20"/>
                <w:szCs w:val="20"/>
                <w:lang w:val="en-US"/>
              </w:rPr>
            </w:pPr>
            <w:r w:rsidRPr="00FC1C6A">
              <w:rPr>
                <w:sz w:val="20"/>
                <w:szCs w:val="20"/>
              </w:rPr>
              <w:t>Comparative Supervised Machine Learning (LR, SVM, RF, XGBoost)</w:t>
            </w:r>
          </w:p>
        </w:tc>
        <w:tc>
          <w:tcPr>
            <w:tcW w:w="1842" w:type="dxa"/>
          </w:tcPr>
          <w:p w14:paraId="5D177010" w14:textId="12E97110" w:rsidR="00BC449E" w:rsidRPr="00FC1C6A" w:rsidRDefault="00553DB1" w:rsidP="00185272">
            <w:pPr>
              <w:rPr>
                <w:sz w:val="20"/>
                <w:szCs w:val="20"/>
                <w:lang w:val="en-US"/>
              </w:rPr>
            </w:pPr>
            <w:r w:rsidRPr="00FC1C6A">
              <w:rPr>
                <w:sz w:val="20"/>
                <w:szCs w:val="20"/>
              </w:rPr>
              <w:t>XGBoost achieved AUC of 0.915, Accuracy of 86.8%</w:t>
            </w:r>
          </w:p>
        </w:tc>
        <w:tc>
          <w:tcPr>
            <w:tcW w:w="1763" w:type="dxa"/>
          </w:tcPr>
          <w:p w14:paraId="6732F7D1" w14:textId="2FC5DB36" w:rsidR="00BC449E" w:rsidRPr="00FC1C6A" w:rsidRDefault="00553DB1" w:rsidP="00185272">
            <w:pPr>
              <w:rPr>
                <w:sz w:val="20"/>
                <w:szCs w:val="20"/>
                <w:lang w:val="en-US"/>
              </w:rPr>
            </w:pPr>
            <w:r w:rsidRPr="00FC1C6A">
              <w:rPr>
                <w:sz w:val="20"/>
                <w:szCs w:val="20"/>
              </w:rPr>
              <w:t>Lack of a standardized global clinical definition for MetS across cohorts.</w:t>
            </w:r>
          </w:p>
        </w:tc>
      </w:tr>
      <w:tr w:rsidR="00BC449E" w14:paraId="3F88F3A8" w14:textId="77777777" w:rsidTr="006756F2">
        <w:tc>
          <w:tcPr>
            <w:tcW w:w="1242" w:type="dxa"/>
          </w:tcPr>
          <w:p w14:paraId="691AF149" w14:textId="77777777" w:rsidR="00CA5BD4" w:rsidRPr="00FC1C6A" w:rsidRDefault="00CA5BD4" w:rsidP="00CA5BD4">
            <w:pPr>
              <w:rPr>
                <w:sz w:val="20"/>
                <w:szCs w:val="20"/>
              </w:rPr>
            </w:pPr>
            <w:r w:rsidRPr="00FC1C6A">
              <w:rPr>
                <w:sz w:val="20"/>
                <w:szCs w:val="20"/>
              </w:rPr>
              <w:t>[3]</w:t>
            </w:r>
          </w:p>
          <w:p w14:paraId="37448E43" w14:textId="43B7EDC8" w:rsidR="00CA5BD4" w:rsidRPr="00FC1C6A" w:rsidRDefault="00CA5BD4" w:rsidP="00CA5BD4">
            <w:pPr>
              <w:rPr>
                <w:sz w:val="20"/>
                <w:szCs w:val="20"/>
              </w:rPr>
            </w:pPr>
            <w:r w:rsidRPr="00FC1C6A">
              <w:rPr>
                <w:i/>
                <w:iCs/>
                <w:sz w:val="20"/>
                <w:szCs w:val="20"/>
              </w:rPr>
              <w:t xml:space="preserve">(DOI: </w:t>
            </w:r>
            <w:r w:rsidRPr="00FC1C6A">
              <w:rPr>
                <w:i/>
                <w:iCs/>
                <w:sz w:val="20"/>
                <w:szCs w:val="20"/>
              </w:rPr>
              <w:lastRenderedPageBreak/>
              <w:t>10.1016/j.compbiomed.2024.108500)</w:t>
            </w:r>
          </w:p>
          <w:p w14:paraId="7C551813" w14:textId="77777777" w:rsidR="00BC449E" w:rsidRPr="00FC1C6A" w:rsidRDefault="00BC449E" w:rsidP="0018527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678987F6" w14:textId="067329BF" w:rsidR="00BC449E" w:rsidRPr="00FC1C6A" w:rsidRDefault="00CA5BD4" w:rsidP="00185272">
            <w:pPr>
              <w:rPr>
                <w:sz w:val="20"/>
                <w:szCs w:val="20"/>
                <w:lang w:val="en-US"/>
              </w:rPr>
            </w:pPr>
            <w:r w:rsidRPr="00FC1C6A">
              <w:rPr>
                <w:sz w:val="20"/>
                <w:szCs w:val="20"/>
                <w:lang w:val="en-US"/>
              </w:rPr>
              <w:lastRenderedPageBreak/>
              <w:t>2025</w:t>
            </w:r>
          </w:p>
        </w:tc>
        <w:tc>
          <w:tcPr>
            <w:tcW w:w="1701" w:type="dxa"/>
          </w:tcPr>
          <w:p w14:paraId="2231DA56" w14:textId="54980DC2" w:rsidR="00BC449E" w:rsidRPr="00FC1C6A" w:rsidRDefault="00CA5BD4" w:rsidP="00185272">
            <w:pPr>
              <w:rPr>
                <w:sz w:val="20"/>
                <w:szCs w:val="20"/>
                <w:lang w:val="en-US"/>
              </w:rPr>
            </w:pPr>
            <w:r w:rsidRPr="00FC1C6A">
              <w:rPr>
                <w:sz w:val="20"/>
                <w:szCs w:val="20"/>
              </w:rPr>
              <w:t xml:space="preserve">6,190 instances from an adult </w:t>
            </w:r>
            <w:r w:rsidRPr="00FC1C6A">
              <w:rPr>
                <w:sz w:val="20"/>
                <w:szCs w:val="20"/>
              </w:rPr>
              <w:lastRenderedPageBreak/>
              <w:t>cross</w:t>
            </w:r>
            <w:r w:rsidR="00874730">
              <w:rPr>
                <w:sz w:val="20"/>
                <w:szCs w:val="20"/>
              </w:rPr>
              <w:t xml:space="preserve"> </w:t>
            </w:r>
            <w:r w:rsidRPr="00FC1C6A">
              <w:rPr>
                <w:sz w:val="20"/>
                <w:szCs w:val="20"/>
              </w:rPr>
              <w:t>sectional study in Jordan</w:t>
            </w:r>
          </w:p>
        </w:tc>
        <w:tc>
          <w:tcPr>
            <w:tcW w:w="1985" w:type="dxa"/>
          </w:tcPr>
          <w:p w14:paraId="6D91D348" w14:textId="2CBFC602" w:rsidR="00BC449E" w:rsidRPr="00FC1C6A" w:rsidRDefault="00FC1C6A" w:rsidP="00185272">
            <w:pPr>
              <w:rPr>
                <w:sz w:val="20"/>
                <w:szCs w:val="20"/>
                <w:lang w:val="en-US"/>
              </w:rPr>
            </w:pPr>
            <w:r w:rsidRPr="00FC1C6A">
              <w:rPr>
                <w:sz w:val="20"/>
                <w:szCs w:val="20"/>
              </w:rPr>
              <w:lastRenderedPageBreak/>
              <w:t xml:space="preserve">Hybrid ML framework stacking </w:t>
            </w:r>
            <w:r w:rsidRPr="00FC1C6A">
              <w:rPr>
                <w:sz w:val="20"/>
                <w:szCs w:val="20"/>
              </w:rPr>
              <w:lastRenderedPageBreak/>
              <w:t>RF and ANN into an XGBoost model using non-invasive features</w:t>
            </w:r>
          </w:p>
        </w:tc>
        <w:tc>
          <w:tcPr>
            <w:tcW w:w="1842" w:type="dxa"/>
          </w:tcPr>
          <w:p w14:paraId="6EC93EEB" w14:textId="2336E6F9" w:rsidR="00FC1C6A" w:rsidRPr="00FC1C6A" w:rsidRDefault="00B265C0" w:rsidP="00FC1C6A">
            <w:pPr>
              <w:rPr>
                <w:sz w:val="20"/>
                <w:szCs w:val="20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</m:oMath>
            <w:r w:rsidR="00FC1C6A" w:rsidRPr="00FC1C6A">
              <w:rPr>
                <w:sz w:val="20"/>
                <w:szCs w:val="20"/>
              </w:rPr>
              <w:t xml:space="preserve"> of 94.2%, RMSE of 0.015; model </w:t>
            </w:r>
            <w:r w:rsidR="00FC1C6A" w:rsidRPr="00FC1C6A">
              <w:rPr>
                <w:sz w:val="20"/>
                <w:szCs w:val="20"/>
              </w:rPr>
              <w:lastRenderedPageBreak/>
              <w:t>interpretability verified via LIME and SHAP</w:t>
            </w:r>
          </w:p>
          <w:p w14:paraId="0E635A49" w14:textId="77777777" w:rsidR="00BC449E" w:rsidRPr="00FC1C6A" w:rsidRDefault="00BC449E" w:rsidP="0018527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763" w:type="dxa"/>
          </w:tcPr>
          <w:p w14:paraId="148B5001" w14:textId="58B9B7B2" w:rsidR="00BC449E" w:rsidRPr="00FC1C6A" w:rsidRDefault="00FC1C6A" w:rsidP="00185272">
            <w:pPr>
              <w:rPr>
                <w:sz w:val="20"/>
                <w:szCs w:val="20"/>
                <w:lang w:val="en-US"/>
              </w:rPr>
            </w:pPr>
            <w:r w:rsidRPr="00FC1C6A">
              <w:rPr>
                <w:sz w:val="20"/>
                <w:szCs w:val="20"/>
              </w:rPr>
              <w:lastRenderedPageBreak/>
              <w:t xml:space="preserve">Standalone models suffer from </w:t>
            </w:r>
            <w:r w:rsidRPr="00FC1C6A">
              <w:rPr>
                <w:sz w:val="20"/>
                <w:szCs w:val="20"/>
              </w:rPr>
              <w:lastRenderedPageBreak/>
              <w:t>overfitting (ANN) or miss complex non-linear relationships.</w:t>
            </w:r>
          </w:p>
        </w:tc>
      </w:tr>
      <w:tr w:rsidR="00BC449E" w14:paraId="13DA31F9" w14:textId="77777777" w:rsidTr="006756F2">
        <w:tc>
          <w:tcPr>
            <w:tcW w:w="1242" w:type="dxa"/>
          </w:tcPr>
          <w:p w14:paraId="1CC37B44" w14:textId="7A1AE9E5" w:rsidR="004676CE" w:rsidRPr="00285351" w:rsidRDefault="004676CE" w:rsidP="004676CE">
            <w:pPr>
              <w:rPr>
                <w:sz w:val="20"/>
                <w:szCs w:val="20"/>
              </w:rPr>
            </w:pPr>
            <w:r w:rsidRPr="00285351">
              <w:rPr>
                <w:sz w:val="20"/>
                <w:szCs w:val="20"/>
              </w:rPr>
              <w:lastRenderedPageBreak/>
              <w:t>[4]</w:t>
            </w:r>
          </w:p>
          <w:p w14:paraId="00450506" w14:textId="6AC80321" w:rsidR="00BC449E" w:rsidRPr="00285351" w:rsidRDefault="005A3EC5" w:rsidP="00185272">
            <w:pPr>
              <w:rPr>
                <w:sz w:val="20"/>
                <w:szCs w:val="20"/>
                <w:lang w:val="en-US"/>
              </w:rPr>
            </w:pPr>
            <w:r w:rsidRPr="005A3EC5">
              <w:rPr>
                <w:sz w:val="20"/>
                <w:szCs w:val="20"/>
              </w:rPr>
              <w:t>(DOI: 10.1109/ICSSCNA68616.2026.11546759)</w:t>
            </w:r>
            <w:r w:rsidR="004676CE" w:rsidRPr="00285351">
              <w:rPr>
                <w:sz w:val="20"/>
                <w:szCs w:val="20"/>
                <w:lang w:val="en-US"/>
              </w:rPr>
              <w:t xml:space="preserve">             </w:t>
            </w:r>
          </w:p>
          <w:p w14:paraId="5A217B88" w14:textId="77777777" w:rsidR="004676CE" w:rsidRPr="00285351" w:rsidRDefault="004676CE" w:rsidP="00185272">
            <w:pPr>
              <w:rPr>
                <w:sz w:val="20"/>
                <w:szCs w:val="20"/>
                <w:lang w:val="en-US"/>
              </w:rPr>
            </w:pPr>
          </w:p>
          <w:p w14:paraId="03F83DD7" w14:textId="77777777" w:rsidR="004676CE" w:rsidRPr="00285351" w:rsidRDefault="004676CE" w:rsidP="0018527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6569115B" w14:textId="11C9B20F" w:rsidR="00BC449E" w:rsidRPr="00285351" w:rsidRDefault="004676CE" w:rsidP="00185272">
            <w:pPr>
              <w:rPr>
                <w:sz w:val="20"/>
                <w:szCs w:val="20"/>
                <w:lang w:val="en-US"/>
              </w:rPr>
            </w:pPr>
            <w:r w:rsidRPr="00285351">
              <w:rPr>
                <w:sz w:val="20"/>
                <w:szCs w:val="20"/>
                <w:lang w:val="en-US"/>
              </w:rPr>
              <w:t>2026</w:t>
            </w:r>
          </w:p>
        </w:tc>
        <w:tc>
          <w:tcPr>
            <w:tcW w:w="1701" w:type="dxa"/>
          </w:tcPr>
          <w:p w14:paraId="0ACBCF5E" w14:textId="5D1E276E" w:rsidR="00BC449E" w:rsidRPr="00285351" w:rsidRDefault="005A3EC5" w:rsidP="00185272">
            <w:pPr>
              <w:rPr>
                <w:sz w:val="20"/>
                <w:szCs w:val="20"/>
                <w:lang w:val="en-US"/>
              </w:rPr>
            </w:pPr>
            <w:r w:rsidRPr="005A3EC5">
              <w:rPr>
                <w:sz w:val="20"/>
                <w:szCs w:val="20"/>
              </w:rPr>
              <w:t>541 medical records with 30 clinical, hormonal, and ultrasound features (Kaggle PCOS dataset)</w:t>
            </w:r>
          </w:p>
        </w:tc>
        <w:tc>
          <w:tcPr>
            <w:tcW w:w="1985" w:type="dxa"/>
          </w:tcPr>
          <w:p w14:paraId="47DEED90" w14:textId="260C61C9" w:rsidR="00BC449E" w:rsidRPr="00285351" w:rsidRDefault="007E3C64" w:rsidP="00185272">
            <w:pPr>
              <w:rPr>
                <w:sz w:val="20"/>
                <w:szCs w:val="20"/>
                <w:lang w:val="en-US"/>
              </w:rPr>
            </w:pPr>
            <w:r w:rsidRPr="007E3C64">
              <w:rPr>
                <w:sz w:val="20"/>
                <w:szCs w:val="20"/>
              </w:rPr>
              <w:t>Stacking Classifier (SC) integrating AdaBoost, GBM, and XGBoost base learners with Logistic Regression meta-learner</w:t>
            </w:r>
          </w:p>
        </w:tc>
        <w:tc>
          <w:tcPr>
            <w:tcW w:w="1842" w:type="dxa"/>
          </w:tcPr>
          <w:p w14:paraId="4E4C91CA" w14:textId="14E368BE" w:rsidR="00BC449E" w:rsidRPr="00285351" w:rsidRDefault="007E3C64" w:rsidP="00185272">
            <w:pPr>
              <w:rPr>
                <w:sz w:val="20"/>
                <w:szCs w:val="20"/>
                <w:lang w:val="en-US"/>
              </w:rPr>
            </w:pPr>
            <w:r w:rsidRPr="007E3C64">
              <w:rPr>
                <w:sz w:val="20"/>
                <w:szCs w:val="20"/>
              </w:rPr>
              <w:t>Stacking ensemble achieved Accuracy of 91.74%, Precision of 93.55%, Recall of 81.56%, F1-Score of 86.57%, and ROC</w:t>
            </w:r>
            <w:r w:rsidR="00874730">
              <w:rPr>
                <w:sz w:val="20"/>
                <w:szCs w:val="20"/>
              </w:rPr>
              <w:t xml:space="preserve"> </w:t>
            </w:r>
            <w:r w:rsidRPr="007E3C64">
              <w:rPr>
                <w:sz w:val="20"/>
                <w:szCs w:val="20"/>
              </w:rPr>
              <w:t>AUC of 94.37%</w:t>
            </w:r>
          </w:p>
        </w:tc>
        <w:tc>
          <w:tcPr>
            <w:tcW w:w="1763" w:type="dxa"/>
          </w:tcPr>
          <w:p w14:paraId="30D5B7A7" w14:textId="7B69DC35" w:rsidR="005A7B8C" w:rsidRPr="005A7B8C" w:rsidRDefault="005A7B8C" w:rsidP="005A7B8C">
            <w:pPr>
              <w:rPr>
                <w:sz w:val="20"/>
                <w:szCs w:val="20"/>
              </w:rPr>
            </w:pPr>
            <w:r w:rsidRPr="005A7B8C">
              <w:rPr>
                <w:sz w:val="20"/>
                <w:szCs w:val="20"/>
              </w:rPr>
              <w:t>Heavy reliance on a small open</w:t>
            </w:r>
            <w:r w:rsidR="00874730">
              <w:rPr>
                <w:sz w:val="20"/>
                <w:szCs w:val="20"/>
              </w:rPr>
              <w:t xml:space="preserve"> </w:t>
            </w:r>
            <w:r w:rsidRPr="005A7B8C">
              <w:rPr>
                <w:sz w:val="20"/>
                <w:szCs w:val="20"/>
              </w:rPr>
              <w:t xml:space="preserve">source dataset; missing or inconsistent data in real-world deployment may affect prediction performance. </w:t>
            </w:r>
          </w:p>
          <w:p w14:paraId="6A81E279" w14:textId="7B335379" w:rsidR="00BC449E" w:rsidRPr="00285351" w:rsidRDefault="00BC449E" w:rsidP="00185272">
            <w:pPr>
              <w:rPr>
                <w:sz w:val="20"/>
                <w:szCs w:val="20"/>
                <w:lang w:val="en-US"/>
              </w:rPr>
            </w:pPr>
          </w:p>
        </w:tc>
      </w:tr>
      <w:tr w:rsidR="00BC449E" w14:paraId="06DA501F" w14:textId="77777777" w:rsidTr="006756F2">
        <w:tc>
          <w:tcPr>
            <w:tcW w:w="1242" w:type="dxa"/>
          </w:tcPr>
          <w:p w14:paraId="2A231962" w14:textId="5C251A64" w:rsidR="00491F7B" w:rsidRPr="009F47F5" w:rsidRDefault="00491F7B" w:rsidP="00491F7B">
            <w:pPr>
              <w:rPr>
                <w:sz w:val="20"/>
                <w:szCs w:val="20"/>
              </w:rPr>
            </w:pPr>
            <w:r w:rsidRPr="009F47F5">
              <w:rPr>
                <w:sz w:val="20"/>
                <w:szCs w:val="20"/>
              </w:rPr>
              <w:t>[5]</w:t>
            </w:r>
          </w:p>
          <w:p w14:paraId="34BBD428" w14:textId="348B8F87" w:rsidR="00BC449E" w:rsidRPr="009F47F5" w:rsidRDefault="00491F7B" w:rsidP="00185272">
            <w:pPr>
              <w:rPr>
                <w:sz w:val="20"/>
                <w:szCs w:val="20"/>
              </w:rPr>
            </w:pPr>
            <w:r w:rsidRPr="009F47F5">
              <w:rPr>
                <w:i/>
                <w:iCs/>
                <w:sz w:val="20"/>
                <w:szCs w:val="20"/>
              </w:rPr>
              <w:t>(DOI: 10.3389/fpubh.2024.1402911)</w:t>
            </w:r>
          </w:p>
        </w:tc>
        <w:tc>
          <w:tcPr>
            <w:tcW w:w="709" w:type="dxa"/>
          </w:tcPr>
          <w:p w14:paraId="24C6CCF0" w14:textId="5DC2B052" w:rsidR="00BC449E" w:rsidRPr="009F47F5" w:rsidRDefault="00491F7B" w:rsidP="00185272">
            <w:pPr>
              <w:rPr>
                <w:sz w:val="20"/>
                <w:szCs w:val="20"/>
                <w:lang w:val="en-US"/>
              </w:rPr>
            </w:pPr>
            <w:r w:rsidRPr="009F47F5">
              <w:rPr>
                <w:sz w:val="20"/>
                <w:szCs w:val="20"/>
                <w:lang w:val="en-US"/>
              </w:rPr>
              <w:t>2024</w:t>
            </w:r>
          </w:p>
        </w:tc>
        <w:tc>
          <w:tcPr>
            <w:tcW w:w="1701" w:type="dxa"/>
          </w:tcPr>
          <w:p w14:paraId="79B0D4D2" w14:textId="6B5F1B3F" w:rsidR="00BC449E" w:rsidRPr="009F47F5" w:rsidRDefault="00491F7B" w:rsidP="00185272">
            <w:pPr>
              <w:rPr>
                <w:sz w:val="20"/>
                <w:szCs w:val="20"/>
                <w:lang w:val="en-US"/>
              </w:rPr>
            </w:pPr>
            <w:r w:rsidRPr="009F47F5">
              <w:rPr>
                <w:sz w:val="20"/>
                <w:szCs w:val="20"/>
              </w:rPr>
              <w:t>12,340 participants from national health examination cohorts</w:t>
            </w:r>
          </w:p>
        </w:tc>
        <w:tc>
          <w:tcPr>
            <w:tcW w:w="1985" w:type="dxa"/>
          </w:tcPr>
          <w:p w14:paraId="0FE180FE" w14:textId="139B5EFF" w:rsidR="00BC449E" w:rsidRPr="009F47F5" w:rsidRDefault="00491F7B" w:rsidP="00185272">
            <w:pPr>
              <w:rPr>
                <w:sz w:val="20"/>
                <w:szCs w:val="20"/>
                <w:lang w:val="en-US"/>
              </w:rPr>
            </w:pPr>
            <w:r w:rsidRPr="009F47F5">
              <w:rPr>
                <w:sz w:val="20"/>
                <w:szCs w:val="20"/>
              </w:rPr>
              <w:t>LightGBM combined with SHAP feature explainability framework</w:t>
            </w:r>
          </w:p>
        </w:tc>
        <w:tc>
          <w:tcPr>
            <w:tcW w:w="1842" w:type="dxa"/>
          </w:tcPr>
          <w:p w14:paraId="591E37C2" w14:textId="10C7FC69" w:rsidR="00BC449E" w:rsidRPr="009F47F5" w:rsidRDefault="009F47F5" w:rsidP="00185272">
            <w:pPr>
              <w:rPr>
                <w:sz w:val="20"/>
                <w:szCs w:val="20"/>
                <w:lang w:val="en-US"/>
              </w:rPr>
            </w:pPr>
            <w:r w:rsidRPr="009F47F5">
              <w:rPr>
                <w:sz w:val="20"/>
                <w:szCs w:val="20"/>
              </w:rPr>
              <w:t>LightGBM model achieved AUC of 0.884, F1-score of 0.821</w:t>
            </w:r>
          </w:p>
        </w:tc>
        <w:tc>
          <w:tcPr>
            <w:tcW w:w="1763" w:type="dxa"/>
          </w:tcPr>
          <w:p w14:paraId="774E031C" w14:textId="3DDEB0B3" w:rsidR="00BC449E" w:rsidRPr="009F47F5" w:rsidRDefault="009F47F5" w:rsidP="00185272">
            <w:pPr>
              <w:rPr>
                <w:sz w:val="20"/>
                <w:szCs w:val="20"/>
                <w:lang w:val="en-US"/>
              </w:rPr>
            </w:pPr>
            <w:r w:rsidRPr="009F47F5">
              <w:rPr>
                <w:sz w:val="20"/>
                <w:szCs w:val="20"/>
              </w:rPr>
              <w:t>High intra</w:t>
            </w:r>
            <w:r w:rsidR="00874730">
              <w:rPr>
                <w:sz w:val="20"/>
                <w:szCs w:val="20"/>
              </w:rPr>
              <w:t xml:space="preserve"> </w:t>
            </w:r>
            <w:r w:rsidRPr="009F47F5">
              <w:rPr>
                <w:sz w:val="20"/>
                <w:szCs w:val="20"/>
              </w:rPr>
              <w:t>person blood pressure variability reduces predictive stability during screening.</w:t>
            </w:r>
          </w:p>
        </w:tc>
      </w:tr>
      <w:tr w:rsidR="00BC449E" w14:paraId="02B7747C" w14:textId="77777777" w:rsidTr="006756F2">
        <w:tc>
          <w:tcPr>
            <w:tcW w:w="1242" w:type="dxa"/>
          </w:tcPr>
          <w:p w14:paraId="54F99328" w14:textId="5D369577" w:rsidR="009F47F5" w:rsidRPr="00992FA7" w:rsidRDefault="009F47F5" w:rsidP="009F47F5">
            <w:pPr>
              <w:rPr>
                <w:sz w:val="20"/>
                <w:szCs w:val="20"/>
              </w:rPr>
            </w:pPr>
            <w:r w:rsidRPr="00992FA7">
              <w:rPr>
                <w:sz w:val="20"/>
                <w:szCs w:val="20"/>
              </w:rPr>
              <w:t>[6]</w:t>
            </w:r>
          </w:p>
          <w:p w14:paraId="1CBAA344" w14:textId="7CF5B937" w:rsidR="00BC449E" w:rsidRPr="00992FA7" w:rsidRDefault="005A7B8C" w:rsidP="00185272">
            <w:pPr>
              <w:rPr>
                <w:sz w:val="20"/>
                <w:szCs w:val="20"/>
              </w:rPr>
            </w:pPr>
            <w:r w:rsidRPr="005A7B8C">
              <w:rPr>
                <w:sz w:val="20"/>
                <w:szCs w:val="20"/>
              </w:rPr>
              <w:t>(DOI: 10.1109/ICSSS66939.2025.11346358)</w:t>
            </w:r>
          </w:p>
        </w:tc>
        <w:tc>
          <w:tcPr>
            <w:tcW w:w="709" w:type="dxa"/>
          </w:tcPr>
          <w:p w14:paraId="3F162DB0" w14:textId="01D95C68" w:rsidR="00BC449E" w:rsidRPr="00992FA7" w:rsidRDefault="009F47F5" w:rsidP="00185272">
            <w:pPr>
              <w:rPr>
                <w:sz w:val="20"/>
                <w:szCs w:val="20"/>
                <w:lang w:val="en-US"/>
              </w:rPr>
            </w:pPr>
            <w:r w:rsidRPr="00992FA7">
              <w:rPr>
                <w:sz w:val="20"/>
                <w:szCs w:val="20"/>
                <w:lang w:val="en-US"/>
              </w:rPr>
              <w:t>202</w:t>
            </w:r>
            <w:r w:rsidR="00A665F6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1701" w:type="dxa"/>
          </w:tcPr>
          <w:p w14:paraId="49C3B840" w14:textId="77777777" w:rsidR="00A665F6" w:rsidRPr="00A665F6" w:rsidRDefault="00A665F6" w:rsidP="00A665F6">
            <w:pPr>
              <w:rPr>
                <w:sz w:val="20"/>
                <w:szCs w:val="20"/>
              </w:rPr>
            </w:pPr>
            <w:r w:rsidRPr="00A665F6">
              <w:rPr>
                <w:sz w:val="20"/>
                <w:szCs w:val="20"/>
              </w:rPr>
              <w:t xml:space="preserve">Big data synthesizing multi-modal clinical, genetic, wearable device, chatbot logs, and medical imaging data </w:t>
            </w:r>
          </w:p>
          <w:p w14:paraId="50E38570" w14:textId="0ABAA11B" w:rsidR="00BC449E" w:rsidRPr="00992FA7" w:rsidRDefault="00BC449E" w:rsidP="0018527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31E15C73" w14:textId="29DECBB1" w:rsidR="00472FB2" w:rsidRPr="00472FB2" w:rsidRDefault="00472FB2" w:rsidP="00472FB2">
            <w:pPr>
              <w:rPr>
                <w:sz w:val="20"/>
                <w:szCs w:val="20"/>
              </w:rPr>
            </w:pPr>
            <w:r w:rsidRPr="00472FB2">
              <w:rPr>
                <w:sz w:val="20"/>
                <w:szCs w:val="20"/>
              </w:rPr>
              <w:t>Comprehensive review of ML, DL algorithms (CNNs), AI wearables, and AI</w:t>
            </w:r>
            <w:r w:rsidR="00874730">
              <w:rPr>
                <w:sz w:val="20"/>
                <w:szCs w:val="20"/>
              </w:rPr>
              <w:t xml:space="preserve"> </w:t>
            </w:r>
            <w:r w:rsidRPr="00472FB2">
              <w:rPr>
                <w:sz w:val="20"/>
                <w:szCs w:val="20"/>
              </w:rPr>
              <w:t xml:space="preserve">controlled clinical chatbots in women's health </w:t>
            </w:r>
          </w:p>
          <w:p w14:paraId="438304FC" w14:textId="7DEAC3B5" w:rsidR="00BC449E" w:rsidRPr="00992FA7" w:rsidRDefault="00BC449E" w:rsidP="0018527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842" w:type="dxa"/>
          </w:tcPr>
          <w:p w14:paraId="595EFC89" w14:textId="77777777" w:rsidR="00472FB2" w:rsidRPr="00472FB2" w:rsidRDefault="00472FB2" w:rsidP="00472FB2">
            <w:pPr>
              <w:rPr>
                <w:sz w:val="20"/>
                <w:szCs w:val="20"/>
              </w:rPr>
            </w:pPr>
            <w:r w:rsidRPr="00472FB2">
              <w:rPr>
                <w:sz w:val="20"/>
                <w:szCs w:val="20"/>
              </w:rPr>
              <w:t xml:space="preserve">High levels of diagnostic accuracy in interpreting mammograms, Pap smears, and ultrasound images for early detection </w:t>
            </w:r>
          </w:p>
          <w:p w14:paraId="14631596" w14:textId="1BF75DAA" w:rsidR="00BC449E" w:rsidRPr="00992FA7" w:rsidRDefault="00BC449E" w:rsidP="0018527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763" w:type="dxa"/>
          </w:tcPr>
          <w:p w14:paraId="383FCD65" w14:textId="0F095332" w:rsidR="00BC449E" w:rsidRPr="00992FA7" w:rsidRDefault="00472FB2" w:rsidP="00185272">
            <w:pPr>
              <w:rPr>
                <w:sz w:val="20"/>
                <w:szCs w:val="20"/>
                <w:lang w:val="en-US"/>
              </w:rPr>
            </w:pPr>
            <w:r w:rsidRPr="00472FB2">
              <w:rPr>
                <w:sz w:val="20"/>
                <w:szCs w:val="20"/>
              </w:rPr>
              <w:t>Concerns surrounding data inclusivity, algorithmic bias due to historical female underrepresentation in research, privacy risks, and unresolved ethical considerations.</w:t>
            </w:r>
          </w:p>
        </w:tc>
      </w:tr>
      <w:tr w:rsidR="00BC449E" w14:paraId="14489AEC" w14:textId="77777777" w:rsidTr="006756F2">
        <w:tc>
          <w:tcPr>
            <w:tcW w:w="1242" w:type="dxa"/>
          </w:tcPr>
          <w:p w14:paraId="135AA0A1" w14:textId="333C8D66" w:rsidR="00403B1A" w:rsidRPr="00506376" w:rsidRDefault="00403B1A" w:rsidP="00403B1A">
            <w:pPr>
              <w:rPr>
                <w:sz w:val="20"/>
                <w:szCs w:val="20"/>
              </w:rPr>
            </w:pPr>
            <w:r w:rsidRPr="00506376">
              <w:rPr>
                <w:sz w:val="20"/>
                <w:szCs w:val="20"/>
              </w:rPr>
              <w:t>[7]</w:t>
            </w:r>
          </w:p>
          <w:p w14:paraId="16D0F82A" w14:textId="77777777" w:rsidR="00403B1A" w:rsidRPr="00506376" w:rsidRDefault="00403B1A" w:rsidP="00403B1A">
            <w:pPr>
              <w:rPr>
                <w:sz w:val="20"/>
                <w:szCs w:val="20"/>
              </w:rPr>
            </w:pPr>
            <w:r w:rsidRPr="00506376">
              <w:rPr>
                <w:i/>
                <w:iCs/>
                <w:sz w:val="20"/>
                <w:szCs w:val="20"/>
              </w:rPr>
              <w:t>(DOI: 10.1016/j.jelectrocard.2023.03.004)</w:t>
            </w:r>
          </w:p>
          <w:p w14:paraId="52FC75E3" w14:textId="77777777" w:rsidR="00BC449E" w:rsidRPr="00506376" w:rsidRDefault="00BC449E" w:rsidP="0018527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3A437230" w14:textId="3A5A2952" w:rsidR="00BC449E" w:rsidRPr="00506376" w:rsidRDefault="00403B1A" w:rsidP="00185272">
            <w:pPr>
              <w:rPr>
                <w:sz w:val="20"/>
                <w:szCs w:val="20"/>
                <w:lang w:val="en-US"/>
              </w:rPr>
            </w:pPr>
            <w:r w:rsidRPr="00506376">
              <w:rPr>
                <w:sz w:val="20"/>
                <w:szCs w:val="20"/>
                <w:lang w:val="en-US"/>
              </w:rPr>
              <w:t>2023</w:t>
            </w:r>
          </w:p>
        </w:tc>
        <w:tc>
          <w:tcPr>
            <w:tcW w:w="1701" w:type="dxa"/>
          </w:tcPr>
          <w:p w14:paraId="48807B6C" w14:textId="3B54C034" w:rsidR="00BC449E" w:rsidRPr="00506376" w:rsidRDefault="00403B1A" w:rsidP="00185272">
            <w:pPr>
              <w:rPr>
                <w:sz w:val="20"/>
                <w:szCs w:val="20"/>
                <w:lang w:val="en-US"/>
              </w:rPr>
            </w:pPr>
            <w:r w:rsidRPr="00506376">
              <w:rPr>
                <w:sz w:val="20"/>
                <w:szCs w:val="20"/>
              </w:rPr>
              <w:t>3,115 community-dwelling adult subjects</w:t>
            </w:r>
          </w:p>
        </w:tc>
        <w:tc>
          <w:tcPr>
            <w:tcW w:w="1985" w:type="dxa"/>
          </w:tcPr>
          <w:p w14:paraId="040BABDD" w14:textId="75A90E37" w:rsidR="00BC449E" w:rsidRPr="00506376" w:rsidRDefault="00403B1A" w:rsidP="00185272">
            <w:pPr>
              <w:rPr>
                <w:sz w:val="20"/>
                <w:szCs w:val="20"/>
                <w:lang w:val="en-US"/>
              </w:rPr>
            </w:pPr>
            <w:r w:rsidRPr="00506376">
              <w:rPr>
                <w:sz w:val="20"/>
                <w:szCs w:val="20"/>
              </w:rPr>
              <w:t>Support Vector Machine (SVM) and Gradient Boosting Decision Trees (GBDT)</w:t>
            </w:r>
          </w:p>
        </w:tc>
        <w:tc>
          <w:tcPr>
            <w:tcW w:w="1842" w:type="dxa"/>
          </w:tcPr>
          <w:p w14:paraId="4ECCF7A7" w14:textId="4A73CBD5" w:rsidR="00BC449E" w:rsidRPr="00506376" w:rsidRDefault="00403B1A" w:rsidP="00185272">
            <w:pPr>
              <w:rPr>
                <w:sz w:val="20"/>
                <w:szCs w:val="20"/>
                <w:lang w:val="en-US"/>
              </w:rPr>
            </w:pPr>
            <w:r w:rsidRPr="00506376">
              <w:rPr>
                <w:sz w:val="20"/>
                <w:szCs w:val="20"/>
              </w:rPr>
              <w:t>GBDT achieved Accuracy of 84.1%, Sensitivity of 82.6%, ROC-AUC of 0.887</w:t>
            </w:r>
          </w:p>
        </w:tc>
        <w:tc>
          <w:tcPr>
            <w:tcW w:w="1763" w:type="dxa"/>
          </w:tcPr>
          <w:p w14:paraId="2845AE9E" w14:textId="6894F327" w:rsidR="00BC449E" w:rsidRPr="00506376" w:rsidRDefault="00506376" w:rsidP="00185272">
            <w:pPr>
              <w:rPr>
                <w:sz w:val="20"/>
                <w:szCs w:val="20"/>
                <w:lang w:val="en-US"/>
              </w:rPr>
            </w:pPr>
            <w:r w:rsidRPr="00506376">
              <w:rPr>
                <w:sz w:val="20"/>
                <w:szCs w:val="20"/>
              </w:rPr>
              <w:t>Small sample size in high</w:t>
            </w:r>
            <w:r w:rsidR="00874730">
              <w:rPr>
                <w:sz w:val="20"/>
                <w:szCs w:val="20"/>
              </w:rPr>
              <w:t xml:space="preserve"> </w:t>
            </w:r>
            <w:r w:rsidRPr="00506376">
              <w:rPr>
                <w:sz w:val="20"/>
                <w:szCs w:val="20"/>
              </w:rPr>
              <w:t>risk diabetic sub</w:t>
            </w:r>
            <w:r w:rsidR="00874730">
              <w:rPr>
                <w:sz w:val="20"/>
                <w:szCs w:val="20"/>
              </w:rPr>
              <w:t xml:space="preserve"> </w:t>
            </w:r>
            <w:r w:rsidRPr="00506376">
              <w:rPr>
                <w:sz w:val="20"/>
                <w:szCs w:val="20"/>
              </w:rPr>
              <w:t>cohorts.</w:t>
            </w:r>
          </w:p>
        </w:tc>
      </w:tr>
      <w:tr w:rsidR="00BC449E" w14:paraId="7E089184" w14:textId="77777777" w:rsidTr="006756F2">
        <w:tc>
          <w:tcPr>
            <w:tcW w:w="1242" w:type="dxa"/>
          </w:tcPr>
          <w:p w14:paraId="1D302D48" w14:textId="3B3D4D04" w:rsidR="00CA059F" w:rsidRPr="00510743" w:rsidRDefault="00CA059F" w:rsidP="00CA059F">
            <w:pPr>
              <w:rPr>
                <w:sz w:val="20"/>
                <w:szCs w:val="20"/>
              </w:rPr>
            </w:pPr>
            <w:r w:rsidRPr="00510743">
              <w:rPr>
                <w:sz w:val="20"/>
                <w:szCs w:val="20"/>
              </w:rPr>
              <w:t>[8]</w:t>
            </w:r>
          </w:p>
          <w:p w14:paraId="5C45F31A" w14:textId="77777777" w:rsidR="00CA059F" w:rsidRPr="00510743" w:rsidRDefault="00CA059F" w:rsidP="00CA059F">
            <w:pPr>
              <w:rPr>
                <w:sz w:val="20"/>
                <w:szCs w:val="20"/>
              </w:rPr>
            </w:pPr>
            <w:r w:rsidRPr="00510743">
              <w:rPr>
                <w:i/>
                <w:iCs/>
                <w:sz w:val="20"/>
                <w:szCs w:val="20"/>
              </w:rPr>
              <w:t>(DOI: 10.1016/j.maturitas.2024.107920)</w:t>
            </w:r>
          </w:p>
          <w:p w14:paraId="406C1A10" w14:textId="77777777" w:rsidR="00BC449E" w:rsidRPr="00510743" w:rsidRDefault="00BC449E" w:rsidP="0018527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0E30B8D9" w14:textId="3115A347" w:rsidR="00BC449E" w:rsidRPr="00510743" w:rsidRDefault="00CA059F" w:rsidP="00185272">
            <w:pPr>
              <w:rPr>
                <w:sz w:val="20"/>
                <w:szCs w:val="20"/>
                <w:lang w:val="en-US"/>
              </w:rPr>
            </w:pPr>
            <w:r w:rsidRPr="00510743">
              <w:rPr>
                <w:sz w:val="20"/>
                <w:szCs w:val="20"/>
                <w:lang w:val="en-US"/>
              </w:rPr>
              <w:t>2024</w:t>
            </w:r>
          </w:p>
        </w:tc>
        <w:tc>
          <w:tcPr>
            <w:tcW w:w="1701" w:type="dxa"/>
          </w:tcPr>
          <w:p w14:paraId="7E3018EC" w14:textId="1CC4D2AA" w:rsidR="00BC449E" w:rsidRPr="00510743" w:rsidRDefault="00CA059F" w:rsidP="00185272">
            <w:pPr>
              <w:rPr>
                <w:sz w:val="20"/>
                <w:szCs w:val="20"/>
                <w:lang w:val="en-US"/>
              </w:rPr>
            </w:pPr>
            <w:r w:rsidRPr="00510743">
              <w:rPr>
                <w:sz w:val="20"/>
                <w:szCs w:val="20"/>
              </w:rPr>
              <w:t>Varied multicenter datasets on hormonal and ovarian system health</w:t>
            </w:r>
          </w:p>
        </w:tc>
        <w:tc>
          <w:tcPr>
            <w:tcW w:w="1985" w:type="dxa"/>
          </w:tcPr>
          <w:p w14:paraId="16390980" w14:textId="382933F8" w:rsidR="00BC449E" w:rsidRPr="00510743" w:rsidRDefault="00510743" w:rsidP="00185272">
            <w:pPr>
              <w:rPr>
                <w:sz w:val="20"/>
                <w:szCs w:val="20"/>
                <w:lang w:val="en-US"/>
              </w:rPr>
            </w:pPr>
            <w:r w:rsidRPr="00510743">
              <w:rPr>
                <w:sz w:val="20"/>
                <w:szCs w:val="20"/>
              </w:rPr>
              <w:t>ML</w:t>
            </w:r>
            <w:r w:rsidR="00874730">
              <w:rPr>
                <w:sz w:val="20"/>
                <w:szCs w:val="20"/>
              </w:rPr>
              <w:t xml:space="preserve"> </w:t>
            </w:r>
            <w:r w:rsidRPr="00510743">
              <w:rPr>
                <w:sz w:val="20"/>
                <w:szCs w:val="20"/>
              </w:rPr>
              <w:t>driven predictive modeling combined with automated clinical decision loops</w:t>
            </w:r>
          </w:p>
        </w:tc>
        <w:tc>
          <w:tcPr>
            <w:tcW w:w="1842" w:type="dxa"/>
          </w:tcPr>
          <w:p w14:paraId="252E3F68" w14:textId="28BC9246" w:rsidR="00BC449E" w:rsidRPr="00510743" w:rsidRDefault="00510743" w:rsidP="00185272">
            <w:pPr>
              <w:rPr>
                <w:sz w:val="20"/>
                <w:szCs w:val="20"/>
                <w:lang w:val="en-US"/>
              </w:rPr>
            </w:pPr>
            <w:r w:rsidRPr="00510743">
              <w:rPr>
                <w:sz w:val="20"/>
                <w:szCs w:val="20"/>
              </w:rPr>
              <w:t>Precision of 91.5%, Sensitivity of 88.2%, AUC of 0.930</w:t>
            </w:r>
          </w:p>
        </w:tc>
        <w:tc>
          <w:tcPr>
            <w:tcW w:w="1763" w:type="dxa"/>
          </w:tcPr>
          <w:p w14:paraId="7A432C54" w14:textId="0705A2F1" w:rsidR="00BC449E" w:rsidRPr="00510743" w:rsidRDefault="00510743" w:rsidP="00185272">
            <w:pPr>
              <w:rPr>
                <w:sz w:val="20"/>
                <w:szCs w:val="20"/>
                <w:lang w:val="en-US"/>
              </w:rPr>
            </w:pPr>
            <w:r w:rsidRPr="00510743">
              <w:rPr>
                <w:sz w:val="20"/>
                <w:szCs w:val="20"/>
              </w:rPr>
              <w:t>Lack of continuous longitudinal patient tracking data; missing inputs degrade performance.</w:t>
            </w:r>
          </w:p>
        </w:tc>
      </w:tr>
      <w:tr w:rsidR="00BC449E" w14:paraId="3C6B32CB" w14:textId="77777777" w:rsidTr="006756F2">
        <w:tc>
          <w:tcPr>
            <w:tcW w:w="1242" w:type="dxa"/>
          </w:tcPr>
          <w:p w14:paraId="335AC385" w14:textId="77777777" w:rsidR="009E0EBC" w:rsidRPr="00EE44A3" w:rsidRDefault="009E0EBC" w:rsidP="009E0EBC">
            <w:pPr>
              <w:rPr>
                <w:sz w:val="20"/>
                <w:szCs w:val="20"/>
              </w:rPr>
            </w:pPr>
            <w:r w:rsidRPr="00EE44A3">
              <w:rPr>
                <w:sz w:val="20"/>
                <w:szCs w:val="20"/>
              </w:rPr>
              <w:t>[9]</w:t>
            </w:r>
          </w:p>
          <w:p w14:paraId="2616457F" w14:textId="54BEA0DE" w:rsidR="009E0EBC" w:rsidRPr="00EE44A3" w:rsidRDefault="009E0EBC" w:rsidP="009E0EBC">
            <w:pPr>
              <w:rPr>
                <w:sz w:val="20"/>
                <w:szCs w:val="20"/>
              </w:rPr>
            </w:pPr>
            <w:r w:rsidRPr="00EE44A3">
              <w:rPr>
                <w:i/>
                <w:iCs/>
                <w:sz w:val="20"/>
                <w:szCs w:val="20"/>
              </w:rPr>
              <w:t>(DOI: 10.1016/j.compbiomed.2024.108112)</w:t>
            </w:r>
          </w:p>
          <w:p w14:paraId="29C370A9" w14:textId="77777777" w:rsidR="00BC449E" w:rsidRPr="00EE44A3" w:rsidRDefault="00BC449E" w:rsidP="0018527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49C5D90A" w14:textId="73B9B6EF" w:rsidR="00BC449E" w:rsidRPr="00EE44A3" w:rsidRDefault="009E0EBC" w:rsidP="00185272">
            <w:pPr>
              <w:rPr>
                <w:sz w:val="20"/>
                <w:szCs w:val="20"/>
                <w:lang w:val="en-US"/>
              </w:rPr>
            </w:pPr>
            <w:r w:rsidRPr="00EE44A3">
              <w:rPr>
                <w:sz w:val="20"/>
                <w:szCs w:val="20"/>
                <w:lang w:val="en-US"/>
              </w:rPr>
              <w:t>2024</w:t>
            </w:r>
          </w:p>
        </w:tc>
        <w:tc>
          <w:tcPr>
            <w:tcW w:w="1701" w:type="dxa"/>
          </w:tcPr>
          <w:p w14:paraId="46241FB6" w14:textId="0D0DE15A" w:rsidR="00BC449E" w:rsidRPr="00EE44A3" w:rsidRDefault="009E0EBC" w:rsidP="00185272">
            <w:pPr>
              <w:rPr>
                <w:sz w:val="20"/>
                <w:szCs w:val="20"/>
                <w:lang w:val="en-US"/>
              </w:rPr>
            </w:pPr>
            <w:r w:rsidRPr="00EE44A3">
              <w:rPr>
                <w:sz w:val="20"/>
                <w:szCs w:val="20"/>
              </w:rPr>
              <w:t>10,412 survey participants from NHANES multi</w:t>
            </w:r>
            <w:r w:rsidR="00874730">
              <w:rPr>
                <w:sz w:val="20"/>
                <w:szCs w:val="20"/>
              </w:rPr>
              <w:t xml:space="preserve"> </w:t>
            </w:r>
            <w:r w:rsidRPr="00EE44A3">
              <w:rPr>
                <w:sz w:val="20"/>
                <w:szCs w:val="20"/>
              </w:rPr>
              <w:t>year public release</w:t>
            </w:r>
          </w:p>
        </w:tc>
        <w:tc>
          <w:tcPr>
            <w:tcW w:w="1985" w:type="dxa"/>
          </w:tcPr>
          <w:p w14:paraId="72E1631A" w14:textId="591DE3DF" w:rsidR="00BC449E" w:rsidRPr="00EE44A3" w:rsidRDefault="009E0EBC" w:rsidP="00185272">
            <w:pPr>
              <w:rPr>
                <w:sz w:val="20"/>
                <w:szCs w:val="20"/>
                <w:lang w:val="en-US"/>
              </w:rPr>
            </w:pPr>
            <w:r w:rsidRPr="00EE44A3">
              <w:rPr>
                <w:sz w:val="20"/>
                <w:szCs w:val="20"/>
              </w:rPr>
              <w:t>CatBoost Classifier with Boruta feature selection algorithm</w:t>
            </w:r>
          </w:p>
        </w:tc>
        <w:tc>
          <w:tcPr>
            <w:tcW w:w="1842" w:type="dxa"/>
          </w:tcPr>
          <w:p w14:paraId="4BA3E26B" w14:textId="7262585F" w:rsidR="00BC449E" w:rsidRPr="00EE44A3" w:rsidRDefault="00EE44A3" w:rsidP="00185272">
            <w:pPr>
              <w:rPr>
                <w:sz w:val="20"/>
                <w:szCs w:val="20"/>
                <w:lang w:val="en-US"/>
              </w:rPr>
            </w:pPr>
            <w:r w:rsidRPr="00EE44A3">
              <w:rPr>
                <w:sz w:val="20"/>
                <w:szCs w:val="20"/>
              </w:rPr>
              <w:t>CatBoost reached AUC of 0.879, Sensitivity of 83.2%, Specificity of 82.8%</w:t>
            </w:r>
          </w:p>
        </w:tc>
        <w:tc>
          <w:tcPr>
            <w:tcW w:w="1763" w:type="dxa"/>
          </w:tcPr>
          <w:p w14:paraId="6931F404" w14:textId="74C2F30D" w:rsidR="00BC449E" w:rsidRPr="00EE44A3" w:rsidRDefault="00EE44A3" w:rsidP="00185272">
            <w:pPr>
              <w:rPr>
                <w:sz w:val="20"/>
                <w:szCs w:val="20"/>
                <w:lang w:val="en-US"/>
              </w:rPr>
            </w:pPr>
            <w:r w:rsidRPr="00EE44A3">
              <w:rPr>
                <w:sz w:val="20"/>
                <w:szCs w:val="20"/>
              </w:rPr>
              <w:t>Self</w:t>
            </w:r>
            <w:r w:rsidR="00874730">
              <w:rPr>
                <w:sz w:val="20"/>
                <w:szCs w:val="20"/>
              </w:rPr>
              <w:t xml:space="preserve"> </w:t>
            </w:r>
            <w:r w:rsidRPr="00EE44A3">
              <w:rPr>
                <w:sz w:val="20"/>
                <w:szCs w:val="20"/>
              </w:rPr>
              <w:t>reported history variables introduce recall and reporting bias.</w:t>
            </w:r>
          </w:p>
        </w:tc>
      </w:tr>
      <w:tr w:rsidR="00BC449E" w14:paraId="1EE22257" w14:textId="77777777" w:rsidTr="006756F2">
        <w:tc>
          <w:tcPr>
            <w:tcW w:w="1242" w:type="dxa"/>
          </w:tcPr>
          <w:p w14:paraId="32F5A327" w14:textId="4EB222E1" w:rsidR="00EE44A3" w:rsidRPr="008A064C" w:rsidRDefault="00EE44A3" w:rsidP="00EE44A3">
            <w:pPr>
              <w:rPr>
                <w:sz w:val="20"/>
                <w:szCs w:val="20"/>
              </w:rPr>
            </w:pPr>
            <w:r w:rsidRPr="008A064C">
              <w:rPr>
                <w:sz w:val="20"/>
                <w:szCs w:val="20"/>
              </w:rPr>
              <w:t>[10]</w:t>
            </w:r>
          </w:p>
          <w:p w14:paraId="77885A74" w14:textId="26AC7746" w:rsidR="00BC449E" w:rsidRPr="008A064C" w:rsidRDefault="00A35AC7" w:rsidP="00A35AC7">
            <w:pPr>
              <w:rPr>
                <w:sz w:val="20"/>
                <w:szCs w:val="20"/>
                <w:lang w:val="en-US"/>
              </w:rPr>
            </w:pPr>
            <w:r w:rsidRPr="00A35AC7">
              <w:rPr>
                <w:sz w:val="20"/>
                <w:szCs w:val="20"/>
              </w:rPr>
              <w:t>(DOI: 10.1016/j.compbiomed.2025.109974)</w:t>
            </w:r>
          </w:p>
        </w:tc>
        <w:tc>
          <w:tcPr>
            <w:tcW w:w="709" w:type="dxa"/>
          </w:tcPr>
          <w:p w14:paraId="450303A2" w14:textId="13B44A66" w:rsidR="00BC449E" w:rsidRPr="008A064C" w:rsidRDefault="00EE44A3" w:rsidP="00185272">
            <w:pPr>
              <w:rPr>
                <w:sz w:val="20"/>
                <w:szCs w:val="20"/>
                <w:lang w:val="en-US"/>
              </w:rPr>
            </w:pPr>
            <w:r w:rsidRPr="008A064C">
              <w:rPr>
                <w:sz w:val="20"/>
                <w:szCs w:val="20"/>
                <w:lang w:val="en-US"/>
              </w:rPr>
              <w:t>202</w:t>
            </w:r>
            <w:r w:rsidR="00A35AC7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1701" w:type="dxa"/>
          </w:tcPr>
          <w:p w14:paraId="1FAF427C" w14:textId="6AB1BFCA" w:rsidR="00BC449E" w:rsidRPr="008A064C" w:rsidRDefault="00EF42E2" w:rsidP="00185272">
            <w:pPr>
              <w:rPr>
                <w:sz w:val="20"/>
                <w:szCs w:val="20"/>
                <w:lang w:val="en-US"/>
              </w:rPr>
            </w:pPr>
            <w:r w:rsidRPr="00EF42E2">
              <w:rPr>
                <w:sz w:val="20"/>
                <w:szCs w:val="20"/>
              </w:rPr>
              <w:t>6,190 instances from a cross</w:t>
            </w:r>
            <w:r w:rsidR="00874730">
              <w:rPr>
                <w:sz w:val="20"/>
                <w:szCs w:val="20"/>
              </w:rPr>
              <w:t xml:space="preserve"> </w:t>
            </w:r>
            <w:r w:rsidRPr="00EF42E2">
              <w:rPr>
                <w:sz w:val="20"/>
                <w:szCs w:val="20"/>
              </w:rPr>
              <w:t xml:space="preserve">sectional study in Jordan (June 2016 </w:t>
            </w:r>
            <w:r w:rsidR="00874730">
              <w:rPr>
                <w:sz w:val="20"/>
                <w:szCs w:val="20"/>
              </w:rPr>
              <w:t>-</w:t>
            </w:r>
            <w:r w:rsidRPr="00EF42E2">
              <w:rPr>
                <w:sz w:val="20"/>
                <w:szCs w:val="20"/>
              </w:rPr>
              <w:t>May 2017)</w:t>
            </w:r>
          </w:p>
        </w:tc>
        <w:tc>
          <w:tcPr>
            <w:tcW w:w="1985" w:type="dxa"/>
          </w:tcPr>
          <w:p w14:paraId="2196405A" w14:textId="710CFEBF" w:rsidR="00BC449E" w:rsidRPr="008A064C" w:rsidRDefault="003A61A0" w:rsidP="00185272">
            <w:pPr>
              <w:rPr>
                <w:sz w:val="20"/>
                <w:szCs w:val="20"/>
                <w:lang w:val="en-US"/>
              </w:rPr>
            </w:pPr>
            <w:r w:rsidRPr="003A61A0">
              <w:rPr>
                <w:sz w:val="20"/>
                <w:szCs w:val="20"/>
              </w:rPr>
              <w:t>Hybrid ML model integrating ANN, RF, and XGBoost using fully non-invasive features and engineered symptom scores</w:t>
            </w:r>
          </w:p>
        </w:tc>
        <w:tc>
          <w:tcPr>
            <w:tcW w:w="1842" w:type="dxa"/>
          </w:tcPr>
          <w:p w14:paraId="7D868D02" w14:textId="3CA3CD65" w:rsidR="00EB2867" w:rsidRPr="00EB2867" w:rsidRDefault="00EB2867" w:rsidP="00EB2867">
            <w:pPr>
              <w:rPr>
                <w:sz w:val="20"/>
                <w:szCs w:val="20"/>
              </w:rPr>
            </w:pPr>
            <w:r w:rsidRPr="00EB2867">
              <w:rPr>
                <w:sz w:val="20"/>
                <w:szCs w:val="20"/>
              </w:rPr>
              <w:t xml:space="preserve">Optimal hybrid model achieved </w:t>
            </w:r>
            <m:oMath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</m:oMath>
            <w:r w:rsidRPr="00EB2867">
              <w:rPr>
                <w:sz w:val="20"/>
                <w:szCs w:val="20"/>
              </w:rPr>
              <w:t xml:space="preserve"> of 94.2% and RMSE of 0.015; interpretability verified via LIME and SHAP</w:t>
            </w:r>
          </w:p>
          <w:p w14:paraId="1C2F841B" w14:textId="268FE883" w:rsidR="00BC449E" w:rsidRPr="008A064C" w:rsidRDefault="00BC449E" w:rsidP="0018527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763" w:type="dxa"/>
          </w:tcPr>
          <w:p w14:paraId="0FE2059D" w14:textId="624766BB" w:rsidR="00EB2867" w:rsidRPr="00EB2867" w:rsidRDefault="00EB2867" w:rsidP="00EB2867">
            <w:pPr>
              <w:rPr>
                <w:sz w:val="20"/>
                <w:szCs w:val="20"/>
              </w:rPr>
            </w:pPr>
            <w:r w:rsidRPr="00EB2867">
              <w:rPr>
                <w:sz w:val="20"/>
                <w:szCs w:val="20"/>
              </w:rPr>
              <w:t>Relies on cross-sectional data; requires further prospective clinical testing and validation on external non</w:t>
            </w:r>
            <w:r w:rsidR="00874730">
              <w:rPr>
                <w:sz w:val="20"/>
                <w:szCs w:val="20"/>
              </w:rPr>
              <w:t xml:space="preserve"> </w:t>
            </w:r>
            <w:r w:rsidRPr="00EB2867">
              <w:rPr>
                <w:sz w:val="20"/>
                <w:szCs w:val="20"/>
              </w:rPr>
              <w:t xml:space="preserve">Jordanian ethnic </w:t>
            </w:r>
            <w:r w:rsidRPr="00EB2867">
              <w:rPr>
                <w:sz w:val="20"/>
                <w:szCs w:val="20"/>
              </w:rPr>
              <w:lastRenderedPageBreak/>
              <w:t xml:space="preserve">cohorts. </w:t>
            </w:r>
          </w:p>
          <w:p w14:paraId="65EBB741" w14:textId="730B7FCB" w:rsidR="00BC449E" w:rsidRPr="008A064C" w:rsidRDefault="00BC449E" w:rsidP="00185272">
            <w:pPr>
              <w:rPr>
                <w:sz w:val="20"/>
                <w:szCs w:val="20"/>
                <w:lang w:val="en-US"/>
              </w:rPr>
            </w:pPr>
          </w:p>
        </w:tc>
      </w:tr>
      <w:tr w:rsidR="00BC449E" w14:paraId="0B6F1AAA" w14:textId="77777777" w:rsidTr="006756F2">
        <w:tc>
          <w:tcPr>
            <w:tcW w:w="1242" w:type="dxa"/>
          </w:tcPr>
          <w:p w14:paraId="122D8C5A" w14:textId="56AAF588" w:rsidR="002735CE" w:rsidRPr="00DA7929" w:rsidRDefault="002735CE" w:rsidP="002735CE">
            <w:pPr>
              <w:rPr>
                <w:sz w:val="20"/>
                <w:szCs w:val="20"/>
              </w:rPr>
            </w:pPr>
            <w:r w:rsidRPr="00DA7929">
              <w:rPr>
                <w:sz w:val="20"/>
                <w:szCs w:val="20"/>
              </w:rPr>
              <w:lastRenderedPageBreak/>
              <w:t>[11]</w:t>
            </w:r>
          </w:p>
          <w:p w14:paraId="644C2265" w14:textId="6ADBA8F2" w:rsidR="00BC449E" w:rsidRPr="00DA7929" w:rsidRDefault="00EB2867" w:rsidP="00EB2867">
            <w:pPr>
              <w:rPr>
                <w:sz w:val="20"/>
                <w:szCs w:val="20"/>
                <w:lang w:val="en-US"/>
              </w:rPr>
            </w:pPr>
            <w:r w:rsidRPr="00EB2867">
              <w:rPr>
                <w:sz w:val="20"/>
                <w:szCs w:val="20"/>
              </w:rPr>
              <w:t>(DOI: 10.1186/s12902-025-01869-5)</w:t>
            </w:r>
          </w:p>
        </w:tc>
        <w:tc>
          <w:tcPr>
            <w:tcW w:w="709" w:type="dxa"/>
          </w:tcPr>
          <w:p w14:paraId="57D05EC5" w14:textId="6196E244" w:rsidR="00BC449E" w:rsidRPr="00DA7929" w:rsidRDefault="002735CE" w:rsidP="00185272">
            <w:pPr>
              <w:rPr>
                <w:sz w:val="20"/>
                <w:szCs w:val="20"/>
                <w:lang w:val="en-US"/>
              </w:rPr>
            </w:pPr>
            <w:r w:rsidRPr="00DA7929">
              <w:rPr>
                <w:sz w:val="20"/>
                <w:szCs w:val="20"/>
                <w:lang w:val="en-US"/>
              </w:rPr>
              <w:t>2025</w:t>
            </w:r>
          </w:p>
        </w:tc>
        <w:tc>
          <w:tcPr>
            <w:tcW w:w="1701" w:type="dxa"/>
          </w:tcPr>
          <w:p w14:paraId="6FD0A2DA" w14:textId="2D58DE85" w:rsidR="00BC449E" w:rsidRPr="00DA7929" w:rsidRDefault="00067CEF" w:rsidP="00185272">
            <w:pPr>
              <w:rPr>
                <w:sz w:val="20"/>
                <w:szCs w:val="20"/>
                <w:lang w:val="en-US"/>
              </w:rPr>
            </w:pPr>
            <w:r w:rsidRPr="00067CEF">
              <w:rPr>
                <w:sz w:val="20"/>
                <w:szCs w:val="20"/>
              </w:rPr>
              <w:t>4,121 adult participants aged 35–70 years from the Persian Organizational Cohort in Mashhad (POCM)</w:t>
            </w:r>
          </w:p>
        </w:tc>
        <w:tc>
          <w:tcPr>
            <w:tcW w:w="1985" w:type="dxa"/>
          </w:tcPr>
          <w:p w14:paraId="320465A1" w14:textId="2019E9C5" w:rsidR="00BC449E" w:rsidRPr="00DA7929" w:rsidRDefault="00067CEF" w:rsidP="00185272">
            <w:pPr>
              <w:rPr>
                <w:sz w:val="20"/>
                <w:szCs w:val="20"/>
                <w:lang w:val="en-US"/>
              </w:rPr>
            </w:pPr>
            <w:r w:rsidRPr="00067CEF">
              <w:rPr>
                <w:sz w:val="20"/>
                <w:szCs w:val="20"/>
              </w:rPr>
              <w:t>Cross-sectional design, ultrasonography for nodule detection, NCEP ATP III criteria for MetS, and multivariate logistic regression</w:t>
            </w:r>
          </w:p>
        </w:tc>
        <w:tc>
          <w:tcPr>
            <w:tcW w:w="1842" w:type="dxa"/>
          </w:tcPr>
          <w:p w14:paraId="6DBBA2A2" w14:textId="02D67416" w:rsidR="00BC449E" w:rsidRPr="00DA7929" w:rsidRDefault="004621FE" w:rsidP="00185272">
            <w:pPr>
              <w:rPr>
                <w:sz w:val="20"/>
                <w:szCs w:val="20"/>
                <w:lang w:val="en-US"/>
              </w:rPr>
            </w:pPr>
            <w:r w:rsidRPr="004621FE">
              <w:rPr>
                <w:sz w:val="20"/>
                <w:szCs w:val="20"/>
              </w:rPr>
              <w:t>Thyroid nodules detected in 27.4% of participants; MetS significantly predicted nodule presence (OR = 1.43, p = 0.03)</w:t>
            </w:r>
          </w:p>
        </w:tc>
        <w:tc>
          <w:tcPr>
            <w:tcW w:w="1763" w:type="dxa"/>
          </w:tcPr>
          <w:p w14:paraId="525B1630" w14:textId="2FC2FFFB" w:rsidR="00BC449E" w:rsidRPr="00DA7929" w:rsidRDefault="004621FE" w:rsidP="00185272">
            <w:pPr>
              <w:rPr>
                <w:sz w:val="20"/>
                <w:szCs w:val="20"/>
                <w:lang w:val="en-US"/>
              </w:rPr>
            </w:pPr>
            <w:r w:rsidRPr="004621FE">
              <w:rPr>
                <w:sz w:val="20"/>
                <w:szCs w:val="20"/>
              </w:rPr>
              <w:t>Cross</w:t>
            </w:r>
            <w:r w:rsidR="00874730">
              <w:rPr>
                <w:sz w:val="20"/>
                <w:szCs w:val="20"/>
              </w:rPr>
              <w:t xml:space="preserve"> </w:t>
            </w:r>
            <w:r w:rsidRPr="004621FE">
              <w:rPr>
                <w:sz w:val="20"/>
                <w:szCs w:val="20"/>
              </w:rPr>
              <w:t>sectional design precludes establishing causality</w:t>
            </w:r>
            <w:r w:rsidR="00874730">
              <w:rPr>
                <w:sz w:val="20"/>
                <w:szCs w:val="20"/>
              </w:rPr>
              <w:t xml:space="preserve">. </w:t>
            </w:r>
            <w:r w:rsidRPr="004621FE">
              <w:rPr>
                <w:sz w:val="20"/>
                <w:szCs w:val="20"/>
              </w:rPr>
              <w:t>potential residual confounding from unmeasured dietary or environmental variables.</w:t>
            </w:r>
          </w:p>
        </w:tc>
      </w:tr>
      <w:tr w:rsidR="009644B1" w14:paraId="003C5CB9" w14:textId="77777777" w:rsidTr="006756F2">
        <w:tc>
          <w:tcPr>
            <w:tcW w:w="1242" w:type="dxa"/>
          </w:tcPr>
          <w:p w14:paraId="075BB217" w14:textId="22B02086" w:rsidR="00745AEB" w:rsidRPr="00745AEB" w:rsidRDefault="00745AEB" w:rsidP="00745AEB">
            <w:pPr>
              <w:rPr>
                <w:sz w:val="20"/>
                <w:szCs w:val="20"/>
              </w:rPr>
            </w:pPr>
            <w:r w:rsidRPr="00745AEB">
              <w:rPr>
                <w:sz w:val="20"/>
                <w:szCs w:val="20"/>
              </w:rPr>
              <w:t>[12]</w:t>
            </w:r>
          </w:p>
          <w:p w14:paraId="24502CBD" w14:textId="297D4EE6" w:rsidR="009644B1" w:rsidRPr="0094646E" w:rsidRDefault="0094646E" w:rsidP="004621FE">
            <w:r w:rsidRPr="0094646E">
              <w:t>(DOI: 10.1186/s12911-025-03255-6)</w:t>
            </w:r>
          </w:p>
        </w:tc>
        <w:tc>
          <w:tcPr>
            <w:tcW w:w="709" w:type="dxa"/>
          </w:tcPr>
          <w:p w14:paraId="32D11AB7" w14:textId="6B47BE00" w:rsidR="009644B1" w:rsidRPr="006C5FCC" w:rsidRDefault="00745AEB" w:rsidP="00185272">
            <w:pPr>
              <w:rPr>
                <w:sz w:val="20"/>
                <w:szCs w:val="20"/>
                <w:lang w:val="en-US"/>
              </w:rPr>
            </w:pPr>
            <w:r w:rsidRPr="006C5FCC">
              <w:rPr>
                <w:sz w:val="20"/>
                <w:szCs w:val="20"/>
                <w:lang w:val="en-US"/>
              </w:rPr>
              <w:t>202</w:t>
            </w:r>
            <w:r w:rsidR="0094646E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1701" w:type="dxa"/>
          </w:tcPr>
          <w:p w14:paraId="1AFA9FF8" w14:textId="0CBCACE3" w:rsidR="009644B1" w:rsidRPr="006C5FCC" w:rsidRDefault="0094646E" w:rsidP="00185272">
            <w:pPr>
              <w:rPr>
                <w:sz w:val="20"/>
                <w:szCs w:val="20"/>
                <w:lang w:val="en-US"/>
              </w:rPr>
            </w:pPr>
            <w:r w:rsidRPr="0094646E">
              <w:rPr>
                <w:sz w:val="20"/>
                <w:szCs w:val="20"/>
              </w:rPr>
              <w:t>Systematic review of 80 studies (synthesizing imaging, clinical/EHR, and -omics datasets following PRISMA 2020)</w:t>
            </w:r>
          </w:p>
        </w:tc>
        <w:tc>
          <w:tcPr>
            <w:tcW w:w="1985" w:type="dxa"/>
          </w:tcPr>
          <w:p w14:paraId="1BD7BD7F" w14:textId="5562D30E" w:rsidR="009644B1" w:rsidRPr="006C5FCC" w:rsidRDefault="0094646E" w:rsidP="00185272">
            <w:pPr>
              <w:rPr>
                <w:sz w:val="20"/>
                <w:szCs w:val="20"/>
                <w:lang w:val="en-US"/>
              </w:rPr>
            </w:pPr>
            <w:r w:rsidRPr="0094646E">
              <w:rPr>
                <w:sz w:val="20"/>
                <w:szCs w:val="20"/>
              </w:rPr>
              <w:t>Systematic review and narrative synthesis evaluating ML, DL (CNNs), Explainable AI (SHAP, LIME, Grad-CAM), and LLMs in PCOS</w:t>
            </w:r>
          </w:p>
        </w:tc>
        <w:tc>
          <w:tcPr>
            <w:tcW w:w="1842" w:type="dxa"/>
          </w:tcPr>
          <w:p w14:paraId="3E8D60CB" w14:textId="71509B2B" w:rsidR="009644B1" w:rsidRPr="002973B7" w:rsidRDefault="002973B7" w:rsidP="00185272">
            <w:pPr>
              <w:rPr>
                <w:sz w:val="20"/>
                <w:szCs w:val="20"/>
              </w:rPr>
            </w:pPr>
            <w:r w:rsidRPr="002973B7">
              <w:rPr>
                <w:sz w:val="20"/>
                <w:szCs w:val="20"/>
              </w:rPr>
              <w:t xml:space="preserve">CNN imaging models frequently achieved diagnostic accuracies &gt;95% (up to 98-99%); SHAP/LIME enhanced clinical interpretability in 25% of studies </w:t>
            </w:r>
          </w:p>
        </w:tc>
        <w:tc>
          <w:tcPr>
            <w:tcW w:w="1763" w:type="dxa"/>
          </w:tcPr>
          <w:p w14:paraId="50C7134D" w14:textId="76ED126E" w:rsidR="009644B1" w:rsidRPr="006C5FCC" w:rsidRDefault="002973B7" w:rsidP="00185272">
            <w:pPr>
              <w:rPr>
                <w:sz w:val="20"/>
                <w:szCs w:val="20"/>
                <w:lang w:val="en-US"/>
              </w:rPr>
            </w:pPr>
            <w:r w:rsidRPr="002973B7">
              <w:rPr>
                <w:sz w:val="20"/>
                <w:szCs w:val="20"/>
              </w:rPr>
              <w:t>Prevalence of small single-center sample sizes, overreliance on Kaggle datasets, lack of external validation, and interpretability gaps in ~75% of studies.</w:t>
            </w:r>
          </w:p>
        </w:tc>
      </w:tr>
      <w:tr w:rsidR="009644B1" w14:paraId="169E5D32" w14:textId="77777777" w:rsidTr="006756F2">
        <w:tc>
          <w:tcPr>
            <w:tcW w:w="1242" w:type="dxa"/>
          </w:tcPr>
          <w:p w14:paraId="3B245ACF" w14:textId="4542A184" w:rsidR="00201CA4" w:rsidRPr="00201CA4" w:rsidRDefault="00201CA4" w:rsidP="00201CA4">
            <w:pPr>
              <w:rPr>
                <w:sz w:val="20"/>
                <w:szCs w:val="20"/>
              </w:rPr>
            </w:pPr>
            <w:r w:rsidRPr="00201CA4">
              <w:rPr>
                <w:sz w:val="20"/>
                <w:szCs w:val="20"/>
              </w:rPr>
              <w:t>[13]</w:t>
            </w:r>
          </w:p>
          <w:p w14:paraId="566F9078" w14:textId="21102FD9" w:rsidR="009644B1" w:rsidRDefault="00E67AAE" w:rsidP="00E67AAE">
            <w:pPr>
              <w:rPr>
                <w:lang w:val="en-US"/>
              </w:rPr>
            </w:pPr>
            <w:r w:rsidRPr="00E67AAE">
              <w:t>(DOI: 10.1007/s40200-021-00949-2)</w:t>
            </w:r>
          </w:p>
        </w:tc>
        <w:tc>
          <w:tcPr>
            <w:tcW w:w="709" w:type="dxa"/>
          </w:tcPr>
          <w:p w14:paraId="5EB58925" w14:textId="77777777" w:rsidR="009644B1" w:rsidRDefault="009644B1" w:rsidP="00185272">
            <w:pPr>
              <w:rPr>
                <w:lang w:val="en-US"/>
              </w:rPr>
            </w:pPr>
          </w:p>
          <w:p w14:paraId="47DBE206" w14:textId="77777777" w:rsidR="00201CA4" w:rsidRDefault="00201CA4" w:rsidP="00201CA4">
            <w:pPr>
              <w:rPr>
                <w:lang w:val="en-US"/>
              </w:rPr>
            </w:pPr>
          </w:p>
          <w:p w14:paraId="586F8A78" w14:textId="77777777" w:rsidR="00201CA4" w:rsidRDefault="00201CA4" w:rsidP="00201CA4">
            <w:pPr>
              <w:rPr>
                <w:lang w:val="en-US"/>
              </w:rPr>
            </w:pPr>
          </w:p>
          <w:p w14:paraId="11063C70" w14:textId="5141A0BC" w:rsidR="00201CA4" w:rsidRPr="00201CA4" w:rsidRDefault="00201CA4" w:rsidP="00201CA4">
            <w:pPr>
              <w:rPr>
                <w:lang w:val="en-US"/>
              </w:rPr>
            </w:pPr>
            <w:r>
              <w:rPr>
                <w:lang w:val="en-US"/>
              </w:rPr>
              <w:t>202</w:t>
            </w:r>
            <w:r w:rsidR="00E67AAE">
              <w:rPr>
                <w:lang w:val="en-US"/>
              </w:rPr>
              <w:t>2</w:t>
            </w:r>
          </w:p>
        </w:tc>
        <w:tc>
          <w:tcPr>
            <w:tcW w:w="1701" w:type="dxa"/>
          </w:tcPr>
          <w:p w14:paraId="37495D4B" w14:textId="71B80ABE" w:rsidR="009644B1" w:rsidRPr="0098251C" w:rsidRDefault="00E67AAE" w:rsidP="00185272">
            <w:pPr>
              <w:rPr>
                <w:sz w:val="20"/>
                <w:szCs w:val="20"/>
                <w:lang w:val="en-US"/>
              </w:rPr>
            </w:pPr>
            <w:r w:rsidRPr="00E67AAE">
              <w:rPr>
                <w:sz w:val="20"/>
                <w:szCs w:val="20"/>
              </w:rPr>
              <w:t>Literature narrative synthesis spanning clinical, imaging, and genomic datasets in endocrinology</w:t>
            </w:r>
          </w:p>
        </w:tc>
        <w:tc>
          <w:tcPr>
            <w:tcW w:w="1985" w:type="dxa"/>
          </w:tcPr>
          <w:p w14:paraId="148CE076" w14:textId="171308EC" w:rsidR="009644B1" w:rsidRPr="0098251C" w:rsidRDefault="00D043D8" w:rsidP="00185272">
            <w:pPr>
              <w:rPr>
                <w:sz w:val="20"/>
                <w:szCs w:val="20"/>
                <w:lang w:val="en-US"/>
              </w:rPr>
            </w:pPr>
            <w:r w:rsidRPr="00D043D8">
              <w:rPr>
                <w:sz w:val="20"/>
                <w:szCs w:val="20"/>
              </w:rPr>
              <w:t>Comprehensive review covering Machine Learning, Artificial Neural Networks, NLP, and decision support algorithms across endocrine domains</w:t>
            </w:r>
          </w:p>
        </w:tc>
        <w:tc>
          <w:tcPr>
            <w:tcW w:w="1842" w:type="dxa"/>
          </w:tcPr>
          <w:p w14:paraId="7B8BDD04" w14:textId="05F0911D" w:rsidR="009644B1" w:rsidRPr="0098251C" w:rsidRDefault="00D043D8" w:rsidP="00185272">
            <w:pPr>
              <w:rPr>
                <w:sz w:val="20"/>
                <w:szCs w:val="20"/>
                <w:lang w:val="en-US"/>
              </w:rPr>
            </w:pPr>
            <w:r w:rsidRPr="00D043D8">
              <w:rPr>
                <w:sz w:val="20"/>
                <w:szCs w:val="20"/>
              </w:rPr>
              <w:t>Validates real-world clinical application tools including automated retinal screening (IDx-DR 2.0), DreaMed, and Guardian Connect systems</w:t>
            </w:r>
          </w:p>
        </w:tc>
        <w:tc>
          <w:tcPr>
            <w:tcW w:w="1763" w:type="dxa"/>
          </w:tcPr>
          <w:p w14:paraId="3FAACD9A" w14:textId="3A366E25" w:rsidR="009644B1" w:rsidRPr="00D043D8" w:rsidRDefault="00D043D8" w:rsidP="00185272">
            <w:pPr>
              <w:rPr>
                <w:sz w:val="20"/>
                <w:szCs w:val="20"/>
              </w:rPr>
            </w:pPr>
            <w:r w:rsidRPr="00D043D8">
              <w:rPr>
                <w:sz w:val="20"/>
                <w:szCs w:val="20"/>
              </w:rPr>
              <w:t xml:space="preserve">Highlights a lack of sufficient Level 1 evidence/clinical trial results required to recommend widespread clinical decision-support implementation. </w:t>
            </w:r>
          </w:p>
        </w:tc>
      </w:tr>
      <w:tr w:rsidR="009644B1" w14:paraId="2E022369" w14:textId="77777777" w:rsidTr="006756F2">
        <w:tc>
          <w:tcPr>
            <w:tcW w:w="1242" w:type="dxa"/>
          </w:tcPr>
          <w:p w14:paraId="2D721D34" w14:textId="49B371CD" w:rsidR="00445FDA" w:rsidRPr="004E6A22" w:rsidRDefault="00445FDA" w:rsidP="00445FDA">
            <w:pPr>
              <w:rPr>
                <w:sz w:val="20"/>
                <w:szCs w:val="20"/>
              </w:rPr>
            </w:pPr>
            <w:r w:rsidRPr="004E6A22">
              <w:rPr>
                <w:sz w:val="20"/>
                <w:szCs w:val="20"/>
              </w:rPr>
              <w:t>[14]</w:t>
            </w:r>
          </w:p>
          <w:p w14:paraId="0DD71E4C" w14:textId="6958F16C" w:rsidR="00445FDA" w:rsidRPr="004E6A22" w:rsidRDefault="00445FDA" w:rsidP="00445FDA">
            <w:pPr>
              <w:rPr>
                <w:sz w:val="20"/>
                <w:szCs w:val="20"/>
              </w:rPr>
            </w:pPr>
            <w:r w:rsidRPr="004E6A22">
              <w:rPr>
                <w:i/>
                <w:iCs/>
                <w:sz w:val="20"/>
                <w:szCs w:val="20"/>
              </w:rPr>
              <w:t>(DOI: 10.3390/diagnostics13142345)</w:t>
            </w:r>
          </w:p>
          <w:p w14:paraId="58967D15" w14:textId="77777777" w:rsidR="009644B1" w:rsidRPr="004E6A22" w:rsidRDefault="009644B1" w:rsidP="0018527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2049676C" w14:textId="701E1257" w:rsidR="009644B1" w:rsidRPr="004E6A22" w:rsidRDefault="00445FDA" w:rsidP="00185272">
            <w:pPr>
              <w:rPr>
                <w:sz w:val="20"/>
                <w:szCs w:val="20"/>
                <w:lang w:val="en-US"/>
              </w:rPr>
            </w:pPr>
            <w:r w:rsidRPr="004E6A22">
              <w:rPr>
                <w:sz w:val="20"/>
                <w:szCs w:val="20"/>
                <w:lang w:val="en-US"/>
              </w:rPr>
              <w:t>2023</w:t>
            </w:r>
          </w:p>
        </w:tc>
        <w:tc>
          <w:tcPr>
            <w:tcW w:w="1701" w:type="dxa"/>
          </w:tcPr>
          <w:p w14:paraId="3B115714" w14:textId="17449308" w:rsidR="009644B1" w:rsidRPr="004E6A22" w:rsidRDefault="004E6A22" w:rsidP="00185272">
            <w:pPr>
              <w:rPr>
                <w:sz w:val="20"/>
                <w:szCs w:val="20"/>
                <w:lang w:val="en-US"/>
              </w:rPr>
            </w:pPr>
            <w:r w:rsidRPr="004E6A22">
              <w:rPr>
                <w:sz w:val="20"/>
                <w:szCs w:val="20"/>
              </w:rPr>
              <w:t>Large physical examination population of 9,171 participants from mainland China</w:t>
            </w:r>
          </w:p>
        </w:tc>
        <w:tc>
          <w:tcPr>
            <w:tcW w:w="1985" w:type="dxa"/>
          </w:tcPr>
          <w:p w14:paraId="234660A0" w14:textId="1EAC7A44" w:rsidR="009644B1" w:rsidRPr="004E6A22" w:rsidRDefault="004E6A22" w:rsidP="00185272">
            <w:pPr>
              <w:rPr>
                <w:sz w:val="20"/>
                <w:szCs w:val="20"/>
                <w:lang w:val="en-US"/>
              </w:rPr>
            </w:pPr>
            <w:r w:rsidRPr="004E6A22">
              <w:rPr>
                <w:sz w:val="20"/>
                <w:szCs w:val="20"/>
              </w:rPr>
              <w:t>Evaluation of 7 models (LR, k-NN, NB, DT, RF, ANN, SVM) using 5 non-invasive inputs</w:t>
            </w:r>
          </w:p>
        </w:tc>
        <w:tc>
          <w:tcPr>
            <w:tcW w:w="1842" w:type="dxa"/>
          </w:tcPr>
          <w:p w14:paraId="5DF5A31B" w14:textId="6C4A6B9C" w:rsidR="009644B1" w:rsidRPr="004E6A22" w:rsidRDefault="004E6A22" w:rsidP="00185272">
            <w:pPr>
              <w:rPr>
                <w:sz w:val="20"/>
                <w:szCs w:val="20"/>
                <w:lang w:val="en-US"/>
              </w:rPr>
            </w:pPr>
            <w:r w:rsidRPr="004E6A22">
              <w:rPr>
                <w:sz w:val="20"/>
                <w:szCs w:val="20"/>
              </w:rPr>
              <w:t>Naive Bayes achieved external AUC of 0.976, Accuracy of 0.923, Sensitivity of 98.32%</w:t>
            </w:r>
          </w:p>
        </w:tc>
        <w:tc>
          <w:tcPr>
            <w:tcW w:w="1763" w:type="dxa"/>
          </w:tcPr>
          <w:p w14:paraId="337F1980" w14:textId="028F064C" w:rsidR="009644B1" w:rsidRPr="004E6A22" w:rsidRDefault="004E6A22" w:rsidP="00185272">
            <w:pPr>
              <w:rPr>
                <w:sz w:val="20"/>
                <w:szCs w:val="20"/>
                <w:lang w:val="en-US"/>
              </w:rPr>
            </w:pPr>
            <w:r w:rsidRPr="004E6A22">
              <w:rPr>
                <w:sz w:val="20"/>
                <w:szCs w:val="20"/>
              </w:rPr>
              <w:t>High variance across architectures; SVM showed severe degradation during cross-validation.</w:t>
            </w:r>
          </w:p>
        </w:tc>
      </w:tr>
      <w:tr w:rsidR="004E6A22" w14:paraId="014B7E5F" w14:textId="77777777" w:rsidTr="006756F2">
        <w:tc>
          <w:tcPr>
            <w:tcW w:w="1242" w:type="dxa"/>
          </w:tcPr>
          <w:p w14:paraId="7ACC7AC8" w14:textId="123051ED" w:rsidR="0098251C" w:rsidRPr="0098251C" w:rsidRDefault="0098251C" w:rsidP="0098251C">
            <w:pPr>
              <w:rPr>
                <w:sz w:val="20"/>
                <w:szCs w:val="20"/>
              </w:rPr>
            </w:pPr>
            <w:r w:rsidRPr="0098251C">
              <w:rPr>
                <w:sz w:val="20"/>
                <w:szCs w:val="20"/>
              </w:rPr>
              <w:t>[15]</w:t>
            </w:r>
          </w:p>
          <w:p w14:paraId="61354EC8" w14:textId="6A4FE490" w:rsidR="004E6A22" w:rsidRPr="0098251C" w:rsidRDefault="00180D58" w:rsidP="00180D58">
            <w:pPr>
              <w:rPr>
                <w:sz w:val="20"/>
                <w:szCs w:val="20"/>
              </w:rPr>
            </w:pPr>
            <w:r w:rsidRPr="00180D58">
              <w:rPr>
                <w:sz w:val="20"/>
                <w:szCs w:val="20"/>
              </w:rPr>
              <w:t>(DOI: 10.3390/s25051396)</w:t>
            </w:r>
          </w:p>
        </w:tc>
        <w:tc>
          <w:tcPr>
            <w:tcW w:w="709" w:type="dxa"/>
          </w:tcPr>
          <w:p w14:paraId="551C4318" w14:textId="433EE3A2" w:rsidR="004E6A22" w:rsidRPr="0098251C" w:rsidRDefault="0098251C" w:rsidP="00185272">
            <w:pPr>
              <w:rPr>
                <w:sz w:val="20"/>
                <w:szCs w:val="20"/>
                <w:lang w:val="en-US"/>
              </w:rPr>
            </w:pPr>
            <w:r w:rsidRPr="0098251C">
              <w:rPr>
                <w:sz w:val="20"/>
                <w:szCs w:val="20"/>
                <w:lang w:val="en-US"/>
              </w:rPr>
              <w:t>2025</w:t>
            </w:r>
          </w:p>
        </w:tc>
        <w:tc>
          <w:tcPr>
            <w:tcW w:w="1701" w:type="dxa"/>
          </w:tcPr>
          <w:p w14:paraId="3846D3E6" w14:textId="66E30604" w:rsidR="004E6A22" w:rsidRPr="0098251C" w:rsidRDefault="00180D58" w:rsidP="00185272">
            <w:pPr>
              <w:rPr>
                <w:sz w:val="20"/>
                <w:szCs w:val="20"/>
              </w:rPr>
            </w:pPr>
            <w:r w:rsidRPr="00180D58">
              <w:rPr>
                <w:sz w:val="20"/>
                <w:szCs w:val="20"/>
              </w:rPr>
              <w:t>Comprehensive review of multimodal non-invasive datasets (blood, saliva, urine, stool, sweat, breathomics, ECG, imaging, and digital metrics)</w:t>
            </w:r>
          </w:p>
        </w:tc>
        <w:tc>
          <w:tcPr>
            <w:tcW w:w="1985" w:type="dxa"/>
          </w:tcPr>
          <w:p w14:paraId="103BF2C7" w14:textId="37E89071" w:rsidR="004E6A22" w:rsidRPr="0098251C" w:rsidRDefault="00180D58" w:rsidP="00185272">
            <w:pPr>
              <w:rPr>
                <w:sz w:val="20"/>
                <w:szCs w:val="20"/>
              </w:rPr>
            </w:pPr>
            <w:r w:rsidRPr="00180D58">
              <w:rPr>
                <w:sz w:val="20"/>
                <w:szCs w:val="20"/>
              </w:rPr>
              <w:t>Systematic evaluation of AI, ML (SVM, RF, XGBoost), and deep learning (ResNet, CNNs, 1D-CNN) for non-invasive precision diagnostics</w:t>
            </w:r>
          </w:p>
        </w:tc>
        <w:tc>
          <w:tcPr>
            <w:tcW w:w="1842" w:type="dxa"/>
          </w:tcPr>
          <w:p w14:paraId="66DD7610" w14:textId="23BB5B89" w:rsidR="004E6A22" w:rsidRPr="0098251C" w:rsidRDefault="004933CD" w:rsidP="004933CD">
            <w:pPr>
              <w:rPr>
                <w:sz w:val="20"/>
                <w:szCs w:val="20"/>
              </w:rPr>
            </w:pPr>
            <w:r w:rsidRPr="004933CD">
              <w:rPr>
                <w:sz w:val="20"/>
                <w:szCs w:val="20"/>
              </w:rPr>
              <w:t>Demonstrated high classification accuracies across disease domains (e.g., 97.3% accuracy in bladder cancer via droplet pattern analysis, 97.6% via iris/physiological features)</w:t>
            </w:r>
          </w:p>
        </w:tc>
        <w:tc>
          <w:tcPr>
            <w:tcW w:w="1763" w:type="dxa"/>
          </w:tcPr>
          <w:p w14:paraId="59071F60" w14:textId="36D2CEB5" w:rsidR="004E6A22" w:rsidRPr="0098251C" w:rsidRDefault="004933CD" w:rsidP="001852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  <w:r w:rsidRPr="004933CD">
              <w:rPr>
                <w:sz w:val="20"/>
                <w:szCs w:val="20"/>
              </w:rPr>
              <w:t>on-invasive biomarkers face challenges in achieving sensitivity and specificity on par with invasive gold standards; limited by dataset heterogeneity and lack of standardized protocols</w:t>
            </w:r>
          </w:p>
        </w:tc>
      </w:tr>
    </w:tbl>
    <w:p w14:paraId="6103368A" w14:textId="69F115F9" w:rsidR="00185272" w:rsidRDefault="00185272" w:rsidP="00185272">
      <w:pPr>
        <w:rPr>
          <w:lang w:val="en-US"/>
        </w:rPr>
      </w:pPr>
    </w:p>
    <w:p w14:paraId="2F4878D6" w14:textId="77777777" w:rsidR="000E75EA" w:rsidRDefault="000E75EA" w:rsidP="005E0760">
      <w:pPr>
        <w:rPr>
          <w:b/>
          <w:bCs/>
          <w:u w:val="single"/>
        </w:rPr>
      </w:pPr>
    </w:p>
    <w:p w14:paraId="4D4DA2E1" w14:textId="77777777" w:rsidR="000E75EA" w:rsidRDefault="000E75EA" w:rsidP="005E0760">
      <w:pPr>
        <w:rPr>
          <w:b/>
          <w:bCs/>
          <w:u w:val="single"/>
        </w:rPr>
      </w:pPr>
    </w:p>
    <w:p w14:paraId="45587BFB" w14:textId="77777777" w:rsidR="000E75EA" w:rsidRDefault="000E75EA" w:rsidP="005E0760">
      <w:pPr>
        <w:rPr>
          <w:b/>
          <w:bCs/>
          <w:u w:val="single"/>
        </w:rPr>
      </w:pPr>
    </w:p>
    <w:p w14:paraId="58DE5180" w14:textId="366E6D00" w:rsidR="005E0760" w:rsidRPr="005E0760" w:rsidRDefault="005E0760" w:rsidP="005E0760">
      <w:pPr>
        <w:rPr>
          <w:b/>
          <w:bCs/>
          <w:u w:val="single"/>
        </w:rPr>
      </w:pPr>
      <w:r w:rsidRPr="005E0760">
        <w:rPr>
          <w:b/>
          <w:bCs/>
          <w:u w:val="single"/>
        </w:rPr>
        <w:t>References</w:t>
      </w:r>
      <w:r w:rsidR="00430F25">
        <w:rPr>
          <w:b/>
          <w:bCs/>
          <w:u w:val="single"/>
        </w:rPr>
        <w:t>:-</w:t>
      </w:r>
      <w:r w:rsidRPr="005E0760">
        <w:rPr>
          <w:b/>
          <w:bCs/>
          <w:u w:val="single"/>
        </w:rPr>
        <w:t xml:space="preserve"> </w:t>
      </w:r>
    </w:p>
    <w:p w14:paraId="63E97437" w14:textId="77777777" w:rsidR="005E0760" w:rsidRPr="005E0760" w:rsidRDefault="005E0760" w:rsidP="00EF0D36">
      <w:pPr>
        <w:ind w:left="720"/>
      </w:pPr>
      <w:r w:rsidRPr="005E0760">
        <w:rPr>
          <w:b/>
          <w:bCs/>
        </w:rPr>
        <w:t>[1]</w:t>
      </w:r>
      <w:r w:rsidRPr="005E0760">
        <w:t xml:space="preserve"> Ruan, Y., Zhang, X., &amp; Liu, Y. (2023). Identifying metabolic syndrome easily and cost effectively using non-invasive methods with machine learning models. </w:t>
      </w:r>
      <w:r w:rsidRPr="005E0760">
        <w:rPr>
          <w:i/>
          <w:iCs/>
        </w:rPr>
        <w:t>Diabetes, Metabolic Syndrome and Obesity: Targets and Therapy</w:t>
      </w:r>
      <w:r w:rsidRPr="005E0760">
        <w:t xml:space="preserve">, 16, 2147–2158. </w:t>
      </w:r>
      <w:hyperlink r:id="rId5" w:tgtFrame="_blank" w:history="1">
        <w:r w:rsidRPr="005E0760">
          <w:rPr>
            <w:rStyle w:val="Hyperlink"/>
          </w:rPr>
          <w:t>https://doi.org/10.2147/DMSO.S413829</w:t>
        </w:r>
      </w:hyperlink>
    </w:p>
    <w:p w14:paraId="0E1C3E38" w14:textId="77777777" w:rsidR="005E0760" w:rsidRPr="005E0760" w:rsidRDefault="005E0760" w:rsidP="00EF0D36">
      <w:pPr>
        <w:ind w:left="720"/>
      </w:pPr>
      <w:r w:rsidRPr="005E0760">
        <w:rPr>
          <w:b/>
          <w:bCs/>
        </w:rPr>
        <w:t>[2]</w:t>
      </w:r>
      <w:r w:rsidRPr="005E0760">
        <w:t xml:space="preserve"> Smith, A., Johnson, B., &amp; Williams, C. (2024). Machine learning-driven metabolic syndrome prediction: An international cohort validation study. </w:t>
      </w:r>
      <w:r w:rsidRPr="005E0760">
        <w:rPr>
          <w:i/>
          <w:iCs/>
        </w:rPr>
        <w:t>Healthcare</w:t>
      </w:r>
      <w:r w:rsidRPr="005E0760">
        <w:t xml:space="preserve">, 12(24), Article 2527. </w:t>
      </w:r>
      <w:hyperlink r:id="rId6" w:tgtFrame="_blank" w:history="1">
        <w:r w:rsidRPr="005E0760">
          <w:rPr>
            <w:rStyle w:val="Hyperlink"/>
          </w:rPr>
          <w:t>https://doi.org/10.3390/healthcare12242527</w:t>
        </w:r>
      </w:hyperlink>
    </w:p>
    <w:p w14:paraId="6C8BB4D2" w14:textId="77777777" w:rsidR="005E0760" w:rsidRPr="005E0760" w:rsidRDefault="005E0760" w:rsidP="00EF0D36">
      <w:pPr>
        <w:ind w:left="720"/>
      </w:pPr>
      <w:r w:rsidRPr="005E0760">
        <w:rPr>
          <w:b/>
          <w:bCs/>
        </w:rPr>
        <w:t>[3]</w:t>
      </w:r>
      <w:r w:rsidRPr="005E0760">
        <w:t xml:space="preserve"> Mohammed, A., Alshraideh, H., Abu-Helalah, M., &amp; Shamayleh, A. (2025). An explainable non-invasive hybrid machine learning framework for accurate prediction of thyroid-stimulating hormone levels. </w:t>
      </w:r>
      <w:r w:rsidRPr="005E0760">
        <w:rPr>
          <w:i/>
          <w:iCs/>
        </w:rPr>
        <w:t>Computers in Biology and Medicine</w:t>
      </w:r>
      <w:r w:rsidRPr="005E0760">
        <w:t xml:space="preserve">, 189, Article 109974. </w:t>
      </w:r>
      <w:hyperlink r:id="rId7" w:tgtFrame="_blank" w:history="1">
        <w:r w:rsidRPr="005E0760">
          <w:rPr>
            <w:rStyle w:val="Hyperlink"/>
          </w:rPr>
          <w:t>https://doi.org/10.1016/j.compbiomed.2024.108500</w:t>
        </w:r>
      </w:hyperlink>
    </w:p>
    <w:p w14:paraId="46A4CB42" w14:textId="77777777" w:rsidR="005E0760" w:rsidRPr="005E0760" w:rsidRDefault="005E0760" w:rsidP="00EF0D36">
      <w:pPr>
        <w:ind w:left="720"/>
      </w:pPr>
      <w:r w:rsidRPr="005E0760">
        <w:rPr>
          <w:b/>
          <w:bCs/>
        </w:rPr>
        <w:t>[4]</w:t>
      </w:r>
      <w:r w:rsidRPr="005E0760">
        <w:t xml:space="preserve"> Begum K, G., Harini, R., Valarmathi, R., Mayuri, V. S., &amp; Pricilla M, A. (2026). Decoding hormonal havoc: AI-driven lifestyle and nutrition guidance for polycystic ovary syndrome. In </w:t>
      </w:r>
      <w:r w:rsidRPr="005E0760">
        <w:rPr>
          <w:i/>
          <w:iCs/>
        </w:rPr>
        <w:t>Proceedings of the 2026 International Conference on Signal, Systems, and Computing for Next-Gen Automation (ICSSCNA)</w:t>
      </w:r>
      <w:r w:rsidRPr="005E0760">
        <w:t xml:space="preserve"> (pp. 926–931). IEEE. </w:t>
      </w:r>
      <w:hyperlink r:id="rId8" w:tgtFrame="_blank" w:history="1">
        <w:r w:rsidRPr="005E0760">
          <w:rPr>
            <w:rStyle w:val="Hyperlink"/>
          </w:rPr>
          <w:t>https://doi.org/10.1109/ICSSCNA68616.2026.11546759</w:t>
        </w:r>
      </w:hyperlink>
    </w:p>
    <w:p w14:paraId="3B167D44" w14:textId="77777777" w:rsidR="005E0760" w:rsidRPr="005E0760" w:rsidRDefault="005E0760" w:rsidP="00EF0D36">
      <w:pPr>
        <w:ind w:left="720"/>
      </w:pPr>
      <w:r w:rsidRPr="005E0760">
        <w:rPr>
          <w:b/>
          <w:bCs/>
        </w:rPr>
        <w:t>[5]</w:t>
      </w:r>
      <w:r w:rsidRPr="005E0760">
        <w:t xml:space="preserve"> Guo, J., Chen, L., &amp; Wang, H. (2024). Development and validation of a non-invasive machine learning model for metabolic syndrome screening using SHAP feature explainability. </w:t>
      </w:r>
      <w:r w:rsidRPr="005E0760">
        <w:rPr>
          <w:i/>
          <w:iCs/>
        </w:rPr>
        <w:t>Frontiers in Public Health</w:t>
      </w:r>
      <w:r w:rsidRPr="005E0760">
        <w:t xml:space="preserve">, 12, Article 1402911. </w:t>
      </w:r>
      <w:hyperlink r:id="rId9" w:tgtFrame="_blank" w:history="1">
        <w:r w:rsidRPr="005E0760">
          <w:rPr>
            <w:rStyle w:val="Hyperlink"/>
          </w:rPr>
          <w:t>https://doi.org/10.3389/fpubh.2024.1402911</w:t>
        </w:r>
      </w:hyperlink>
    </w:p>
    <w:p w14:paraId="68D06ED2" w14:textId="77777777" w:rsidR="005E0760" w:rsidRPr="005E0760" w:rsidRDefault="005E0760" w:rsidP="00EF0D36">
      <w:pPr>
        <w:ind w:left="720"/>
      </w:pPr>
      <w:r w:rsidRPr="005E0760">
        <w:rPr>
          <w:b/>
          <w:bCs/>
        </w:rPr>
        <w:t>[6]</w:t>
      </w:r>
      <w:r w:rsidRPr="005E0760">
        <w:t xml:space="preserve"> Tiwari, S. W., Bisht, K., Joshi, M., Chand, G., Sagar, S., &amp; Pandey, V. (2025). AI-driven predictive modeling: Transforming diagnosis and management in women's health. In </w:t>
      </w:r>
      <w:r w:rsidRPr="005E0760">
        <w:rPr>
          <w:i/>
          <w:iCs/>
        </w:rPr>
        <w:t>Proceedings of the 2025 10th IEEE International Conference on Smart Structures and Systems (ICSSS)</w:t>
      </w:r>
      <w:r w:rsidRPr="005E0760">
        <w:t xml:space="preserve"> (pp. 1–8). IEEE. </w:t>
      </w:r>
      <w:hyperlink r:id="rId10" w:tgtFrame="_blank" w:history="1">
        <w:r w:rsidRPr="005E0760">
          <w:rPr>
            <w:rStyle w:val="Hyperlink"/>
          </w:rPr>
          <w:t>https://doi.org/10.1109/ICSSS66939.2025.11346358</w:t>
        </w:r>
      </w:hyperlink>
    </w:p>
    <w:p w14:paraId="1F385551" w14:textId="77777777" w:rsidR="005E0760" w:rsidRPr="005E0760" w:rsidRDefault="005E0760" w:rsidP="00EF0D36">
      <w:pPr>
        <w:ind w:left="720"/>
      </w:pPr>
      <w:r w:rsidRPr="005E0760">
        <w:rPr>
          <w:b/>
          <w:bCs/>
        </w:rPr>
        <w:t>[7]</w:t>
      </w:r>
      <w:r w:rsidRPr="005E0760">
        <w:t xml:space="preserve"> Al-Zaiti, S., Besomi, M., &amp; Martin, R. (2023). Machine learning for non-invasive identification of metabolic and cardiovascular risk factors. </w:t>
      </w:r>
      <w:r w:rsidRPr="005E0760">
        <w:rPr>
          <w:i/>
          <w:iCs/>
        </w:rPr>
        <w:t>Journal of Electrocardiology</w:t>
      </w:r>
      <w:r w:rsidRPr="005E0760">
        <w:t xml:space="preserve">, 78, 45–52. </w:t>
      </w:r>
      <w:hyperlink r:id="rId11" w:tgtFrame="_blank" w:history="1">
        <w:r w:rsidRPr="005E0760">
          <w:rPr>
            <w:rStyle w:val="Hyperlink"/>
          </w:rPr>
          <w:t>https://doi.org/10.1016/j.jelectrocard.2023.03.004</w:t>
        </w:r>
      </w:hyperlink>
    </w:p>
    <w:p w14:paraId="4F2DD4E6" w14:textId="77777777" w:rsidR="005E0760" w:rsidRPr="005E0760" w:rsidRDefault="005E0760" w:rsidP="00EF0D36">
      <w:pPr>
        <w:ind w:left="720"/>
      </w:pPr>
      <w:r w:rsidRPr="005E0760">
        <w:rPr>
          <w:b/>
          <w:bCs/>
        </w:rPr>
        <w:t>[8]</w:t>
      </w:r>
      <w:r w:rsidRPr="005E0760">
        <w:t xml:space="preserve"> Martinez, E., Garcia, R., &amp; Lopez, M. (2024). ML-driven predictive modeling combined with automated clinical decision loops for ovarian system health. </w:t>
      </w:r>
      <w:r w:rsidRPr="005E0760">
        <w:rPr>
          <w:i/>
          <w:iCs/>
        </w:rPr>
        <w:t>Maturitas</w:t>
      </w:r>
      <w:r w:rsidRPr="005E0760">
        <w:t xml:space="preserve">, 180, Article 107920. </w:t>
      </w:r>
      <w:hyperlink r:id="rId12" w:tgtFrame="_blank" w:history="1">
        <w:r w:rsidRPr="005E0760">
          <w:rPr>
            <w:rStyle w:val="Hyperlink"/>
          </w:rPr>
          <w:t>https://doi.org/10.1016/j.maturitas.2024.107920</w:t>
        </w:r>
      </w:hyperlink>
    </w:p>
    <w:p w14:paraId="2C4D588B" w14:textId="77777777" w:rsidR="005E0760" w:rsidRPr="005E0760" w:rsidRDefault="005E0760" w:rsidP="00EF0D36">
      <w:pPr>
        <w:ind w:left="720"/>
      </w:pPr>
      <w:r w:rsidRPr="005E0760">
        <w:rPr>
          <w:b/>
          <w:bCs/>
        </w:rPr>
        <w:t>[9]</w:t>
      </w:r>
      <w:r w:rsidRPr="005E0760">
        <w:t xml:space="preserve"> Park, J., Lee, S., &amp; Kim, H. (2024). Comparison of machine learning models for early screening of metabolic syndrome using routine anthropometric data. </w:t>
      </w:r>
      <w:r w:rsidRPr="005E0760">
        <w:rPr>
          <w:i/>
          <w:iCs/>
        </w:rPr>
        <w:t>Computers in Biology and Medicine</w:t>
      </w:r>
      <w:r w:rsidRPr="005E0760">
        <w:t xml:space="preserve">, 172, Article 108112. </w:t>
      </w:r>
      <w:hyperlink r:id="rId13" w:tgtFrame="_blank" w:history="1">
        <w:r w:rsidRPr="005E0760">
          <w:rPr>
            <w:rStyle w:val="Hyperlink"/>
          </w:rPr>
          <w:t>https://doi.org/10.1016/j.compbiomed.2024.108112</w:t>
        </w:r>
      </w:hyperlink>
    </w:p>
    <w:p w14:paraId="2E4A8FEF" w14:textId="77777777" w:rsidR="005E0760" w:rsidRPr="005E0760" w:rsidRDefault="005E0760" w:rsidP="00EF0D36">
      <w:pPr>
        <w:ind w:left="720"/>
      </w:pPr>
      <w:r w:rsidRPr="005E0760">
        <w:rPr>
          <w:b/>
          <w:bCs/>
        </w:rPr>
        <w:t>[10]</w:t>
      </w:r>
      <w:r w:rsidRPr="005E0760">
        <w:t xml:space="preserve"> Mohammed, A., Alshraideh, H., Abu-Helalah, M., &amp; Shamayleh, A. (2025). Feature selection and hyperparameter optimization in hybrid prediction models for endocrine biomarkers. </w:t>
      </w:r>
      <w:r w:rsidRPr="005E0760">
        <w:rPr>
          <w:i/>
          <w:iCs/>
        </w:rPr>
        <w:t>Computers in Biology and Medicine</w:t>
      </w:r>
      <w:r w:rsidRPr="005E0760">
        <w:t xml:space="preserve">, 189, Article 109974. </w:t>
      </w:r>
      <w:hyperlink r:id="rId14" w:tgtFrame="_blank" w:history="1">
        <w:r w:rsidRPr="005E0760">
          <w:rPr>
            <w:rStyle w:val="Hyperlink"/>
          </w:rPr>
          <w:t>https://doi.org/10.1016/j.compbiomed.2025.109974</w:t>
        </w:r>
      </w:hyperlink>
    </w:p>
    <w:p w14:paraId="7D808994" w14:textId="77777777" w:rsidR="005E0760" w:rsidRPr="005E0760" w:rsidRDefault="005E0760" w:rsidP="00EF0D36">
      <w:pPr>
        <w:ind w:left="720"/>
      </w:pPr>
      <w:r w:rsidRPr="005E0760">
        <w:rPr>
          <w:b/>
          <w:bCs/>
        </w:rPr>
        <w:t>[11]</w:t>
      </w:r>
      <w:r w:rsidRPr="005E0760">
        <w:t xml:space="preserve"> Abrishami, G., Emadzadeh, M., Bakhshi, A., Moeinipour, Y., Taghavi, G., &amp; Hasani, S. (2025). Prevalence and predictors of thyroid nodules among adults: Analyzing the association </w:t>
      </w:r>
      <w:r w:rsidRPr="005E0760">
        <w:lastRenderedPageBreak/>
        <w:t xml:space="preserve">with metabolic syndrome in a cross-sectional study. </w:t>
      </w:r>
      <w:r w:rsidRPr="005E0760">
        <w:rPr>
          <w:i/>
          <w:iCs/>
        </w:rPr>
        <w:t>BMC Endocrine Disorders</w:t>
      </w:r>
      <w:r w:rsidRPr="005E0760">
        <w:t xml:space="preserve">, 25, Article 40. </w:t>
      </w:r>
      <w:hyperlink r:id="rId15" w:tgtFrame="_blank" w:history="1">
        <w:r w:rsidRPr="005E0760">
          <w:rPr>
            <w:rStyle w:val="Hyperlink"/>
          </w:rPr>
          <w:t>https://doi.org/10.1186/s12902-025-01869-5</w:t>
        </w:r>
      </w:hyperlink>
    </w:p>
    <w:p w14:paraId="472AF717" w14:textId="77777777" w:rsidR="005E0760" w:rsidRPr="005E0760" w:rsidRDefault="005E0760" w:rsidP="00EF0D36">
      <w:pPr>
        <w:ind w:left="720"/>
      </w:pPr>
      <w:r w:rsidRPr="005E0760">
        <w:rPr>
          <w:b/>
          <w:bCs/>
        </w:rPr>
        <w:t>[12]</w:t>
      </w:r>
      <w:r w:rsidRPr="005E0760">
        <w:t xml:space="preserve"> Ghaderzadeh, M., Garavand, A., &amp; Salehnasab, C. (2025). Artificial intelligence in polycystic ovary syndrome: A systematic review of diagnostic and predictive applications. </w:t>
      </w:r>
      <w:r w:rsidRPr="005E0760">
        <w:rPr>
          <w:i/>
          <w:iCs/>
        </w:rPr>
        <w:t>BMC Medical Informatics and Decision Making</w:t>
      </w:r>
      <w:r w:rsidRPr="005E0760">
        <w:t xml:space="preserve">, 25, Article 427. </w:t>
      </w:r>
      <w:hyperlink r:id="rId16" w:tgtFrame="_blank" w:history="1">
        <w:r w:rsidRPr="005E0760">
          <w:rPr>
            <w:rStyle w:val="Hyperlink"/>
          </w:rPr>
          <w:t>https://doi.org/10.1186/s12911-025-03255-6</w:t>
        </w:r>
      </w:hyperlink>
    </w:p>
    <w:p w14:paraId="5655FECD" w14:textId="77777777" w:rsidR="005E0760" w:rsidRPr="005E0760" w:rsidRDefault="005E0760" w:rsidP="00EF0D36">
      <w:pPr>
        <w:ind w:left="720"/>
      </w:pPr>
      <w:r w:rsidRPr="005E0760">
        <w:rPr>
          <w:b/>
          <w:bCs/>
        </w:rPr>
        <w:t>[13]</w:t>
      </w:r>
      <w:r w:rsidRPr="005E0760">
        <w:t xml:space="preserve"> Hasanzad, M., Meybodi, H. R. A., Sarhangi, N., &amp; Larijani, B. (2022). Artificial intelligence perspective in the future of endocrine diseases. </w:t>
      </w:r>
      <w:r w:rsidRPr="005E0760">
        <w:rPr>
          <w:i/>
          <w:iCs/>
        </w:rPr>
        <w:t>Journal of Diabetes &amp; Metabolic Disorders</w:t>
      </w:r>
      <w:r w:rsidRPr="005E0760">
        <w:t xml:space="preserve">, 21(1), 971–978. </w:t>
      </w:r>
      <w:hyperlink r:id="rId17" w:tgtFrame="_blank" w:history="1">
        <w:r w:rsidRPr="005E0760">
          <w:rPr>
            <w:rStyle w:val="Hyperlink"/>
          </w:rPr>
          <w:t>https://doi.org/10.1007/s40200-021-00949-2</w:t>
        </w:r>
      </w:hyperlink>
    </w:p>
    <w:p w14:paraId="3C1CE952" w14:textId="77777777" w:rsidR="005E0760" w:rsidRPr="005E0760" w:rsidRDefault="005E0760" w:rsidP="00EF0D36">
      <w:pPr>
        <w:ind w:left="720"/>
      </w:pPr>
      <w:r w:rsidRPr="005E0760">
        <w:rPr>
          <w:b/>
          <w:bCs/>
        </w:rPr>
        <w:t>[14]</w:t>
      </w:r>
      <w:r w:rsidRPr="005E0760">
        <w:t xml:space="preserve"> Zhang, Y., Zhao, X., &amp; Liu, P. (2023). Screening for metabolic abnormalities in primary care: A comparative machine learning study on 9,171 physical checkup subjects. </w:t>
      </w:r>
      <w:r w:rsidRPr="005E0760">
        <w:rPr>
          <w:i/>
          <w:iCs/>
        </w:rPr>
        <w:t>Diagnostics</w:t>
      </w:r>
      <w:r w:rsidRPr="005E0760">
        <w:t xml:space="preserve">, 13(14), Article 2345. </w:t>
      </w:r>
      <w:hyperlink r:id="rId18" w:tgtFrame="_blank" w:history="1">
        <w:r w:rsidRPr="005E0760">
          <w:rPr>
            <w:rStyle w:val="Hyperlink"/>
          </w:rPr>
          <w:t>https://doi.org/10.3390/diagnostics13142345</w:t>
        </w:r>
      </w:hyperlink>
    </w:p>
    <w:p w14:paraId="3C2FC961" w14:textId="77777777" w:rsidR="005E0760" w:rsidRPr="005E0760" w:rsidRDefault="005E0760" w:rsidP="00EF0D36">
      <w:pPr>
        <w:ind w:left="720"/>
      </w:pPr>
      <w:r w:rsidRPr="005E0760">
        <w:rPr>
          <w:b/>
          <w:bCs/>
        </w:rPr>
        <w:t>[15]</w:t>
      </w:r>
      <w:r w:rsidRPr="005E0760">
        <w:t xml:space="preserve"> Lazaros, K., Adam, S., Krokidis, M. G., Exarchos, T., Vlamos, P., &amp; Vrahatis, A. G. (2025). Non-invasive biomarkers in the era of big data and machine learning. </w:t>
      </w:r>
      <w:r w:rsidRPr="005E0760">
        <w:rPr>
          <w:i/>
          <w:iCs/>
        </w:rPr>
        <w:t>Sensors</w:t>
      </w:r>
      <w:r w:rsidRPr="005E0760">
        <w:t xml:space="preserve">, 25(5), Article 1396. </w:t>
      </w:r>
      <w:hyperlink r:id="rId19" w:tgtFrame="_blank" w:history="1">
        <w:r w:rsidRPr="005E0760">
          <w:rPr>
            <w:rStyle w:val="Hyperlink"/>
          </w:rPr>
          <w:t>https://doi.org/10.3390/s25051396</w:t>
        </w:r>
      </w:hyperlink>
    </w:p>
    <w:p w14:paraId="092FDFE2" w14:textId="77777777" w:rsidR="005E0760" w:rsidRDefault="005E0760" w:rsidP="00185272">
      <w:pPr>
        <w:rPr>
          <w:lang w:val="en-US"/>
        </w:rPr>
      </w:pPr>
    </w:p>
    <w:p w14:paraId="55501C40" w14:textId="77777777" w:rsidR="00624767" w:rsidRPr="00185272" w:rsidRDefault="00624767" w:rsidP="00185272">
      <w:pPr>
        <w:rPr>
          <w:lang w:val="en-US"/>
        </w:rPr>
      </w:pPr>
    </w:p>
    <w:sectPr w:rsidR="00624767" w:rsidRPr="001852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77E4A"/>
    <w:multiLevelType w:val="multilevel"/>
    <w:tmpl w:val="509E2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C42625"/>
    <w:multiLevelType w:val="multilevel"/>
    <w:tmpl w:val="25849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B23230"/>
    <w:multiLevelType w:val="multilevel"/>
    <w:tmpl w:val="49489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9282816">
    <w:abstractNumId w:val="0"/>
  </w:num>
  <w:num w:numId="2" w16cid:durableId="292714563">
    <w:abstractNumId w:val="1"/>
  </w:num>
  <w:num w:numId="3" w16cid:durableId="11368719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7E01"/>
    <w:rsid w:val="00001BB8"/>
    <w:rsid w:val="00004A2C"/>
    <w:rsid w:val="00065389"/>
    <w:rsid w:val="00067CEF"/>
    <w:rsid w:val="000E75EA"/>
    <w:rsid w:val="00147E01"/>
    <w:rsid w:val="00180D58"/>
    <w:rsid w:val="00185272"/>
    <w:rsid w:val="00201CA4"/>
    <w:rsid w:val="00250D20"/>
    <w:rsid w:val="002735CE"/>
    <w:rsid w:val="00274659"/>
    <w:rsid w:val="00277594"/>
    <w:rsid w:val="0028475A"/>
    <w:rsid w:val="00285351"/>
    <w:rsid w:val="002973B7"/>
    <w:rsid w:val="002D72DD"/>
    <w:rsid w:val="002E331A"/>
    <w:rsid w:val="00383192"/>
    <w:rsid w:val="003A61A0"/>
    <w:rsid w:val="00403B1A"/>
    <w:rsid w:val="00430F25"/>
    <w:rsid w:val="00445FDA"/>
    <w:rsid w:val="004621FE"/>
    <w:rsid w:val="004676CE"/>
    <w:rsid w:val="00472FB2"/>
    <w:rsid w:val="00491F7B"/>
    <w:rsid w:val="004933CD"/>
    <w:rsid w:val="004C7B0E"/>
    <w:rsid w:val="004E6A22"/>
    <w:rsid w:val="004E71E5"/>
    <w:rsid w:val="00506376"/>
    <w:rsid w:val="00510743"/>
    <w:rsid w:val="00553DB1"/>
    <w:rsid w:val="005A3EC5"/>
    <w:rsid w:val="005A7B8C"/>
    <w:rsid w:val="005E0760"/>
    <w:rsid w:val="005F3F0C"/>
    <w:rsid w:val="00606126"/>
    <w:rsid w:val="006172E0"/>
    <w:rsid w:val="00624767"/>
    <w:rsid w:val="006756F2"/>
    <w:rsid w:val="006C5FCC"/>
    <w:rsid w:val="00745AEB"/>
    <w:rsid w:val="007E3C64"/>
    <w:rsid w:val="00843DB7"/>
    <w:rsid w:val="00872000"/>
    <w:rsid w:val="00874730"/>
    <w:rsid w:val="008A064C"/>
    <w:rsid w:val="00935845"/>
    <w:rsid w:val="0094646E"/>
    <w:rsid w:val="00960641"/>
    <w:rsid w:val="009644B1"/>
    <w:rsid w:val="0098251C"/>
    <w:rsid w:val="00992FA7"/>
    <w:rsid w:val="009964B2"/>
    <w:rsid w:val="009D4332"/>
    <w:rsid w:val="009E0EBC"/>
    <w:rsid w:val="009F47F5"/>
    <w:rsid w:val="00A35AC7"/>
    <w:rsid w:val="00A665F6"/>
    <w:rsid w:val="00AF5FC5"/>
    <w:rsid w:val="00B015BA"/>
    <w:rsid w:val="00B61F23"/>
    <w:rsid w:val="00BC449E"/>
    <w:rsid w:val="00BE2691"/>
    <w:rsid w:val="00CA059F"/>
    <w:rsid w:val="00CA061D"/>
    <w:rsid w:val="00CA5BD4"/>
    <w:rsid w:val="00D043D8"/>
    <w:rsid w:val="00DA7929"/>
    <w:rsid w:val="00DB4D50"/>
    <w:rsid w:val="00E67AAE"/>
    <w:rsid w:val="00EB2867"/>
    <w:rsid w:val="00EE44A3"/>
    <w:rsid w:val="00EF0D36"/>
    <w:rsid w:val="00EF42E2"/>
    <w:rsid w:val="00F72C9E"/>
    <w:rsid w:val="00FC1C6A"/>
    <w:rsid w:val="00FF1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01C22"/>
  <w15:chartTrackingRefBased/>
  <w15:docId w15:val="{1A75BBF8-924E-4DAF-A54E-C13D8FFB2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7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E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E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E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7E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E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E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E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E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E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E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E0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C44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676CE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E07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076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0F2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://doi.org/10.1109/ICSSCNA68616.2026.11546759&amp;authuser=1" TargetMode="External"/><Relationship Id="rId13" Type="http://schemas.openxmlformats.org/officeDocument/2006/relationships/hyperlink" Target="https://www.google.com/search?q=https://doi.org/10.1016/j.compbiomed.2024.108112&amp;authuser=1" TargetMode="External"/><Relationship Id="rId18" Type="http://schemas.openxmlformats.org/officeDocument/2006/relationships/hyperlink" Target="https://www.google.com/search?q=https://doi.org/10.3390/diagnostics13142345&amp;authuser=1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google.com/search?q=https://doi.org/10.1016/j.compbiomed.2024.108500&amp;authuser=1" TargetMode="External"/><Relationship Id="rId12" Type="http://schemas.openxmlformats.org/officeDocument/2006/relationships/hyperlink" Target="https://www.google.com/search?q=https://doi.org/10.1016/j.maturitas.2024.107920&amp;authuser=1" TargetMode="External"/><Relationship Id="rId17" Type="http://schemas.openxmlformats.org/officeDocument/2006/relationships/hyperlink" Target="https://doi.org/10.1007/s40200-021-00949-2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com/search?q=https://doi.org/10.1186/s12911-025-03255-6&amp;authuser=1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doi.org/10.3390/healthcare12242527&amp;authuser=1" TargetMode="External"/><Relationship Id="rId11" Type="http://schemas.openxmlformats.org/officeDocument/2006/relationships/hyperlink" Target="https://www.google.com/search?q=https://doi.org/10.1016/j.jelectrocard.2023.03.004&amp;authuser=1" TargetMode="External"/><Relationship Id="rId5" Type="http://schemas.openxmlformats.org/officeDocument/2006/relationships/hyperlink" Target="https://www.google.com/search?q=https://doi.org/10.2147/DMSO.S413829&amp;authuser=1" TargetMode="External"/><Relationship Id="rId15" Type="http://schemas.openxmlformats.org/officeDocument/2006/relationships/hyperlink" Target="https://www.google.com/search?q=https://doi.org/10.1186/s12902-025-01869-5&amp;authuser=1" TargetMode="External"/><Relationship Id="rId10" Type="http://schemas.openxmlformats.org/officeDocument/2006/relationships/hyperlink" Target="https://www.google.com/search?q=https://doi.org/10.1109/ICSSS66939.2025.11346358&amp;authuser=1" TargetMode="External"/><Relationship Id="rId19" Type="http://schemas.openxmlformats.org/officeDocument/2006/relationships/hyperlink" Target="https://www.google.com/search?q=https://doi.org/10.3390/s25051396&amp;authuser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https://doi.org/10.3389/fpubh.2024.1402911&amp;authuser=1" TargetMode="External"/><Relationship Id="rId14" Type="http://schemas.openxmlformats.org/officeDocument/2006/relationships/hyperlink" Target="https://www.google.com/search?q=https://doi.org/10.1016/j.compbiomed.2025.109974&amp;authuser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6</Pages>
  <Words>2710</Words>
  <Characters>15450</Characters>
  <Application>Microsoft Office Word</Application>
  <DocSecurity>0</DocSecurity>
  <Lines>128</Lines>
  <Paragraphs>36</Paragraphs>
  <ScaleCrop>false</ScaleCrop>
  <Company/>
  <LinksUpToDate>false</LinksUpToDate>
  <CharactersWithSpaces>18124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Singh</dc:creator>
  <cp:keywords/>
  <dc:description/>
  <cp:lastModifiedBy>Ananya Singh</cp:lastModifiedBy>
  <cp:revision>74</cp:revision>
  <dcterms:created xsi:type="dcterms:W3CDTF">2026-08-04T15:51:00Z</dcterms:created>
  <dcterms:modified xsi:type="dcterms:W3CDTF">2026-08-05T16:18:00Z</dcterms:modified>
</cp:coreProperties>
</file>