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  <w:jc w:val="center"/>
      </w:pPr>
      <w:r>
        <w:rPr>
          <w:b/>
          <w:bCs/>
          <w:color w:val="0D0D0D"/>
          <w:sz w:val="56"/>
          <w:szCs w:val="56"/>
        </w:rPr>
        <w:t xml:space="preserve">SPLASHNET</w:t>
      </w:r>
    </w:p>
    <w:p>
      <w:pPr>
        <w:spacing w:after="600"/>
        <w:jc w:val="center"/>
      </w:pPr>
      <w:r>
        <w:rPr>
          <w:color w:val="6B7280"/>
          <w:sz w:val="24"/>
          <w:szCs w:val="24"/>
        </w:rPr>
        <w:t xml:space="preserve">AD DELIVERY &amp; TRACKING ENGINE</w:t>
      </w:r>
    </w:p>
    <w:p>
      <w:pPr>
        <w:spacing w:after="400"/>
        <w:jc w:val="center"/>
      </w:pPr>
      <w:r>
        <w:rPr>
          <w:b/>
          <w:bCs/>
          <w:color w:val="059669"/>
          <w:sz w:val="18"/>
          <w:szCs w:val="18"/>
        </w:rPr>
        <w:t xml:space="preserve">DEMO VERIFICATION CHECKLIST</w:t>
      </w:r>
    </w:p>
    <w:p>
      <w:pPr>
        <w:spacing w:after="400"/>
      </w:pPr>
    </w:p>
    <w:p>
      <w:pPr>
        <w:jc w:val="center"/>
      </w:pPr>
      <w:r>
        <w:rPr>
          <w:b/>
          <w:bCs/>
          <w:sz w:val="18"/>
          <w:szCs w:val="18"/>
        </w:rPr>
        <w:t xml:space="preserve">Admin Console</w:t>
      </w:r>
    </w:p>
    <w:p>
      <w:pPr>
        <w:jc w:val="center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splash.nxph.site</w:t>
      </w:r>
    </w:p>
    <w:p>
      <w:pPr>
        <w:jc w:val="center"/>
      </w:pPr>
      <w:r>
        <w:rPr>
          <w:color w:val="6B7280"/>
          <w:sz w:val="18"/>
          <w:szCs w:val="18"/>
        </w:rPr>
        <w:t xml:space="preserve">Advertiser Portal: splash.nxph.site/portal</w:t>
      </w:r>
    </w:p>
    <w:p>
      <w:pPr>
        <w:jc w:val="center"/>
      </w:pPr>
      <w:r>
        <w:rPr>
          <w:color w:val="6B7280"/>
          <w:sz w:val="18"/>
          <w:szCs w:val="18"/>
        </w:rPr>
        <w:t xml:space="preserve">Operator Console: splash.nxph.site/ops</w:t>
      </w:r>
    </w:p>
    <w:p>
      <w:pPr>
        <w:jc w:val="center"/>
      </w:pPr>
      <w:r>
        <w:rPr>
          <w:color w:val="6B7280"/>
          <w:sz w:val="18"/>
          <w:szCs w:val="18"/>
        </w:rPr>
        <w:t xml:space="preserve">Demo Portal: demo.nxph.site</w:t>
      </w:r>
    </w:p>
    <w:p>
      <w:pPr>
        <w:spacing w:after="600"/>
      </w:pPr>
    </w:p>
    <w:p>
      <w:pPr>
        <w:jc w:val="center"/>
      </w:pPr>
      <w:r>
        <w:rPr>
          <w:color w:val="6B7280"/>
          <w:sz w:val="16"/>
          <w:szCs w:val="16"/>
        </w:rPr>
        <w:t xml:space="preserve">Contract: BRD v4.2 — Phase 1, ₱130,000, signed 2026-08-07</w:t>
      </w:r>
    </w:p>
    <w:p>
      <w:pPr>
        <w:jc w:val="center"/>
      </w:pPr>
      <w:r>
        <w:rPr>
          <w:color w:val="6B7280"/>
          <w:sz w:val="16"/>
          <w:szCs w:val="16"/>
        </w:rPr>
        <w:t xml:space="preserve">Sheet dated: 2026-09-05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A — Contracted Scope: the ₱130,000</w:t>
      </w:r>
    </w:p>
    <w:p>
      <w:pPr>
        <w:spacing w:after="120" w:line="312"/>
      </w:pPr>
      <w:r>
        <w:rPr>
          <w:color w:val="374151"/>
          <w:sz w:val="20"/>
          <w:szCs w:val="20"/>
        </w:rPr>
        <w:t xml:space="preserve">These are the BRD §3 Phase 1 deliverables — the acceptance criteria. Every one is demonstrable on production today. If the client signs off on this section, both payment milestones are satisfied.</w:t>
      </w:r>
    </w:p>
    <w:p>
      <w:pPr>
        <w:spacing w:after="4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40"/>
      </w:pPr>
      <w:r>
        <w:t xml:space="preserve">Foundation, RBAC &amp; Campaign Management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Role-based Admin UI (ADMIN / OPERATOR / VIEWER)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Three staff roles with distinct permissions. Advertiser and Vendor roles have their own consoles with hard tenancy — they see only their data.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splash.nxph.site/login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Advertiser &amp; Campaign CRUD with approval workflow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Full lifecycle: create → DRAFT (IN REVIEW) → admin approves → ACTIVE. Advertiser portal has self-service builder with Google-Ads-equivalent UX.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splash.nxph.site/campaigns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Visual Hourly Calendar Scheduler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24-hour grid showing booked/open hours. Site retargeting updates the grid live — no re-upload needed.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splash.nxph.site/scheduler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Pre-Commit Overlap Blocker (SQL intersection)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SQL interval-intersection query with row lock rejects duplicate hourly bookings with HTTP 409.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splash.nxph.site/campaigns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Multi-dimensional targeting: City × Environment × Cluster × Area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Four targeting dimensions with registry-backed dropdowns. Area drill-down (DVO-AGDAO) verified end-to-end.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splash.nxph.site/campaigns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40"/>
      </w:pPr>
      <w:r>
        <w:t xml:space="preserve">SDK, API &amp; Edge Hardening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splash.js SDK with 150ms fail-open timeout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Zero-dependency, self-updating (no-store cache). Served from splash.nxph.site, cached at Cloudflare edge for 5 minutes.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splash.nxph.site/embed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/api/v1/ad/fetch in &lt;50ms via Redis write-through cache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~4ms application time (Server-Timing header). Redis outage drill: fallback in 14ms, never hangs.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splash.nxph.site/api/v1/ad/fetch?city=DVO&amp;type=PISO_WIFI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Wildcard CORS on public ad endpoints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Access-Control-Allow-Origin: * on /ad/fetch only; admin APIs same-origin.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splash.nxph.site/api/health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Asia/Manila (UTC+8) normalization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All slot math in Manila wall-clock. Unit-tested including midnight rollover.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splash.nxph.site/analytics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WebP pipeline with 150 KB hard cap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Auto-compression on upload, 413 rejection if over cap after compression. CDN-hosted on cdn.nxph.site.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splash.nxph.site/assets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40"/>
      </w:pPr>
      <w:r>
        <w:t xml:space="preserve">Production Readiness &amp; Handover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Daily automated backups (verified restore)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03:00 nightly pg_dump, 7-day retention, all 32 tables verified.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splash.nxph.site/api/health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Health monitoring every 5 minutes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/api/health probe with optional webhook alerting (Discord/Slack).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splash.nxph.site/api/health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Full proof-of-deliverables pack (16 screenshots)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Every BRD §3 item mapped to evidence, assert-gated screenshots on GitHub.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github.com/logicminer/juanfi-splashnet/blob/main/docs/PROOF-OF-DELIVERABLES.md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t xml:space="preserve">B — Phase 2 Features Included at No Charge</w:t>
      </w:r>
    </w:p>
    <w:p>
      <w:pPr>
        <w:spacing w:after="120" w:line="312"/>
      </w:pPr>
      <w:r>
        <w:rPr>
          <w:color w:val="374151"/>
          <w:sz w:val="20"/>
          <w:szCs w:val="20"/>
        </w:rPr>
        <w:t xml:space="preserve">Each of these was priced as a separate add-on in the BRD. Each is built, deployed, and live today.</w:t>
      </w:r>
    </w:p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Free-minutes economy (budget-funded engagement)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Advertiser budget → cost per engagement (₱2) → free minutes (5). Revenue splits: 60/40 + 10% maintenance + 20% field ops.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splash.nxph.site/portal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Operator console (vendor self-service)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Income dashboard, 'Running on your portals' campaign visibility, connect-vendo wizard, API key rotation.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splash.nxph.site/ops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Advertiser portal (Google Ads-equivalent)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Builder with env toggles, city chips, area checklist, availability grid, creative picker, live preview, multi-block scheduling, PaySwitch checkout.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splash.nxph.site/portal/new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SMS middleware (vendor-agnostic failover)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Semaphore PH → Twilio → webhook → dev. Circuit breaker, durable outbox, pluggable adapters.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splash.nxph.site/integrations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PaySwitch payment integration (GCash, Maya)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Hosted checkout with HMAC-verified webhooks. Budget credits automatically on payment.settled.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splash.nxph.site/integrations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Sites registry with server-driven config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Install once, never re-flash. Retarget from admin console; portal follows in 60 seconds.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splash.nxph.site/ops/sites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Demo simulation with real JuanFi template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Hash-verified upstream v4.3. Full coin-insert flow, mock vendo with real admin UI.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demo.nxph.site/login.html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 — What Nobody Asked For, and We Built Anyway</w:t>
      </w:r>
    </w:p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OTP verification &amp; behavioral profiling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Phone-verified portal access. MAC↔phone linked in profiles. 6 persona inference rules from client review doc.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demo.nxph.site/login.html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Persona inference engine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Car wash → VEHICLE_OWNER (Class A/B/C1). Coffee shop → PROFESSIONAL. Medical → MEDICAL_PROFESSIONAL. Auto-triggers on OTP verification.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demo.nxph.site/login.html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Revenue share calculator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₱100 → ₱60 venue / ₱10 maintenance / ₱20 field ops / ₱10 network. Configurable per vendor.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splash.nxph.site/ops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GitHub fork with zero binaries + Apache 2.0 NOTICE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github.com/logicminer/juanfi-splashnet. +8 KB on 3 router files, vendo untouched.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github.com/logicminer/juanfi-splashnet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40-check API matrix as one-liner regression suite</w:t>
            </w:r>
          </w:p>
          <w:p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Self-sufficient fixtures, creative audit (catches internal jargon), operator console checks.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splash.nxph.site/api/health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t xml:space="preserve">D — What We Will Not Pretend Is Finished</w:t>
      </w:r>
    </w:p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Module A: iOS/Safari tracking bypass</w:t>
            </w:r>
          </w:p>
          <w:p>
            <w:pPr>
              <w:spacing w:after="6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BUILT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Quoted at ₱45,000. Not started. SDK works on Safari but engagement is less reliable.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demo.nxph.site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Module B: Anti-fraud data cleansing</w:t>
            </w:r>
          </w:p>
          <w:p>
            <w:pPr>
              <w:spacing w:after="6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BUILT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Quoted at ₱40,000. Not started. Profiling data is captured but no automated scoring exists.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splash.nxph.site/analytics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Module C: JuanFi portal connector</w:t>
            </w:r>
          </w:p>
          <w:p>
            <w:pPr>
              <w:spacing w:after="6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BUILT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Quoted at ₱50,000. Redemption API is live but no MikroTik session provisioning.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demo.nxph.site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SMS gateway account</w:t>
            </w:r>
          </w:p>
          <w:p>
            <w:pPr>
              <w:spacing w:after="6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THEIR INPUT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Middleware is built and tested. Needs a real Semaphore PH or Twilio account.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splash.nxph.site/integrations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PaySwitch merchant account</w:t>
            </w:r>
          </w:p>
          <w:p>
            <w:pPr>
              <w:spacing w:after="6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THEIR INPUT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UI and webhooks are live. Needs credentials from Rex at PaySwitch.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splash.nxph.site/integrations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8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Real-router pilot</w:t>
            </w:r>
          </w:p>
          <w:p>
            <w:pPr>
              <w:spacing w:after="6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BUILT</w:t>
            </w:r>
          </w:p>
          <w:p>
            <w:pPr>
              <w:spacing w:after="60" w:line="312"/>
            </w:pPr>
            <w:r>
              <w:rPr>
                <w:color w:val="4B5563"/>
                <w:sz w:val="18"/>
                <w:szCs w:val="18"/>
              </w:rPr>
              <w:t xml:space="preserve">Pilot kit is written (9-test script). No real MikroTik has run this yet.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github.com/logicminer/juanfi-splashnet/blob/main/docs/PILOT-KIT.md</w:t>
            </w:r>
          </w:p>
        </w:tc>
        <w:tc>
          <w:tcPr>
            <w:tcW w:type="pct" w:w="18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t xml:space="preserve">E — Before You Open the Laptop</w:t>
      </w:r>
    </w:p>
    <w:p>
      <w:pPr>
        <w:spacing w:after="40"/>
      </w:pPr>
      <w:r>
        <w:rPr>
          <w:sz w:val="4"/>
          <w:szCs w:val="4"/>
        </w:rPr>
        <w:t xml:space="preserve"> </w:t>
      </w:r>
    </w:p>
    <w:p>
      <w:pPr>
        <w:spacing w:after="120" w:line="312"/>
      </w:pPr>
      <w:r>
        <w:rPr>
          <w:sz w:val="20"/>
          <w:szCs w:val="20"/>
        </w:rPr>
        <w:t xml:space="preserve">☐  Have three role logins ready on separate browser profiles (admin / advertiser / operator)</w:t>
      </w:r>
    </w:p>
    <w:p>
      <w:pPr>
        <w:spacing w:after="120" w:line="312"/>
      </w:pPr>
      <w:r>
        <w:rPr>
          <w:sz w:val="20"/>
          <w:szCs w:val="20"/>
        </w:rPr>
        <w:t xml:space="preserve">☐  Seed a demo campaign and an IN REVIEW campaign the night before</w:t>
      </w:r>
    </w:p>
    <w:p>
      <w:pPr>
        <w:spacing w:after="120" w:line="312"/>
      </w:pPr>
      <w:r>
        <w:rPr>
          <w:sz w:val="20"/>
          <w:szCs w:val="20"/>
        </w:rPr>
        <w:t xml:space="preserve">☐  Open the demo portal on an actual phone (mobile-first design)</w:t>
      </w:r>
    </w:p>
    <w:p>
      <w:pPr>
        <w:spacing w:after="120" w:line="312"/>
      </w:pPr>
      <w:r>
        <w:rPr>
          <w:sz w:val="20"/>
          <w:szCs w:val="20"/>
        </w:rPr>
        <w:t xml:space="preserve">☐  Check /api/health returns healthy before the client arrives</w:t>
      </w:r>
    </w:p>
    <w:p>
      <w:pPr>
        <w:spacing w:after="120" w:line="312"/>
      </w:pPr>
      <w:r>
        <w:rPr>
          <w:sz w:val="20"/>
          <w:szCs w:val="20"/>
        </w:rPr>
        <w:t xml:space="preserve">☐  Run the 40-check QA matrix and keep the terminal output visible</w:t>
      </w:r>
    </w:p>
    <w:p>
      <w:pPr>
        <w:spacing w:after="120" w:line="312"/>
      </w:pPr>
      <w:r>
        <w:rPr>
          <w:sz w:val="20"/>
          <w:szCs w:val="20"/>
        </w:rPr>
        <w:t xml:space="preserve">☐  Bring three asks in writing: SMS gateway, PaySwitch account, pilot router site</w:t>
      </w:r>
    </w:p>
    <w:p>
      <w:pPr>
        <w:spacing w:after="120" w:line="312"/>
      </w:pPr>
      <w:r>
        <w:rPr>
          <w:sz w:val="20"/>
          <w:szCs w:val="20"/>
        </w:rPr>
        <w:t xml:space="preserve">☐  Know the credential rotation plan (all passwords are development passwords)</w:t>
      </w:r>
    </w:p>
    <w:p>
      <w:pPr>
        <w:spacing w:after="40"/>
      </w:pPr>
      <w:r>
        <w:rPr>
          <w:sz w:val="4"/>
          <w:szCs w:val="4"/>
        </w:rPr>
        <w:t xml:space="preserve"> </w:t>
      </w:r>
    </w:p>
    <w:p>
      <w:pPr>
        <w:spacing w:after="40"/>
      </w:pPr>
      <w:r>
        <w:rPr>
          <w:sz w:val="4"/>
          <w:szCs w:val="4"/>
        </w:rPr>
        <w:t xml:space="preserve"> </w:t>
      </w:r>
    </w:p>
    <w:p>
      <w:pPr>
        <w:spacing w:after="120" w:line="312"/>
      </w:pPr>
      <w:r>
        <w:rPr>
          <w:i/>
          <w:iCs/>
          <w:color w:val="6B7280"/>
          <w:sz w:val="20"/>
          <w:szCs w:val="20"/>
        </w:rPr>
        <w:t xml:space="preserve">Tick the boxes as you go and keep this copy with the meeting notes.</w:t>
      </w:r>
    </w:p>
    <w:p>
      <w:pPr>
        <w:spacing w:after="120" w:line="312"/>
      </w:pPr>
      <w:r>
        <w:rPr>
          <w:i/>
          <w:iCs/>
          <w:color w:val="6B7280"/>
          <w:sz w:val="18"/>
          <w:szCs w:val="18"/>
        </w:rPr>
        <w:t xml:space="preserve">Section A maps to BRD §3 Phase 1 acceptance criteria. Sections B–E are ours, not contractual.</w:t>
      </w:r>
    </w:p>
    <w:p>
      <w:pPr>
        <w:spacing w:after="120" w:line="312"/>
      </w:pPr>
      <w:r>
        <w:rPr>
          <w:i/>
          <w:iCs/>
          <w:color w:val="6B7280"/>
          <w:sz w:val="18"/>
          <w:szCs w:val="18"/>
        </w:rPr>
        <w:t xml:space="preserve">Where this sheet and the executed BRD disagree, the BRD governs.</w:t>
      </w:r>
    </w:p>
    <w:p>
      <w:pPr>
        <w:spacing w:after="40"/>
      </w:pPr>
      <w:r>
        <w:rPr>
          <w:sz w:val="4"/>
          <w:szCs w:val="4"/>
        </w:rPr>
        <w:t xml:space="preserve"> </w:t>
      </w:r>
    </w:p>
    <w:p>
      <w:pPr>
        <w:spacing w:after="40"/>
      </w:pPr>
      <w:r>
        <w:rPr>
          <w:sz w:val="4"/>
          <w:szCs w:val="4"/>
        </w:rPr>
        <w:t xml:space="preserve"> </w:t>
      </w:r>
    </w:p>
    <w:p>
      <w:pPr>
        <w:jc w:val="center"/>
      </w:pPr>
      <w:r>
        <w:rPr>
          <w:color w:val="9CA3AF"/>
          <w:sz w:val="16"/>
          <w:szCs w:val="16"/>
        </w:rPr>
        <w:t xml:space="preserve">SplashNet Demo Verification — 05 September 2026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4"/>
        <w:szCs w:val="14"/>
      </w:rPr>
      <w:t xml:space="preserve">SplashNet Demo Verification — 05 Sep 2026 — Page </w:t>
    </w:r>
    <w:r>
      <w:rPr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680be6c0cc8b2dced9d2ddcc9622e254bacffd3.png"/><Relationship Id="rId9" Type="http://schemas.openxmlformats.org/officeDocument/2006/relationships/image" Target="media/74ef00b37ad9d48d5260db8bb844c8ea669d9d91.png"/><Relationship Id="rId10" Type="http://schemas.openxmlformats.org/officeDocument/2006/relationships/image" Target="media/3c2b89a611d10ddec8eaf126f532c90a86ac6493.png"/><Relationship Id="rId11" Type="http://schemas.openxmlformats.org/officeDocument/2006/relationships/image" Target="media/29eeb00c92eff94091fc9a1631a8c5461bbfea3d.png"/><Relationship Id="rId12" Type="http://schemas.openxmlformats.org/officeDocument/2006/relationships/image" Target="media/9f7772c581f573f53f7b7df396a9331f91b19de2.png"/><Relationship Id="rId13" Type="http://schemas.openxmlformats.org/officeDocument/2006/relationships/image" Target="media/56efec3b9b63417445b287603cb6c555b459a0ed.png"/><Relationship Id="rId14" Type="http://schemas.openxmlformats.org/officeDocument/2006/relationships/image" Target="media/4fd31106a42fa7942ffa66248809b9104ff660f4.png"/><Relationship Id="rId15" Type="http://schemas.openxmlformats.org/officeDocument/2006/relationships/image" Target="media/bbc2b1e33e6194bc0a0e886ea4b5f1a4548f4951.png"/><Relationship Id="rId16" Type="http://schemas.openxmlformats.org/officeDocument/2006/relationships/image" Target="media/acc8af1de2dec242d8a00a29e552c233b1a6fe00.png"/><Relationship Id="rId17" Type="http://schemas.openxmlformats.org/officeDocument/2006/relationships/image" Target="media/ac7ebd6516afbf2cd126c6b800b6fe9c63a166c8.png"/><Relationship Id="rId18" Type="http://schemas.openxmlformats.org/officeDocument/2006/relationships/image" Target="media/037ffd129e55eef2b50a0e78488b47cf79af64c1.png"/><Relationship Id="rId19" Type="http://schemas.openxmlformats.org/officeDocument/2006/relationships/image" Target="media/40349ad48b9b6c162d06dc8524ea5fad6b97ed6d.png"/><Relationship Id="rId20" Type="http://schemas.openxmlformats.org/officeDocument/2006/relationships/image" Target="media/f0f68b921496f86f943a64f57a894455a400f154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2026-09-04T17:27:45.916Z</dcterms:created>
  <dcterms:modified xsi:type="dcterms:W3CDTF">2026-09-04T17:27:45.916Z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