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三、</w:t>
      </w:r>
      <w:r>
        <w:rPr>
          <w:rFonts w:hint="eastAsia"/>
        </w:rPr>
        <w:t>文献综述</w:t>
      </w:r>
    </w:p>
    <w:p>
      <w:pPr>
        <w:rPr>
          <w:rFonts w:hint="eastAsia"/>
        </w:rPr>
      </w:pPr>
      <w:r>
        <w:rPr>
          <w:rFonts w:hint="eastAsia"/>
        </w:rPr>
        <w:t>平台开放义务的时间维度研究处于反垄断法理论与平台经济实践的交叉地带。既有文献从动态竞争特质、拒绝交易损害机制、开放义务实效三个层面为本文提供了理论基础，但均未将时间因素作为重构义务内核的独立支点。本文的核心关切是：竞争窗口期的时效性不是开放义务的外部约束，而是其有效性的内在规范前提。</w:t>
      </w:r>
    </w:p>
    <w:p>
      <w:pPr>
        <w:rPr>
          <w:rFonts w:hint="eastAsia"/>
          <w:lang w:eastAsia="zh-CN"/>
        </w:rPr>
      </w:pPr>
      <w:r>
        <w:rPr>
          <w:rFonts w:hint="eastAsia"/>
          <w:lang w:eastAsia="zh-CN"/>
        </w:rPr>
        <w:t>（</w:t>
      </w:r>
      <w:r>
        <w:rPr>
          <w:rFonts w:hint="eastAsia"/>
          <w:lang w:val="en-US" w:eastAsia="zh-CN"/>
        </w:rPr>
        <w:t>一</w:t>
      </w:r>
      <w:r>
        <w:rPr>
          <w:rFonts w:hint="eastAsia"/>
          <w:lang w:eastAsia="zh-CN"/>
        </w:rPr>
        <w:t>）</w:t>
      </w:r>
    </w:p>
    <w:p>
      <w:pPr>
        <w:rPr>
          <w:rFonts w:hint="eastAsia"/>
        </w:rPr>
      </w:pPr>
      <w:r>
        <w:rPr>
          <w:rFonts w:hint="eastAsia"/>
          <w:lang w:val="en-US" w:eastAsia="zh-CN"/>
        </w:rPr>
        <w:t>在</w:t>
      </w:r>
      <w:r>
        <w:rPr>
          <w:rFonts w:hint="eastAsia"/>
        </w:rPr>
        <w:t>平台经济的技术经济特质与时间敏感性</w:t>
      </w:r>
      <w:r>
        <w:rPr>
          <w:rFonts w:hint="eastAsia"/>
          <w:lang w:val="en-US" w:eastAsia="zh-CN"/>
        </w:rPr>
        <w:t>上，</w:t>
      </w:r>
      <w:r>
        <w:rPr>
          <w:rFonts w:hint="eastAsia"/>
        </w:rPr>
        <w:t>孙晋（2021）系统论述了数字经济的商品生命周期短、更新速率快特征，指出在位企业“必须在创新成功后迅速通过高边际利润回收沉没成本，否则新商品进入市场后旧商品就会被迅速淘汰”¹。这一论断深刻揭示了竞争机会是瞬时窗口而非持续状态。刘戒骄（2022）进一步指出技术融合导致“市场份额快速变化”，企业“在短时间内受到实质性竞争约束”²，暗示市场地位的取得依赖时机而非静态实力。</w:t>
      </w:r>
      <w:r>
        <w:rPr>
          <w:rFonts w:hint="eastAsia"/>
          <w:lang w:val="en-US" w:eastAsia="zh-CN"/>
        </w:rPr>
        <w:t>在</w:t>
      </w:r>
      <w:r>
        <w:rPr>
          <w:rFonts w:hint="eastAsia" w:ascii="宋体" w:hAnsi="宋体" w:eastAsia="宋体" w:cs="宋体"/>
          <w:color w:val="auto"/>
          <w:sz w:val="21"/>
          <w:szCs w:val="21"/>
        </w:rPr>
        <w:t>反垄断法实施中的相关市场界定</w:t>
      </w:r>
      <w:r>
        <w:rPr>
          <w:rFonts w:hint="eastAsia" w:ascii="宋体" w:hAnsi="宋体" w:eastAsia="宋体" w:cs="宋体"/>
          <w:color w:val="auto"/>
          <w:sz w:val="21"/>
          <w:szCs w:val="21"/>
          <w:lang w:val="en-US" w:eastAsia="zh-CN"/>
        </w:rPr>
        <w:t>中，</w:t>
      </w:r>
      <w:r>
        <w:rPr>
          <w:rFonts w:hint="eastAsia"/>
        </w:rPr>
        <w:t>王先林（2019）在相关市场界定中提及“相关时间市场”，主张对知识产权商品</w:t>
      </w:r>
      <w:r>
        <w:rPr>
          <w:rFonts w:hint="eastAsia"/>
          <w:lang w:val="en-US" w:eastAsia="zh-CN"/>
        </w:rPr>
        <w:t>如数据商品</w:t>
      </w:r>
      <w:r>
        <w:rPr>
          <w:rFonts w:hint="eastAsia"/>
        </w:rPr>
        <w:t>应融入时间因素考量³，表明时间性在特定场景下具有构成性地位。然而，上述研究均止步于经济现象描述，未将其转化为开放义务的规范要求。它们回答了平台经济为何“快”，却未回答法律应如何评价“故意放慢”——当平台策略性拖延开放时，时间敏感性恰是其垄断策略的利用工具。这一从经验描述到规范建构的鸿沟，为本文留下理论空间。</w:t>
      </w:r>
    </w:p>
    <w:p>
      <w:pPr>
        <w:rPr>
          <w:rFonts w:hint="eastAsia"/>
        </w:rPr>
      </w:pPr>
      <w:r>
        <w:rPr>
          <w:rFonts w:hint="eastAsia"/>
          <w:lang w:eastAsia="zh-CN"/>
        </w:rPr>
        <w:t>（</w:t>
      </w:r>
      <w:r>
        <w:rPr>
          <w:rFonts w:hint="eastAsia"/>
          <w:lang w:val="en-US" w:eastAsia="zh-CN"/>
        </w:rPr>
        <w:t>二</w:t>
      </w:r>
      <w:r>
        <w:rPr>
          <w:rFonts w:hint="eastAsia"/>
          <w:lang w:eastAsia="zh-CN"/>
        </w:rPr>
        <w:t>）</w:t>
      </w:r>
    </w:p>
    <w:p>
      <w:pPr>
        <w:rPr>
          <w:rFonts w:hint="eastAsia"/>
        </w:rPr>
      </w:pPr>
      <w:r>
        <w:rPr>
          <w:rFonts w:hint="eastAsia"/>
        </w:rPr>
        <w:t>孙晋、钟原（2021）在分析数据构成必需设施时触及时间临界点，指出“企业自身获取数据的可能性还要考虑时间上的合理性”，若“所耗费的周期过长，该经营者可能无法及时进入相关市场”⁴。这是少数明确承认时间因素的文献，但将其置于“不可复制性”要件的子项之下，作为经济可行性的附属条件，未发展为独立违法行为类型。</w:t>
      </w:r>
      <w:r>
        <w:rPr>
          <w:rFonts w:hint="eastAsia"/>
          <w:lang w:val="en-US" w:eastAsia="zh-CN"/>
        </w:rPr>
        <w:t>而</w:t>
      </w:r>
      <w:r>
        <w:rPr>
          <w:rFonts w:hint="eastAsia"/>
        </w:rPr>
        <w:t>拒绝交易制度中的时间维度缺位</w:t>
      </w:r>
      <w:r>
        <w:rPr>
          <w:rFonts w:hint="eastAsia"/>
          <w:lang w:val="en-US" w:eastAsia="zh-CN"/>
        </w:rPr>
        <w:t>上来看，</w:t>
      </w:r>
      <w:r>
        <w:rPr>
          <w:rFonts w:hint="eastAsia"/>
        </w:rPr>
        <w:t>周樨平（2025）引用欧盟拒绝交易标准时提及“在较长时间内，下游市场竞争者找不到实际或潜在的替代品”⁵，此“较长时间”本用于界定投入品的客观必要性，但反向揭示——若垄断者控制的“时间”本身成为障碍，拒绝效果已在延迟中达成。殷继国（2025）</w:t>
      </w:r>
      <w:r>
        <w:rPr>
          <w:rFonts w:hint="eastAsia"/>
          <w:lang w:val="en-US" w:eastAsia="zh-CN"/>
        </w:rPr>
        <w:t>则</w:t>
      </w:r>
      <w:r>
        <w:rPr>
          <w:rFonts w:hint="eastAsia"/>
        </w:rPr>
        <w:t>将“可预见的将来”作为判断设施不可或缺性的时间框架，强调需综合“复制时长、市场竞争状况”等因素⁶，为时间标准提供了相对性与情境性的方法论。然而，上述研究均将时间维度工具化为认定必需设施的辅助因子，未触及更深层的法理：当平台策略性拖延时，时间流逝本身就是损害的发生器。延迟期间，网络效应持续固化、用户黏性增强、技术标准锁定，待开放最终实现时，竞争对手已被时间性排除。既有理论因未将时间视为独立的损害机制，导致无法解释为何“最终开放”仍造成不可逆的竞争损失。</w:t>
      </w:r>
    </w:p>
    <w:p>
      <w:pPr>
        <w:rPr>
          <w:rFonts w:hint="eastAsia"/>
        </w:rPr>
      </w:pPr>
      <w:r>
        <w:rPr>
          <w:rFonts w:hint="eastAsia"/>
          <w:lang w:eastAsia="zh-CN"/>
        </w:rPr>
        <w:t>（</w:t>
      </w:r>
      <w:r>
        <w:rPr>
          <w:rFonts w:hint="eastAsia"/>
          <w:lang w:val="en-US" w:eastAsia="zh-CN"/>
        </w:rPr>
        <w:t>三</w:t>
      </w:r>
      <w:r>
        <w:rPr>
          <w:rFonts w:hint="eastAsia"/>
          <w:lang w:eastAsia="zh-CN"/>
        </w:rPr>
        <w:t>）</w:t>
      </w:r>
    </w:p>
    <w:p>
      <w:pPr>
        <w:rPr>
          <w:rFonts w:hint="eastAsia"/>
        </w:rPr>
      </w:pPr>
      <w:r>
        <w:rPr>
          <w:rFonts w:hint="eastAsia"/>
        </w:rPr>
        <w:t>开放义务研究中</w:t>
      </w:r>
      <w:r>
        <w:rPr>
          <w:rFonts w:hint="eastAsia"/>
          <w:lang w:eastAsia="zh-CN"/>
        </w:rPr>
        <w:t>，</w:t>
      </w:r>
      <w:r>
        <w:rPr>
          <w:rFonts w:hint="eastAsia"/>
        </w:rPr>
        <w:t>时建中（2022）论述数字平台互操作义务时明确将“履行时间”列为义务内容核心要素之一⁷，这是少数在规范层面承认时间重要性的文献。然而，作者随即转入标准设置主体等程序问题，未回答“多长的履行时间是法定义务”这一关键问题，时间性仅被提及而未理论化。袁波（2023）观察到超大型平台“不但不会主动开放数据，反而可能通过技术手段、协议约定等方式限制其他平台获取”⁸，该描述隐含时间不确定性是垄断策略的组成部分：平台不直接拒绝，但通过“技术审核期”“协议谈判期”等不确定期限实现排除效果。</w:t>
      </w:r>
      <w:r>
        <w:rPr>
          <w:rFonts w:hint="eastAsia"/>
          <w:lang w:val="en-US" w:eastAsia="zh-CN"/>
        </w:rPr>
        <w:t>而提出平台开放治理的三条路径的</w:t>
      </w:r>
      <w:r>
        <w:rPr>
          <w:rFonts w:hint="eastAsia"/>
        </w:rPr>
        <w:t>王磊（2023）</w:t>
      </w:r>
      <w:r>
        <w:rPr>
          <w:rFonts w:hint="eastAsia"/>
          <w:lang w:val="en-US" w:eastAsia="zh-CN"/>
        </w:rPr>
        <w:t>呼吁</w:t>
      </w:r>
      <w:r>
        <w:rPr>
          <w:rFonts w:hint="eastAsia"/>
        </w:rPr>
        <w:t>通过执法“破除数据壁垒”，强调“保障数据有序、有度、有效开放”的紧迫性⁹。“有效开放”已触及时间底线，但未发展为可检验的法律标准。上述文献的共性在于：认识到开放义务若无时间约束将沦为一纸空文，但均未将时间性从“应尽快”</w:t>
      </w:r>
      <w:r>
        <w:rPr>
          <w:rFonts w:hint="eastAsia"/>
          <w:lang w:val="en-US" w:eastAsia="zh-CN"/>
        </w:rPr>
        <w:t>的道德呼吁</w:t>
      </w:r>
      <w:r>
        <w:rPr>
          <w:rFonts w:hint="eastAsia"/>
        </w:rPr>
        <w:t>升华为“合理期限”的认定规则与违法效果</w:t>
      </w:r>
      <w:r>
        <w:rPr>
          <w:rFonts w:hint="eastAsia"/>
          <w:lang w:val="en-US" w:eastAsia="zh-CN"/>
        </w:rPr>
        <w:t>的</w:t>
      </w:r>
      <w:r>
        <w:rPr>
          <w:rFonts w:hint="eastAsia"/>
        </w:rPr>
        <w:t>法教义学要件。这正是本文的理论空间：时间维度不是义务履行的修饰语，而是决定义务能否产生竞争效果的“效力要件”。</w:t>
      </w:r>
    </w:p>
    <w:p>
      <w:pPr>
        <w:rPr>
          <w:rFonts w:hint="eastAsia"/>
        </w:rPr>
      </w:pPr>
      <w:r>
        <w:rPr>
          <w:rFonts w:hint="eastAsia"/>
        </w:rPr>
        <w:t>综上，既有文献为理解平台经济时间敏感性、拒绝交易损害机制、开放义务实效提供了碎片化的理论资源，但时间因素始终作为背景、工具或备注存在，未见将其作为重构开放义务理论内核的独立支点。本文的开创性在于：首次论证竞争窗口期是开放义务的内在规范前提，策略性拖延构成以时间换空间的结构性拒绝，需纳入《反垄断法》第17条第7项作独立违法性评价。这不仅填补分析框架空白，更旨在激活反垄断法对动态竞争的过程性保护功能。</w:t>
      </w:r>
      <w:bookmarkStart w:id="0" w:name="_GoBack"/>
      <w:bookmarkEnd w:id="0"/>
    </w:p>
    <w:p>
      <w:pPr>
        <w:rPr>
          <w:rFonts w:hint="eastAsia"/>
        </w:rPr>
      </w:pPr>
    </w:p>
    <w:p>
      <w:pPr>
        <w:rPr>
          <w:rFonts w:hint="eastAsia"/>
        </w:rPr>
      </w:pPr>
      <w:r>
        <w:rPr>
          <w:rFonts w:hint="eastAsia"/>
        </w:rPr>
        <w:t>¹孙晋：《数字平台的反垄断监管》，《中国社会科学》2021年第5期，第78-79页。</w:t>
      </w:r>
    </w:p>
    <w:p>
      <w:pPr>
        <w:rPr>
          <w:rFonts w:hint="eastAsia"/>
        </w:rPr>
      </w:pPr>
      <w:r>
        <w:rPr>
          <w:rFonts w:hint="eastAsia"/>
        </w:rPr>
        <w:t>²刘戒骄：《数字平台反垄断监管：前沿问题、理论难点及策略》，《经济纵横》2022年第3期，第56页。</w:t>
      </w:r>
    </w:p>
    <w:p>
      <w:pPr>
        <w:rPr>
          <w:rFonts w:hint="eastAsia"/>
        </w:rPr>
      </w:pPr>
      <w:r>
        <w:rPr>
          <w:rFonts w:hint="eastAsia"/>
        </w:rPr>
        <w:t>³王先林：《论反垄断法实施中的相关市场界定》，《法学杂志》2019年第5期，第页码待补。</w:t>
      </w:r>
    </w:p>
    <w:p>
      <w:pPr>
        <w:rPr>
          <w:rFonts w:hint="eastAsia"/>
        </w:rPr>
      </w:pPr>
      <w:r>
        <w:rPr>
          <w:rFonts w:hint="eastAsia"/>
        </w:rPr>
        <w:t>⁴孙晋、钟原：《大数据时代下数据构成必要设施的反垄断法分析》，《法律科学》2021年第4期，第112页。</w:t>
      </w:r>
    </w:p>
    <w:p>
      <w:pPr>
        <w:rPr>
          <w:rFonts w:hint="eastAsia"/>
        </w:rPr>
      </w:pPr>
      <w:r>
        <w:rPr>
          <w:rFonts w:hint="eastAsia"/>
        </w:rPr>
        <w:t>⁵周樨平：《反垄断法强制开放数据的理论依据与实现路径》，《财经法学》2025年第6期，第89页。</w:t>
      </w:r>
    </w:p>
    <w:p>
      <w:pPr>
        <w:rPr>
          <w:rFonts w:hint="eastAsia"/>
        </w:rPr>
      </w:pPr>
      <w:r>
        <w:rPr>
          <w:rFonts w:hint="eastAsia"/>
        </w:rPr>
        <w:t>⁶殷继国：《论人工智能时代反垄断法必需设施理论的适用》，《财经法学》2025年第3期，第67页。</w:t>
      </w:r>
    </w:p>
    <w:p>
      <w:pPr>
        <w:rPr>
          <w:rFonts w:hint="eastAsia"/>
        </w:rPr>
      </w:pPr>
      <w:r>
        <w:rPr>
          <w:rFonts w:hint="eastAsia"/>
        </w:rPr>
        <w:t>⁷时建中：《作为反垄断救济措施的数字平台互操作义务》，《行政法学研究》2022年第3期，第45页。</w:t>
      </w:r>
    </w:p>
    <w:p>
      <w:pPr>
        <w:rPr>
          <w:rFonts w:hint="eastAsia"/>
        </w:rPr>
      </w:pPr>
      <w:r>
        <w:rPr>
          <w:rFonts w:hint="eastAsia"/>
        </w:rPr>
        <w:t>⁸袁波：《必需数据反垄断法强制开放的理据与进路》，《法学评论》2023年第2期，第123页。</w:t>
      </w:r>
    </w:p>
    <w:p>
      <w:r>
        <w:rPr>
          <w:rFonts w:hint="eastAsia"/>
        </w:rPr>
        <w:t>⁹王磊：《数字平台数据垄断的治理体系建构》，《法学研究》2023年第5期，第78页。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4619D"/>
    <w:rsid w:val="18650784"/>
    <w:rsid w:val="1D400EB3"/>
    <w:rsid w:val="20BA0E37"/>
    <w:rsid w:val="291D62B9"/>
    <w:rsid w:val="2A12485C"/>
    <w:rsid w:val="365704AA"/>
    <w:rsid w:val="425A2B74"/>
    <w:rsid w:val="6DBA2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2025-11-24T08:24:00Z</dcterms:created>
  <dc:creator>86188</dc:creator>
  <cp:lastModifiedBy>86188</cp:lastModifiedBy>
  <dcterms:modified xsi:type="dcterms:W3CDTF">2025-12-04T07:44:32Z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