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250929 - 季度末</w:t>
      </w:r>
    </w:p>
    <w:p>
      <w:pPr>
        <w:spacing w:before="120" w:after="120" w:line="288" w:lineRule="auto"/>
        <w:ind w:left="0"/>
        <w:jc w:val="center"/>
      </w:pPr>
      <w:r>
        <w:drawing>
          <wp:inline distT="0" distR="0" distB="0" distL="0">
            <wp:extent cx="5257800" cy="45624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5624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政府會停擺嗎？是的，特朗普表示，“因為民主黨人瘋了。”為何白宮尋求對聯邦工作人員進行大規模解雇，而不僅僅是強制休假？特朗普回應稱：“嗯，這都是民主黨人造成的。”</w:t>
      </w:r>
    </w:p>
    <w:p>
      <w:pPr>
        <w:spacing w:before="120" w:after="120" w:line="288" w:lineRule="auto"/>
        <w:ind w:left="0"/>
        <w:jc w:val="left"/>
      </w:pPr>
      <w:r>
        <w:rPr>
          <w:rFonts w:eastAsia="等线" w:ascii="Arial" w:cs="Arial" w:hAnsi="Arial"/>
          <w:sz w:val="22"/>
        </w:rPr>
        <w:t>“如果必須停擺，那就只能停擺，”特朗普週五表示。“但他們是導致政府停擺的一方。”</w:t>
      </w:r>
    </w:p>
    <w:p>
      <w:pPr>
        <w:spacing w:before="120" w:after="120" w:line="288" w:lineRule="auto"/>
        <w:ind w:left="0"/>
        <w:jc w:val="left"/>
      </w:pPr>
      <w:r>
        <w:rPr>
          <w:rFonts w:eastAsia="等线" w:ascii="Arial" w:cs="Arial" w:hAnsi="Arial"/>
          <w:sz w:val="22"/>
        </w:rPr>
        <w:t>美國（半）年度的債務上限鬧劇再次上演，在週二9月30日的最後期限之前，為避免可能的政府停擺未能取得任何進展。截至本文撰寫時，特朗普總統剛剛同意與國會最高領導人在週一進行最後一刻的會談，醫療保健資金仍然是關鍵的分歧點。</w:t>
      </w:r>
    </w:p>
    <w:p>
      <w:pPr>
        <w:spacing w:before="120" w:after="120" w:line="288" w:lineRule="auto"/>
        <w:ind w:left="0"/>
        <w:jc w:val="left"/>
      </w:pPr>
      <w:r>
        <w:rPr>
          <w:rFonts w:eastAsia="等线" w:ascii="Arial" w:cs="Arial" w:hAnsi="Arial"/>
          <w:sz w:val="22"/>
        </w:rPr>
        <w:t>即便在最壞的情況下，債務融資中斷也不太可能發生，但任何政府關門都可能導致本週五的非農就業資料包告延遲發佈——如果勞工統計局暫時停止運作的話。這將使市場在美聯儲10月會議前失去一項關鍵的經濟資料，從而在此期間給任何美聯儲的講話帶來更大的關注度和波動性。</w:t>
      </w:r>
    </w:p>
    <w:p>
      <w:pPr>
        <w:spacing w:before="120" w:after="120" w:line="288" w:lineRule="auto"/>
        <w:ind w:left="0"/>
        <w:jc w:val="left"/>
      </w:pPr>
      <w:r>
        <w:rPr>
          <w:rFonts w:eastAsia="等线" w:ascii="Arial" w:cs="Arial" w:hAnsi="Arial"/>
          <w:sz w:val="22"/>
        </w:rPr>
        <w:t>假設勞工統計局能保持運作，預計9月份非農就業人數將略高於10萬人，失業率約為4.3%。亞洲市場可能會表現平淡，因為中國即將進入黃金周假期，而季度末的投資組合再平衡流動可能會在周中前後增加一些波動性。</w:t>
      </w:r>
    </w:p>
    <w:p>
      <w:pPr>
        <w:spacing w:before="120" w:after="120" w:line="288" w:lineRule="auto"/>
        <w:ind w:left="0"/>
        <w:jc w:val="left"/>
      </w:pPr>
      <w:r>
        <w:rPr>
          <w:rFonts w:eastAsia="等线" w:ascii="Arial" w:cs="Arial" w:hAnsi="Arial"/>
          <w:sz w:val="22"/>
        </w:rPr>
        <w:t>标题：政府機構能否維持運作，確保本週五的非農資料如期發佈？</w:t>
      </w:r>
    </w:p>
    <w:p>
      <w:pPr>
        <w:spacing w:before="120" w:after="120" w:line="288" w:lineRule="auto"/>
        <w:ind w:left="0"/>
        <w:jc w:val="center"/>
      </w:pPr>
      <w:r>
        <w:drawing>
          <wp:inline distT="0" distR="0" distB="0" distL="0">
            <wp:extent cx="5257800" cy="21717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171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來源：WSJ</w:t>
      </w:r>
    </w:p>
    <w:p>
      <w:pPr>
        <w:spacing w:before="120" w:after="120" w:line="288" w:lineRule="auto"/>
        <w:ind w:left="0"/>
        <w:jc w:val="left"/>
      </w:pPr>
    </w:p>
    <w:p>
      <w:pPr>
        <w:spacing w:before="120" w:after="120" w:line="288" w:lineRule="auto"/>
        <w:ind w:left="0"/>
        <w:jc w:val="left"/>
      </w:pPr>
      <w:r>
        <w:rPr>
          <w:rFonts w:eastAsia="等线" w:ascii="Arial" w:cs="Arial" w:hAnsi="Arial"/>
          <w:sz w:val="22"/>
        </w:rPr>
        <w:t>除了華盛頓的邊緣政策，隨著第三季度以又一個非常強勁的季度表現接近尾聲，上周市場表現平靜。華爾街報導稱，“普通”宏觀類資產的平均回報率約為2.5%，其中黃金領漲（約14%）。全球股市再次全線上漲，無論是發達市場還是新興市場均表現強勁，而全球利率則因各國央行全面轉向鴿派基調而有所下降。</w:t>
      </w:r>
    </w:p>
    <w:p>
      <w:pPr>
        <w:spacing w:before="120" w:after="120" w:line="288" w:lineRule="auto"/>
        <w:ind w:left="0"/>
        <w:jc w:val="left"/>
      </w:pPr>
      <w:r>
        <w:rPr>
          <w:rFonts w:eastAsia="等线" w:ascii="Arial" w:cs="Arial" w:hAnsi="Arial"/>
          <w:sz w:val="22"/>
        </w:rPr>
        <w:t>本季度的另一個主要主題是隱含波動率的下降，這體現在股票、利率、外匯甚至比特幣等各個領域。這主要是由於實際波動率因美聯儲的寬鬆政策、全球GDP的穩定、CPI讀數中缺乏顯著的關稅傳導效應以及地緣政治和關稅意外趨緩而大幅下降。</w:t>
      </w:r>
    </w:p>
    <w:p>
      <w:pPr>
        <w:spacing w:before="120" w:after="120" w:line="288" w:lineRule="auto"/>
        <w:ind w:left="0"/>
        <w:jc w:val="left"/>
      </w:pPr>
      <w:r>
        <w:rPr>
          <w:rFonts w:eastAsia="等线" w:ascii="Arial" w:cs="Arial" w:hAnsi="Arial"/>
          <w:sz w:val="22"/>
        </w:rPr>
        <w:t>波動率的降低直接導致了股票估值上升和信用利差收窄，這對於那些可能錯過了風險資產上漲行情的人來說，是一個不便的現實。</w:t>
      </w:r>
    </w:p>
    <w:p>
      <w:pPr>
        <w:spacing w:before="120" w:after="120" w:line="288" w:lineRule="auto"/>
        <w:ind w:left="0"/>
        <w:jc w:val="left"/>
      </w:pPr>
      <w:r>
        <w:rPr>
          <w:rFonts w:eastAsia="等线" w:ascii="Arial" w:cs="Arial" w:hAnsi="Arial"/>
          <w:sz w:val="22"/>
        </w:rPr>
        <w:t>标题：波動率急劇下降是2025年全年的主要主題，並在第三季度得以延續</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58"/>
        <w:gridCol w:w="4121"/>
      </w:tblGrid>
      <w:tr>
        <w:tc>
          <w:tcPr>
            <w:tcW w:w="4158" w:type="dxa"/>
            <w:tcMar>
              <w:top w:type="dxa" w:w="60"/>
              <w:left w:type="dxa" w:w="120"/>
              <w:bottom w:type="dxa" w:w="30"/>
              <w:right w:type="dxa" w:w="120"/>
            </w:tcMar>
          </w:tcPr>
          <w:p>
            <w:pPr>
              <w:spacing w:before="120" w:after="120" w:line="288" w:lineRule="auto"/>
              <w:ind w:left="0"/>
              <w:jc w:val="center"/>
            </w:pPr>
            <w:r>
              <w:drawing>
                <wp:inline distT="0" distR="0" distB="0" distL="0">
                  <wp:extent cx="2486025" cy="13716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2486025" cy="1371600"/>
                          </a:xfrm>
                          <a:prstGeom prst="rect">
                            <a:avLst/>
                          </a:prstGeom>
                        </pic:spPr>
                      </pic:pic>
                    </a:graphicData>
                  </a:graphic>
                </wp:inline>
              </w:drawing>
            </w:r>
          </w:p>
        </w:tc>
        <w:tc>
          <w:tcPr>
            <w:tcW w:w="4121" w:type="dxa"/>
            <w:tcMar>
              <w:top w:type="dxa" w:w="60"/>
              <w:left w:type="dxa" w:w="120"/>
              <w:bottom w:type="dxa" w:w="30"/>
              <w:right w:type="dxa" w:w="120"/>
            </w:tcMar>
          </w:tcPr>
          <w:p>
            <w:pPr>
              <w:spacing w:before="120" w:after="120" w:line="288" w:lineRule="auto"/>
              <w:ind w:left="0"/>
              <w:jc w:val="center"/>
            </w:pPr>
            <w:r>
              <w:drawing>
                <wp:inline distT="0" distR="0" distB="0" distL="0">
                  <wp:extent cx="2457450" cy="13716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2457450" cy="137160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來源：Citi, SignalPlus</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标题：全球GDP大體保持穩定，採購經理人指數仍處於擴張區間</w:t>
      </w:r>
    </w:p>
    <w:p>
      <w:pPr>
        <w:spacing w:before="120" w:after="120" w:line="288" w:lineRule="auto"/>
        <w:ind w:left="0"/>
        <w:jc w:val="center"/>
      </w:pPr>
      <w:r>
        <w:drawing>
          <wp:inline distT="0" distR="0" distB="0" distL="0">
            <wp:extent cx="5257800" cy="20859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2085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來源：Citi</w:t>
      </w:r>
    </w:p>
    <w:p>
      <w:pPr>
        <w:spacing w:before="120" w:after="120" w:line="288" w:lineRule="auto"/>
        <w:ind w:left="0"/>
        <w:jc w:val="left"/>
      </w:pPr>
    </w:p>
    <w:p>
      <w:pPr>
        <w:spacing w:before="120" w:after="120" w:line="288" w:lineRule="auto"/>
        <w:ind w:left="0"/>
        <w:jc w:val="left"/>
      </w:pPr>
      <w:r>
        <w:rPr>
          <w:rFonts w:eastAsia="等线" w:ascii="Arial" w:cs="Arial" w:hAnsi="Arial"/>
          <w:sz w:val="22"/>
        </w:rPr>
        <w:t>隨著美國財政年度在9月底結束，根據花旗研究，實際財政赤字實際上這次大致與國會預算辦公室的估計相符（19900億美元 vs 19780億美元）。這實際上意味著赤字比2024年減少了3100億美元，並且是自2021年以來最低的絕對赤字水準。雖然其長期影響尚無定論，但美國的關稅政策顯著改善了財政狀況，預計在過去十年中帶來了3萬億美元的收入，有助於降低未來兩年的預期赤字。</w:t>
      </w:r>
    </w:p>
    <w:p>
      <w:pPr>
        <w:spacing w:before="120" w:after="120" w:line="288" w:lineRule="auto"/>
        <w:ind w:left="0"/>
        <w:jc w:val="left"/>
      </w:pPr>
      <w:r>
        <w:rPr>
          <w:rFonts w:eastAsia="等线" w:ascii="Arial" w:cs="Arial" w:hAnsi="Arial"/>
          <w:sz w:val="22"/>
        </w:rPr>
        <w:t>标题：有爭議的關稅政策幫助美國財政赤字降至2021年以來的最低水準</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487"/>
        <w:gridCol w:w="3792"/>
      </w:tblGrid>
      <w:tr>
        <w:tc>
          <w:tcPr>
            <w:tcW w:w="4487" w:type="dxa"/>
            <w:tcMar>
              <w:top w:type="dxa" w:w="60"/>
              <w:left w:type="dxa" w:w="120"/>
              <w:bottom w:type="dxa" w:w="30"/>
              <w:right w:type="dxa" w:w="120"/>
            </w:tcMar>
          </w:tcPr>
          <w:p>
            <w:pPr>
              <w:spacing w:before="120" w:after="120" w:line="288" w:lineRule="auto"/>
              <w:ind w:left="0"/>
              <w:jc w:val="center"/>
            </w:pPr>
            <w:r>
              <w:drawing>
                <wp:inline distT="0" distR="0" distB="0" distL="0">
                  <wp:extent cx="2695575" cy="17907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2695575" cy="1790700"/>
                          </a:xfrm>
                          <a:prstGeom prst="rect">
                            <a:avLst/>
                          </a:prstGeom>
                        </pic:spPr>
                      </pic:pic>
                    </a:graphicData>
                  </a:graphic>
                </wp:inline>
              </w:drawing>
            </w:r>
          </w:p>
        </w:tc>
        <w:tc>
          <w:tcPr>
            <w:tcW w:w="3792" w:type="dxa"/>
            <w:tcMar>
              <w:top w:type="dxa" w:w="60"/>
              <w:left w:type="dxa" w:w="120"/>
              <w:bottom w:type="dxa" w:w="30"/>
              <w:right w:type="dxa" w:w="120"/>
            </w:tcMar>
          </w:tcPr>
          <w:p>
            <w:pPr>
              <w:spacing w:before="120" w:after="120" w:line="288" w:lineRule="auto"/>
              <w:ind w:left="0"/>
              <w:jc w:val="center"/>
            </w:pPr>
            <w:r>
              <w:drawing>
                <wp:inline distT="0" distR="0" distB="0" distL="0">
                  <wp:extent cx="2247900" cy="17811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2247900" cy="17811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來源：Citi</w:t>
      </w:r>
    </w:p>
    <w:p>
      <w:pPr>
        <w:spacing w:before="120" w:after="120" w:line="288" w:lineRule="auto"/>
        <w:ind w:left="0"/>
        <w:jc w:val="left"/>
      </w:pPr>
    </w:p>
    <w:p>
      <w:pPr>
        <w:spacing w:before="120" w:after="120" w:line="288" w:lineRule="auto"/>
        <w:ind w:left="0"/>
        <w:jc w:val="left"/>
      </w:pPr>
      <w:r>
        <w:rPr>
          <w:rFonts w:eastAsia="等线" w:ascii="Arial" w:cs="Arial" w:hAnsi="Arial"/>
          <w:sz w:val="22"/>
        </w:rPr>
        <w:t>作為回應，美元經歷了自仲夏以來最強勁的周度表現之一，這得益於有韌性的美國資料和過去一周前端收益率的急劇重新定價。美元持續的淨空頭持倉可能會將這種擠壓行情進一步推入第四季度，特別是如果美聯儲的鴿派言論哪怕只是溫和減弱，或者萬一股市出現下跌，可能引發避險資金流入。</w:t>
      </w:r>
    </w:p>
    <w:p>
      <w:pPr>
        <w:spacing w:before="120" w:after="120" w:line="288" w:lineRule="auto"/>
        <w:ind w:left="0"/>
        <w:jc w:val="left"/>
      </w:pPr>
      <w:r>
        <w:rPr>
          <w:rFonts w:eastAsia="等线" w:ascii="Arial" w:cs="Arial" w:hAnsi="Arial"/>
          <w:sz w:val="22"/>
        </w:rPr>
        <w:t>标题：上周，受前端收益率反彈和穩健資料推動，美元大幅走高</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862"/>
        <w:gridCol w:w="4417"/>
      </w:tblGrid>
      <w:tr>
        <w:tc>
          <w:tcPr>
            <w:tcW w:w="3862" w:type="dxa"/>
            <w:tcMar>
              <w:top w:type="dxa" w:w="60"/>
              <w:left w:type="dxa" w:w="120"/>
              <w:bottom w:type="dxa" w:w="30"/>
              <w:right w:type="dxa" w:w="120"/>
            </w:tcMar>
          </w:tcPr>
          <w:p>
            <w:pPr>
              <w:spacing w:before="120" w:after="120" w:line="288" w:lineRule="auto"/>
              <w:ind w:left="0"/>
              <w:jc w:val="center"/>
            </w:pPr>
            <w:r>
              <w:drawing>
                <wp:inline distT="0" distR="0" distB="0" distL="0">
                  <wp:extent cx="2295525" cy="12382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2295525" cy="1238250"/>
                          </a:xfrm>
                          <a:prstGeom prst="rect">
                            <a:avLst/>
                          </a:prstGeom>
                        </pic:spPr>
                      </pic:pic>
                    </a:graphicData>
                  </a:graphic>
                </wp:inline>
              </w:drawing>
            </w:r>
          </w:p>
        </w:tc>
        <w:tc>
          <w:tcPr>
            <w:tcW w:w="4417" w:type="dxa"/>
            <w:tcMar>
              <w:top w:type="dxa" w:w="60"/>
              <w:left w:type="dxa" w:w="120"/>
              <w:bottom w:type="dxa" w:w="30"/>
              <w:right w:type="dxa" w:w="120"/>
            </w:tcMar>
          </w:tcPr>
          <w:p>
            <w:pPr>
              <w:spacing w:before="120" w:after="120" w:line="288" w:lineRule="auto"/>
              <w:ind w:left="0"/>
              <w:jc w:val="center"/>
            </w:pPr>
            <w:r>
              <w:drawing>
                <wp:inline distT="0" distR="0" distB="0" distL="0">
                  <wp:extent cx="2647950" cy="12477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2647950" cy="12477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來源：Bloomberg</w:t>
      </w:r>
    </w:p>
    <w:p>
      <w:pPr>
        <w:spacing w:before="120" w:after="120" w:line="288" w:lineRule="auto"/>
        <w:ind w:left="0"/>
        <w:jc w:val="left"/>
      </w:pPr>
    </w:p>
    <w:p>
      <w:pPr>
        <w:spacing w:before="120" w:after="120" w:line="288" w:lineRule="auto"/>
        <w:ind w:left="0"/>
        <w:jc w:val="left"/>
      </w:pPr>
      <w:r>
        <w:rPr>
          <w:rFonts w:eastAsia="等线" w:ascii="Arial" w:cs="Arial" w:hAnsi="Arial"/>
          <w:sz w:val="22"/>
        </w:rPr>
        <w:t>加密貨幣上周的情況則遠沒有那麼樂觀，該行業市值因一系列大型山寨幣的快速去杠杆化而損失了3000億美元（ETH -10%，Solana -13%）。上週一單日清算金額超過30億美元，導致BTC和ETH ETF分別出現近10億美元的周度資金流出。</w:t>
      </w:r>
    </w:p>
    <w:p>
      <w:pPr>
        <w:spacing w:before="120" w:after="120" w:line="288" w:lineRule="auto"/>
        <w:ind w:left="0"/>
        <w:jc w:val="left"/>
      </w:pPr>
      <w:r>
        <w:rPr>
          <w:rFonts w:eastAsia="等线" w:ascii="Arial" w:cs="Arial" w:hAnsi="Arial"/>
          <w:sz w:val="22"/>
        </w:rPr>
        <w:t>标题：加密貨幣上周經歷了最糟糕的單周表現之一</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388"/>
        <w:gridCol w:w="5891"/>
      </w:tblGrid>
      <w:tr>
        <w:tc>
          <w:tcPr>
            <w:tcW w:w="2388" w:type="dxa"/>
            <w:tcMar>
              <w:top w:type="dxa" w:w="60"/>
              <w:left w:type="dxa" w:w="120"/>
              <w:bottom w:type="dxa" w:w="30"/>
              <w:right w:type="dxa" w:w="120"/>
            </w:tcMar>
          </w:tcPr>
          <w:p>
            <w:pPr>
              <w:spacing w:before="120" w:after="120" w:line="288" w:lineRule="auto"/>
              <w:ind w:left="0"/>
              <w:jc w:val="center"/>
            </w:pPr>
            <w:r>
              <w:drawing>
                <wp:inline distT="0" distR="0" distB="0" distL="0">
                  <wp:extent cx="1362075" cy="15430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1362075" cy="1543050"/>
                          </a:xfrm>
                          <a:prstGeom prst="rect">
                            <a:avLst/>
                          </a:prstGeom>
                        </pic:spPr>
                      </pic:pic>
                    </a:graphicData>
                  </a:graphic>
                </wp:inline>
              </w:drawing>
            </w:r>
          </w:p>
        </w:tc>
        <w:tc>
          <w:tcPr>
            <w:tcW w:w="5891" w:type="dxa"/>
            <w:tcMar>
              <w:top w:type="dxa" w:w="60"/>
              <w:left w:type="dxa" w:w="120"/>
              <w:bottom w:type="dxa" w:w="30"/>
              <w:right w:type="dxa" w:w="120"/>
            </w:tcMar>
          </w:tcPr>
          <w:p>
            <w:pPr>
              <w:spacing w:before="120" w:after="120" w:line="288" w:lineRule="auto"/>
              <w:ind w:left="0"/>
              <w:jc w:val="center"/>
            </w:pPr>
            <w:r>
              <w:drawing>
                <wp:inline distT="0" distR="0" distB="0" distL="0">
                  <wp:extent cx="3581400" cy="16287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3581400" cy="16287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來源：Messari, Bloomberg</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标题：上週一期貨多頭清算額達到30億美元，是過去幾年中最糟糕的單日表現之一</w:t>
      </w:r>
    </w:p>
    <w:p>
      <w:pPr>
        <w:spacing w:before="120" w:after="120" w:line="288" w:lineRule="auto"/>
        <w:ind w:left="0"/>
        <w:jc w:val="center"/>
      </w:pPr>
      <w:r>
        <w:drawing>
          <wp:inline distT="0" distR="0" distB="0" distL="0">
            <wp:extent cx="5257800" cy="14954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5257800" cy="1495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來源：Coinglass</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标题：現貨市場的拋售觸發了BTC和ETH ETF雙雙出現近10億美元的周度資金流出</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14"/>
        <w:gridCol w:w="4165"/>
      </w:tblGrid>
      <w:tr>
        <w:tc>
          <w:tcPr>
            <w:tcW w:w="4114" w:type="dxa"/>
            <w:tcMar>
              <w:top w:type="dxa" w:w="60"/>
              <w:left w:type="dxa" w:w="120"/>
              <w:bottom w:type="dxa" w:w="30"/>
              <w:right w:type="dxa" w:w="120"/>
            </w:tcMar>
          </w:tcPr>
          <w:p>
            <w:pPr>
              <w:spacing w:before="120" w:after="120" w:line="288" w:lineRule="auto"/>
              <w:ind w:left="0"/>
              <w:jc w:val="center"/>
            </w:pPr>
            <w:r>
              <w:drawing>
                <wp:inline distT="0" distR="0" distB="0" distL="0">
                  <wp:extent cx="2457450" cy="25336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2457450" cy="2533650"/>
                          </a:xfrm>
                          <a:prstGeom prst="rect">
                            <a:avLst/>
                          </a:prstGeom>
                        </pic:spPr>
                      </pic:pic>
                    </a:graphicData>
                  </a:graphic>
                </wp:inline>
              </w:drawing>
            </w:r>
          </w:p>
        </w:tc>
        <w:tc>
          <w:tcPr>
            <w:tcW w:w="4165" w:type="dxa"/>
            <w:tcMar>
              <w:top w:type="dxa" w:w="60"/>
              <w:left w:type="dxa" w:w="120"/>
              <w:bottom w:type="dxa" w:w="30"/>
              <w:right w:type="dxa" w:w="120"/>
            </w:tcMar>
          </w:tcPr>
          <w:p>
            <w:pPr>
              <w:spacing w:before="120" w:after="120" w:line="288" w:lineRule="auto"/>
              <w:ind w:left="0"/>
              <w:jc w:val="center"/>
            </w:pPr>
            <w:r>
              <w:drawing>
                <wp:inline distT="0" distR="0" distB="0" distL="0">
                  <wp:extent cx="2486025" cy="25336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2486025" cy="253365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來源：SosoValue</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标题：加密貨幣DAT估值溢價持續萎縮至接近零（或出現折價）</w:t>
      </w:r>
    </w:p>
    <w:p>
      <w:pPr>
        <w:spacing w:before="120" w:after="120" w:line="288" w:lineRule="auto"/>
        <w:ind w:left="0"/>
        <w:jc w:val="center"/>
      </w:pPr>
      <w:r>
        <w:drawing>
          <wp:inline distT="0" distR="0" distB="0" distL="0">
            <wp:extent cx="5257800" cy="35433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8"/>
                    <a:stretch>
                      <a:fillRect/>
                    </a:stretch>
                  </pic:blipFill>
                  <pic:spPr>
                    <a:xfrm>
                      <a:off x="0" y="0"/>
                      <a:ext cx="5257800" cy="3543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來源： Blockworks</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趣的是，比特幣的隱含波動率仍然很低，因為市場仍未尋求任何下行保護，這可能是由於僅做多的DAT持有者持續佔據主導地位。鑒於乙太坊實際波動較大，其波動率已經上升，導致其對比特幣的波動率差距達到自2019年以來的最高水準。</w:t>
      </w:r>
    </w:p>
    <w:p>
      <w:pPr>
        <w:spacing w:before="120" w:after="120" w:line="288" w:lineRule="auto"/>
        <w:ind w:left="0"/>
        <w:jc w:val="left"/>
      </w:pPr>
      <w:r>
        <w:rPr>
          <w:rFonts w:eastAsia="等线" w:ascii="Arial" w:cs="Arial" w:hAnsi="Arial"/>
          <w:sz w:val="22"/>
        </w:rPr>
        <w:t>标题：ETH-BTC波動率差達到自2019年以來的最大差距</w:t>
      </w:r>
    </w:p>
    <w:p>
      <w:pPr>
        <w:spacing w:before="120" w:after="120" w:line="288" w:lineRule="auto"/>
        <w:ind w:left="0"/>
        <w:jc w:val="left"/>
      </w:pPr>
      <w:r>
        <w:drawing>
          <wp:inline distT="0" distR="0" distB="0" distL="0">
            <wp:extent cx="5257800" cy="24765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9"/>
                    <a:stretch>
                      <a:fillRect/>
                    </a:stretch>
                  </pic:blipFill>
                  <pic:spPr>
                    <a:xfrm>
                      <a:off x="0" y="0"/>
                      <a:ext cx="5257800" cy="24765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儘管價格出現拋售，但加密貨幣的基本背景依然積極。據報導，Tether正在與一組戰略投資者（包括Ark）進行談判，擬以5000億美元的估值籌集約200億美元資金；而Kraken在剛剛結束最近一輪融資後，據稱又在以200億美元的估值進行新一輪融資。</w:t>
      </w:r>
    </w:p>
    <w:p>
      <w:pPr>
        <w:spacing w:before="120" w:after="120" w:line="288" w:lineRule="auto"/>
        <w:ind w:left="0"/>
        <w:jc w:val="left"/>
      </w:pPr>
      <w:r>
        <w:rPr>
          <w:rFonts w:eastAsia="等线" w:ascii="Arial" w:cs="Arial" w:hAnsi="Arial"/>
          <w:sz w:val="22"/>
        </w:rPr>
        <w:t>标题：Tether正通過引入傳統投資者，繼續其邁向主流的道路</w:t>
      </w:r>
    </w:p>
    <w:p>
      <w:pPr>
        <w:spacing w:before="120" w:after="120" w:line="288" w:lineRule="auto"/>
        <w:ind w:left="0"/>
        <w:jc w:val="center"/>
      </w:pPr>
      <w:r>
        <w:drawing>
          <wp:inline distT="0" distR="0" distB="0" distL="0">
            <wp:extent cx="5257800" cy="19431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0"/>
                    <a:stretch>
                      <a:fillRect/>
                    </a:stretch>
                  </pic:blipFill>
                  <pic:spPr>
                    <a:xfrm>
                      <a:off x="0" y="0"/>
                      <a:ext cx="5257800" cy="1943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來源：CNBC</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們的偏向與過去一周相似，即鑒於極端的估值和具有挑戰性的季節性因素，傾向於採取更具防禦性的姿態。美國股票ETF的持倉量已飆升至2022年以來的高位，似乎所有關於經濟的利好消息、溫和的通脹以及鴿派的美聯儲都已被市場定價。</w:t>
      </w:r>
    </w:p>
    <w:p>
      <w:pPr>
        <w:spacing w:before="120" w:after="120" w:line="288" w:lineRule="auto"/>
        <w:ind w:left="0"/>
        <w:jc w:val="left"/>
      </w:pPr>
      <w:r>
        <w:rPr>
          <w:rFonts w:eastAsia="等线" w:ascii="Arial" w:cs="Arial" w:hAnsi="Arial"/>
          <w:sz w:val="22"/>
        </w:rPr>
        <w:t>不過，一如既往，請做好自己的研究，並祝該地區的各位假期愉快！祝你好運，交易順利。</w:t>
      </w:r>
    </w:p>
    <w:p>
      <w:pPr>
        <w:spacing w:before="120" w:after="120" w:line="288" w:lineRule="auto"/>
        <w:ind w:left="0"/>
        <w:jc w:val="left"/>
      </w:pPr>
      <w:r>
        <w:rPr>
          <w:rFonts w:eastAsia="等线" w:ascii="Arial" w:cs="Arial" w:hAnsi="Arial"/>
          <w:sz w:val="22"/>
        </w:rPr>
        <w:t>标题：這就是FOMO的樣子，再次上演...</w:t>
      </w:r>
    </w:p>
    <w:p>
      <w:pPr>
        <w:spacing w:before="120" w:after="120" w:line="288" w:lineRule="auto"/>
        <w:ind w:left="0"/>
        <w:jc w:val="left"/>
      </w:pPr>
      <w:r>
        <w:drawing>
          <wp:inline distT="0" distR="0" distB="0" distL="0">
            <wp:extent cx="5257800" cy="34194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1"/>
                    <a:stretch>
                      <a:fillRect/>
                    </a:stretch>
                  </pic:blipFill>
                  <pic:spPr>
                    <a:xfrm>
                      <a:off x="0" y="0"/>
                      <a:ext cx="5257800" cy="34194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sectPr>
      <w:footerReference w:type="default" r:id="rId3"/>
      <w:headerReference w:type="default" r:id="rId2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styles.xml" Type="http://schemas.openxmlformats.org/officeDocument/2006/relationships/styles"/><Relationship Id="rId20" Target="media/image17.png" Type="http://schemas.openxmlformats.org/officeDocument/2006/relationships/image"/><Relationship Id="rId21" Target="media/image18.png" Type="http://schemas.openxmlformats.org/officeDocument/2006/relationships/image"/><Relationship Id="rId22"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2025-09-29T05:35:39Z</dcterms:created>
  <dc:creator>Apache POI</dc:creator>
</cp:coreProperties>
</file>