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Fonts w:ascii="Arial" w:hAnsi="Arial"/>
          <w:b w:val="1"/>
          <w:bCs w:val="1"/>
          <w:sz w:val="52"/>
          <w:szCs w:val="52"/>
          <w:rtl w:val="0"/>
        </w:rPr>
        <w:t xml:space="preserve">250818 - </w:t>
      </w:r>
      <w:r>
        <w:rPr>
          <w:rFonts w:ascii="等线" w:cs="等线" w:hAnsi="等线" w:eastAsia="等线"/>
          <w:b w:val="1"/>
          <w:bCs w:val="1"/>
          <w:sz w:val="52"/>
          <w:szCs w:val="52"/>
          <w:rtl w:val="0"/>
          <w:lang w:val="de-DE"/>
        </w:rPr>
        <w:t xml:space="preserve"> Summer Break</w:t>
      </w:r>
    </w:p>
    <w:p>
      <w:pPr>
        <w:pStyle w:val="正文"/>
        <w:bidi w:val="0"/>
      </w:pPr>
      <w:r>
        <w:drawing xmlns:a="http://schemas.openxmlformats.org/drawingml/2006/main">
          <wp:inline distT="0" distB="0" distL="0" distR="0">
            <wp:extent cx="5257800" cy="4600575"/>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4">
                      <a:extLst/>
                    </a:blip>
                    <a:stretch>
                      <a:fillRect/>
                    </a:stretch>
                  </pic:blipFill>
                  <pic:spPr>
                    <a:xfrm>
                      <a:off x="0" y="0"/>
                      <a:ext cx="5257800" cy="4600575"/>
                    </a:xfrm>
                    <a:prstGeom prst="rect">
                      <a:avLst/>
                    </a:prstGeom>
                    <a:ln w="12700" cap="flat">
                      <a:noFill/>
                      <a:miter lim="400000"/>
                    </a:ln>
                    <a:effectLst/>
                  </pic:spPr>
                </pic:pic>
              </a:graphicData>
            </a:graphic>
          </wp:inline>
        </w:drawing>
      </w:r>
    </w:p>
    <w:p>
      <w:pPr>
        <w:pStyle w:val="正文"/>
        <w:bidi w:val="0"/>
      </w:pPr>
    </w:p>
    <w:p>
      <w:pPr>
        <w:pStyle w:val="正文"/>
        <w:bidi w:val="0"/>
      </w:pPr>
      <w:r>
        <w:rPr>
          <w:rFonts w:ascii="Arial Unicode MS" w:hAnsi="Arial Unicode MS" w:eastAsia="PingFang SC Regular" w:hint="eastAsia"/>
          <w:rtl w:val="0"/>
          <w:lang w:val="zh-CN" w:eastAsia="zh-CN"/>
        </w:rPr>
        <w:t>标题：</w:t>
      </w:r>
      <w:r>
        <w:rPr>
          <w:rFonts w:ascii="等线" w:cs="等线" w:hAnsi="等线" w:eastAsia="等线"/>
          <w:rtl w:val="0"/>
          <w:lang w:val="zh-TW" w:eastAsia="zh-TW"/>
        </w:rPr>
        <w:t>當前市場情緒</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1"/>
        <w:gridCol w:w="3608"/>
      </w:tblGrid>
      <w:tr>
        <w:tblPrEx>
          <w:shd w:val="clear" w:color="auto" w:fill="ced7e7"/>
        </w:tblPrEx>
        <w:trPr>
          <w:trHeight w:val="3468" w:hRule="atLeast"/>
        </w:trPr>
        <w:tc>
          <w:tcPr>
            <w:tcW w:type="dxa" w:w="4671"/>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 w:val="left" w:pos="432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809875" cy="2162175"/>
                  <wp:effectExtent l="0" t="0" r="0" b="0"/>
                  <wp:docPr id="1073741826" name="officeArt object" descr="image2.png"/>
                  <wp:cNvGraphicFramePr/>
                  <a:graphic xmlns:a="http://schemas.openxmlformats.org/drawingml/2006/main">
                    <a:graphicData uri="http://schemas.openxmlformats.org/drawingml/2006/picture">
                      <pic:pic xmlns:pic="http://schemas.openxmlformats.org/drawingml/2006/picture">
                        <pic:nvPicPr>
                          <pic:cNvPr id="1073741826" name="image2.png" descr="image2.png"/>
                          <pic:cNvPicPr>
                            <a:picLocks noChangeAspect="1"/>
                          </pic:cNvPicPr>
                        </pic:nvPicPr>
                        <pic:blipFill>
                          <a:blip r:embed="rId5">
                            <a:extLst/>
                          </a:blip>
                          <a:stretch>
                            <a:fillRect/>
                          </a:stretch>
                        </pic:blipFill>
                        <pic:spPr>
                          <a:xfrm>
                            <a:off x="0" y="0"/>
                            <a:ext cx="2809875" cy="2162175"/>
                          </a:xfrm>
                          <a:prstGeom prst="rect">
                            <a:avLst/>
                          </a:prstGeom>
                          <a:ln w="12700" cap="flat">
                            <a:noFill/>
                            <a:miter lim="400000"/>
                          </a:ln>
                          <a:effectLst/>
                        </pic:spPr>
                      </pic:pic>
                    </a:graphicData>
                  </a:graphic>
                </wp:inline>
              </w:drawing>
            </w:r>
          </w:p>
        </w:tc>
        <w:tc>
          <w:tcPr>
            <w:tcW w:type="dxa" w:w="3608"/>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133600" cy="2133600"/>
                  <wp:effectExtent l="0" t="0" r="0" b="0"/>
                  <wp:docPr id="1073741827" name="officeArt object" descr="image3.png"/>
                  <wp:cNvGraphicFramePr/>
                  <a:graphic xmlns:a="http://schemas.openxmlformats.org/drawingml/2006/main">
                    <a:graphicData uri="http://schemas.openxmlformats.org/drawingml/2006/picture">
                      <pic:pic xmlns:pic="http://schemas.openxmlformats.org/drawingml/2006/picture">
                        <pic:nvPicPr>
                          <pic:cNvPr id="1073741827" name="image3.png" descr="image3.png"/>
                          <pic:cNvPicPr>
                            <a:picLocks noChangeAspect="1"/>
                          </pic:cNvPicPr>
                        </pic:nvPicPr>
                        <pic:blipFill>
                          <a:blip r:embed="rId6">
                            <a:extLst/>
                          </a:blip>
                          <a:stretch>
                            <a:fillRect/>
                          </a:stretch>
                        </pic:blipFill>
                        <pic:spPr>
                          <a:xfrm>
                            <a:off x="0" y="0"/>
                            <a:ext cx="2133600" cy="2133600"/>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lang w:val="en-US"/>
        </w:rPr>
        <w:t>: FT, Reddit</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我們結束了一個震盪但最終收於區間內的一周，最新的通脹指標走勢分化：在之前一周溫和的</w:t>
      </w:r>
      <w:r>
        <w:rPr>
          <w:rFonts w:ascii="Arial" w:hAnsi="Arial"/>
          <w:rtl w:val="0"/>
          <w:lang w:val="pt-PT"/>
        </w:rPr>
        <w:t>CPI</w:t>
      </w:r>
      <w:r>
        <w:rPr>
          <w:rFonts w:ascii="等线" w:cs="等线" w:hAnsi="等线" w:eastAsia="等线"/>
          <w:rtl w:val="0"/>
          <w:lang w:val="zh-TW" w:eastAsia="zh-TW"/>
        </w:rPr>
        <w:t>（消費者價格指數）之後，</w:t>
      </w:r>
      <w:r>
        <w:rPr>
          <w:rFonts w:ascii="Arial" w:hAnsi="Arial"/>
          <w:rtl w:val="0"/>
        </w:rPr>
        <w:t>7</w:t>
      </w:r>
      <w:r>
        <w:rPr>
          <w:rFonts w:ascii="等线" w:cs="等线" w:hAnsi="等线" w:eastAsia="等线"/>
          <w:rtl w:val="0"/>
        </w:rPr>
        <w:t>月</w:t>
      </w:r>
      <w:r>
        <w:rPr>
          <w:rFonts w:ascii="Arial" w:hAnsi="Arial"/>
          <w:rtl w:val="0"/>
          <w:lang w:val="es-ES_tradnl"/>
        </w:rPr>
        <w:t>PPI</w:t>
      </w:r>
      <w:r>
        <w:rPr>
          <w:rFonts w:ascii="等线" w:cs="等线" w:hAnsi="等线" w:eastAsia="等线"/>
          <w:rtl w:val="0"/>
          <w:lang w:val="zh-TW" w:eastAsia="zh-TW"/>
        </w:rPr>
        <w:t>（生產者價格指數）意外大幅上漲（環比</w:t>
      </w:r>
      <w:r>
        <w:rPr>
          <w:rFonts w:ascii="Arial" w:hAnsi="Arial"/>
          <w:rtl w:val="0"/>
        </w:rPr>
        <w:t xml:space="preserve">+0.9% vs </w:t>
      </w:r>
      <w:r>
        <w:rPr>
          <w:rFonts w:ascii="等线" w:cs="等线" w:hAnsi="等线" w:eastAsia="等线"/>
          <w:rtl w:val="0"/>
          <w:lang w:val="zh-TW" w:eastAsia="zh-TW"/>
        </w:rPr>
        <w:t>預期</w:t>
      </w:r>
      <w:r>
        <w:rPr>
          <w:rFonts w:ascii="Arial" w:hAnsi="Arial"/>
          <w:rtl w:val="0"/>
        </w:rPr>
        <w:t>+0.2%</w:t>
      </w:r>
      <w:r>
        <w:rPr>
          <w:rFonts w:ascii="等线" w:cs="等线" w:hAnsi="等线" w:eastAsia="等线"/>
          <w:rtl w:val="0"/>
          <w:lang w:val="zh-TW" w:eastAsia="zh-TW"/>
        </w:rPr>
        <w:t>，主要由專業服務價格跳漲推動）。</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通脹指標難以軟化至</w:t>
      </w:r>
      <w:r>
        <w:rPr>
          <w:rFonts w:ascii="Arial" w:hAnsi="Arial"/>
          <w:rtl w:val="0"/>
        </w:rPr>
        <w:t>2%</w:t>
      </w:r>
      <w:r>
        <w:rPr>
          <w:rFonts w:ascii="等线" w:cs="等线" w:hAnsi="等线" w:eastAsia="等线"/>
          <w:rtl w:val="0"/>
          <w:lang w:val="ja-JP" w:eastAsia="ja-JP"/>
        </w:rPr>
        <w:t>目標以下</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2705100"/>
            <wp:effectExtent l="0" t="0" r="0" b="0"/>
            <wp:docPr id="1073741828" name="officeArt object" descr="image4.png"/>
            <wp:cNvGraphicFramePr/>
            <a:graphic xmlns:a="http://schemas.openxmlformats.org/drawingml/2006/main">
              <a:graphicData uri="http://schemas.openxmlformats.org/drawingml/2006/picture">
                <pic:pic xmlns:pic="http://schemas.openxmlformats.org/drawingml/2006/picture">
                  <pic:nvPicPr>
                    <pic:cNvPr id="1073741828" name="image4.png" descr="image4.png"/>
                    <pic:cNvPicPr>
                      <a:picLocks noChangeAspect="1"/>
                    </pic:cNvPicPr>
                  </pic:nvPicPr>
                  <pic:blipFill>
                    <a:blip r:embed="rId7">
                      <a:extLst/>
                    </a:blip>
                    <a:stretch>
                      <a:fillRect/>
                    </a:stretch>
                  </pic:blipFill>
                  <pic:spPr>
                    <a:xfrm>
                      <a:off x="0" y="0"/>
                      <a:ext cx="5257800" cy="270510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雪上加霜的是，密西根大學通脹預期資料同樣高企，</w:t>
      </w:r>
      <w:r>
        <w:rPr>
          <w:rFonts w:ascii="Arial" w:hAnsi="Arial"/>
          <w:rtl w:val="0"/>
        </w:rPr>
        <w:t>1</w:t>
      </w:r>
      <w:r>
        <w:rPr>
          <w:rFonts w:ascii="等线" w:cs="等线" w:hAnsi="等线" w:eastAsia="等线"/>
          <w:rtl w:val="0"/>
          <w:lang w:val="zh-TW" w:eastAsia="zh-TW"/>
        </w:rPr>
        <w:t>年期和</w:t>
      </w:r>
      <w:r>
        <w:rPr>
          <w:rFonts w:ascii="Arial" w:hAnsi="Arial"/>
          <w:rtl w:val="0"/>
          <w:lang w:val="ru-RU"/>
        </w:rPr>
        <w:t>5-10</w:t>
      </w:r>
      <w:r>
        <w:rPr>
          <w:rFonts w:ascii="等线" w:cs="等线" w:hAnsi="等线" w:eastAsia="等线"/>
          <w:rtl w:val="0"/>
          <w:lang w:val="zh-TW" w:eastAsia="zh-TW"/>
        </w:rPr>
        <w:t>年期價格預期均顯著高於預期（</w:t>
      </w:r>
      <w:r>
        <w:rPr>
          <w:rFonts w:ascii="Arial" w:hAnsi="Arial"/>
          <w:rtl w:val="0"/>
        </w:rPr>
        <w:t>1</w:t>
      </w:r>
      <w:r>
        <w:rPr>
          <w:rFonts w:ascii="等线" w:cs="等线" w:hAnsi="等线" w:eastAsia="等线"/>
          <w:rtl w:val="0"/>
          <w:lang w:val="zh-TW" w:eastAsia="zh-TW"/>
        </w:rPr>
        <w:t>年期：</w:t>
      </w:r>
      <w:r>
        <w:rPr>
          <w:rFonts w:ascii="Arial" w:hAnsi="Arial"/>
          <w:rtl w:val="0"/>
        </w:rPr>
        <w:t>4.4% vs 4.9%</w:t>
      </w:r>
      <w:r>
        <w:rPr>
          <w:rFonts w:ascii="等线" w:cs="等线" w:hAnsi="等线" w:eastAsia="等线"/>
          <w:rtl w:val="0"/>
          <w:lang w:val="zh-TW" w:eastAsia="zh-TW"/>
        </w:rPr>
        <w:t>預期；</w:t>
      </w:r>
      <w:r>
        <w:rPr>
          <w:rFonts w:ascii="Arial" w:hAnsi="Arial"/>
          <w:rtl w:val="0"/>
          <w:lang w:val="ru-RU"/>
        </w:rPr>
        <w:t>5-10</w:t>
      </w:r>
      <w:r>
        <w:rPr>
          <w:rFonts w:ascii="等线" w:cs="等线" w:hAnsi="等线" w:eastAsia="等线"/>
          <w:rtl w:val="0"/>
          <w:lang w:val="zh-TW" w:eastAsia="zh-TW"/>
        </w:rPr>
        <w:t>年期：</w:t>
      </w:r>
      <w:r>
        <w:rPr>
          <w:rFonts w:ascii="Arial" w:hAnsi="Arial"/>
          <w:rtl w:val="0"/>
        </w:rPr>
        <w:t>3.4% vs 3.9%</w:t>
      </w:r>
      <w:r>
        <w:rPr>
          <w:rFonts w:ascii="等线" w:cs="等线" w:hAnsi="等线" w:eastAsia="等线"/>
          <w:rtl w:val="0"/>
          <w:lang w:val="zh-TW" w:eastAsia="zh-TW"/>
        </w:rPr>
        <w:t>預期）。儘管通脹資料令人失望，財政部長貝森特仍繼續其鴿派論調，聲稱根據他們的經濟</w:t>
      </w:r>
      <w:r>
        <w:rPr>
          <w:rFonts w:ascii="Arial" w:hAnsi="Arial" w:hint="default"/>
          <w:rtl w:val="1"/>
          <w:lang w:val="ar-SA" w:bidi="ar-SA"/>
        </w:rPr>
        <w:t>“</w:t>
      </w:r>
      <w:r>
        <w:rPr>
          <w:rFonts w:ascii="等线" w:cs="等线" w:hAnsi="等线" w:eastAsia="等线"/>
          <w:rtl w:val="0"/>
        </w:rPr>
        <w:t>模型</w:t>
      </w:r>
      <w:r>
        <w:rPr>
          <w:rFonts w:ascii="Arial" w:hAnsi="Arial" w:hint="default"/>
          <w:rtl w:val="0"/>
        </w:rPr>
        <w:t>”</w:t>
      </w:r>
      <w:r>
        <w:rPr>
          <w:rFonts w:ascii="等线" w:cs="等线" w:hAnsi="等线" w:eastAsia="等线"/>
          <w:rtl w:val="0"/>
          <w:lang w:val="zh-TW" w:eastAsia="zh-TW"/>
        </w:rPr>
        <w:t>，中性利率應低</w:t>
      </w:r>
      <w:r>
        <w:rPr>
          <w:rFonts w:ascii="Arial" w:hAnsi="Arial"/>
          <w:rtl w:val="0"/>
        </w:rPr>
        <w:t>150</w:t>
      </w:r>
      <w:r>
        <w:rPr>
          <w:rFonts w:ascii="等线" w:cs="等线" w:hAnsi="等线" w:eastAsia="等线"/>
          <w:rtl w:val="0"/>
          <w:lang w:val="zh-TW" w:eastAsia="zh-TW"/>
        </w:rPr>
        <w:t>個基點。這無疑在一定程度上受到了特朗普總統持續推行的維持低利率政策議程的影響。</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密西根大學通脹預期：短期與長期指標均意外上行</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857250"/>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8">
                      <a:extLst/>
                    </a:blip>
                    <a:stretch>
                      <a:fillRect/>
                    </a:stretch>
                  </pic:blipFill>
                  <pic:spPr>
                    <a:xfrm>
                      <a:off x="0" y="0"/>
                      <a:ext cx="5257800" cy="85725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rPr>
        <w:t>: Bloomberg</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財長貝森特近期宣稱</w:t>
      </w:r>
      <w:r>
        <w:rPr>
          <w:rFonts w:ascii="Arial" w:hAnsi="Arial" w:hint="default"/>
          <w:rtl w:val="1"/>
          <w:lang w:val="ar-SA" w:bidi="ar-SA"/>
        </w:rPr>
        <w:t>“</w:t>
      </w:r>
      <w:r>
        <w:rPr>
          <w:rFonts w:ascii="等线" w:cs="等线" w:hAnsi="等线" w:eastAsia="等线"/>
          <w:rtl w:val="0"/>
          <w:lang w:val="ja-JP" w:eastAsia="ja-JP"/>
        </w:rPr>
        <w:t>中性</w:t>
      </w:r>
      <w:r>
        <w:rPr>
          <w:rFonts w:ascii="Arial" w:hAnsi="Arial" w:hint="default"/>
          <w:rtl w:val="0"/>
        </w:rPr>
        <w:t>”</w:t>
      </w:r>
      <w:r>
        <w:rPr>
          <w:rFonts w:ascii="等线" w:cs="等线" w:hAnsi="等线" w:eastAsia="等线"/>
          <w:rtl w:val="0"/>
          <w:lang w:val="zh-TW" w:eastAsia="zh-TW"/>
        </w:rPr>
        <w:t>利率應低約</w:t>
      </w:r>
      <w:r>
        <w:rPr>
          <w:rFonts w:ascii="Arial" w:hAnsi="Arial"/>
          <w:rtl w:val="0"/>
        </w:rPr>
        <w:t>150</w:t>
      </w:r>
      <w:r>
        <w:rPr>
          <w:rFonts w:ascii="等线" w:cs="等线" w:hAnsi="等线" w:eastAsia="等线"/>
          <w:rtl w:val="0"/>
          <w:lang w:val="zh-TW" w:eastAsia="zh-TW"/>
        </w:rPr>
        <w:t xml:space="preserve">個基點 </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2486025"/>
            <wp:effectExtent l="0" t="0" r="0" 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9">
                      <a:extLst/>
                    </a:blip>
                    <a:stretch>
                      <a:fillRect/>
                    </a:stretch>
                  </pic:blipFill>
                  <pic:spPr>
                    <a:xfrm>
                      <a:off x="0" y="0"/>
                      <a:ext cx="5257800" cy="248602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lang w:val="nl-NL"/>
        </w:rPr>
        <w:t>: Forbes, CNBC</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儘管官方態度樂觀，市場自然有其判斷。更為火熱的通脹資料表明，關稅成本可能正以快於預期的速度傳導至消費者，這導致美元</w:t>
      </w:r>
      <w:r>
        <w:rPr>
          <w:rFonts w:ascii="Arial" w:hAnsi="Arial"/>
          <w:rtl w:val="0"/>
        </w:rPr>
        <w:t>/</w:t>
      </w:r>
      <w:r>
        <w:rPr>
          <w:rFonts w:ascii="等线" w:cs="等线" w:hAnsi="等线" w:eastAsia="等线"/>
          <w:rtl w:val="0"/>
          <w:lang w:val="zh-TW" w:eastAsia="zh-TW"/>
        </w:rPr>
        <w:t>美債收益率反彈，金價下跌。對於</w:t>
      </w:r>
      <w:r>
        <w:rPr>
          <w:rFonts w:ascii="Arial" w:hAnsi="Arial"/>
          <w:rtl w:val="0"/>
        </w:rPr>
        <w:t>9</w:t>
      </w:r>
      <w:r>
        <w:rPr>
          <w:rFonts w:ascii="等线" w:cs="等线" w:hAnsi="等线" w:eastAsia="等线"/>
          <w:rtl w:val="0"/>
          <w:lang w:val="zh-TW" w:eastAsia="zh-TW"/>
        </w:rPr>
        <w:t>月會議降息</w:t>
      </w:r>
      <w:r>
        <w:rPr>
          <w:rFonts w:ascii="Arial" w:hAnsi="Arial"/>
          <w:rtl w:val="0"/>
        </w:rPr>
        <w:t>50</w:t>
      </w:r>
      <w:r>
        <w:rPr>
          <w:rFonts w:ascii="等线" w:cs="等线" w:hAnsi="等线" w:eastAsia="等线"/>
          <w:rtl w:val="0"/>
          <w:lang w:val="zh-TW" w:eastAsia="zh-TW"/>
        </w:rPr>
        <w:t>個基點的任何希望迅速破滅，截至週五收盤，市場僅定價了約</w:t>
      </w:r>
      <w:r>
        <w:rPr>
          <w:rFonts w:ascii="Arial" w:hAnsi="Arial"/>
          <w:rtl w:val="0"/>
        </w:rPr>
        <w:t>90%</w:t>
      </w:r>
      <w:r>
        <w:rPr>
          <w:rFonts w:ascii="等线" w:cs="等线" w:hAnsi="等线" w:eastAsia="等线"/>
          <w:rtl w:val="0"/>
          <w:lang w:val="zh-CN" w:eastAsia="zh-CN"/>
        </w:rPr>
        <w:t>的一次降息（</w:t>
      </w:r>
      <w:r>
        <w:rPr>
          <w:rFonts w:ascii="Arial" w:hAnsi="Arial"/>
          <w:rtl w:val="0"/>
        </w:rPr>
        <w:t>25</w:t>
      </w:r>
      <w:r>
        <w:rPr>
          <w:rFonts w:ascii="等线" w:cs="等线" w:hAnsi="等线" w:eastAsia="等线"/>
          <w:rtl w:val="0"/>
          <w:lang w:val="zh-TW" w:eastAsia="zh-TW"/>
        </w:rPr>
        <w:t>個基點）可能性。不過，市場仍預期年底前會有略多於</w:t>
      </w:r>
      <w:r>
        <w:rPr>
          <w:rFonts w:ascii="Arial" w:hAnsi="Arial"/>
          <w:rtl w:val="0"/>
        </w:rPr>
        <w:t>2</w:t>
      </w:r>
      <w:r>
        <w:rPr>
          <w:rFonts w:ascii="等线" w:cs="等线" w:hAnsi="等线" w:eastAsia="等线"/>
          <w:rtl w:val="0"/>
        </w:rPr>
        <w:t>次降息。</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強勁</w:t>
      </w:r>
      <w:r>
        <w:rPr>
          <w:rFonts w:ascii="Arial" w:hAnsi="Arial"/>
          <w:rtl w:val="0"/>
          <w:lang w:val="es-ES_tradnl"/>
        </w:rPr>
        <w:t>PPI</w:t>
      </w:r>
      <w:r>
        <w:rPr>
          <w:rFonts w:ascii="等线" w:cs="等线" w:hAnsi="等线" w:eastAsia="等线"/>
          <w:rtl w:val="0"/>
          <w:lang w:val="zh-TW" w:eastAsia="zh-TW"/>
        </w:rPr>
        <w:t>後，市場僅定價</w:t>
      </w:r>
      <w:r>
        <w:rPr>
          <w:rFonts w:ascii="Arial" w:hAnsi="Arial"/>
          <w:rtl w:val="0"/>
        </w:rPr>
        <w:t>9</w:t>
      </w:r>
      <w:r>
        <w:rPr>
          <w:rFonts w:ascii="等线" w:cs="等线" w:hAnsi="等线" w:eastAsia="等线"/>
          <w:rtl w:val="0"/>
          <w:lang w:val="zh-TW" w:eastAsia="zh-TW"/>
        </w:rPr>
        <w:t>月會議降息一次（</w:t>
      </w:r>
      <w:r>
        <w:rPr>
          <w:rFonts w:ascii="Arial" w:hAnsi="Arial"/>
          <w:rtl w:val="0"/>
        </w:rPr>
        <w:t>25</w:t>
      </w:r>
      <w:r>
        <w:rPr>
          <w:rFonts w:ascii="等线" w:cs="等线" w:hAnsi="等线" w:eastAsia="等线"/>
          <w:rtl w:val="0"/>
          <w:lang w:val="zh-TW" w:eastAsia="zh-TW"/>
        </w:rPr>
        <w:t>基點）的可能性低於</w:t>
      </w:r>
      <w:r>
        <w:rPr>
          <w:rFonts w:ascii="Arial" w:hAnsi="Arial"/>
          <w:rtl w:val="0"/>
        </w:rPr>
        <w:t xml:space="preserve">90% </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3448050"/>
            <wp:effectExtent l="0" t="0" r="0" b="0"/>
            <wp:docPr id="1073741831" name="officeArt object" descr="image7.png"/>
            <wp:cNvGraphicFramePr/>
            <a:graphic xmlns:a="http://schemas.openxmlformats.org/drawingml/2006/main">
              <a:graphicData uri="http://schemas.openxmlformats.org/drawingml/2006/picture">
                <pic:pic xmlns:pic="http://schemas.openxmlformats.org/drawingml/2006/picture">
                  <pic:nvPicPr>
                    <pic:cNvPr id="1073741831" name="image7.png" descr="image7.png"/>
                    <pic:cNvPicPr>
                      <a:picLocks noChangeAspect="1"/>
                    </pic:cNvPicPr>
                  </pic:nvPicPr>
                  <pic:blipFill>
                    <a:blip r:embed="rId10">
                      <a:extLst/>
                    </a:blip>
                    <a:stretch>
                      <a:fillRect/>
                    </a:stretch>
                  </pic:blipFill>
                  <pic:spPr>
                    <a:xfrm>
                      <a:off x="0" y="0"/>
                      <a:ext cx="5257800" cy="344805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rPr>
        <w:t>: Citi</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過去一周，加密貨幣價格停滯不前，宏觀因素增加了短期阻力。財長貝森特宣佈美國政府持有的</w:t>
      </w:r>
      <w:r>
        <w:rPr>
          <w:rFonts w:ascii="Arial" w:hAnsi="Arial"/>
          <w:rtl w:val="0"/>
          <w:lang w:val="en-US"/>
        </w:rPr>
        <w:t>BTC</w:t>
      </w:r>
      <w:r>
        <w:rPr>
          <w:rFonts w:ascii="等线" w:cs="等线" w:hAnsi="等线" w:eastAsia="等线"/>
          <w:rtl w:val="0"/>
          <w:lang w:val="zh-TW" w:eastAsia="zh-TW"/>
        </w:rPr>
        <w:t>價值接近</w:t>
      </w:r>
      <w:r>
        <w:rPr>
          <w:rFonts w:ascii="Arial" w:hAnsi="Arial"/>
          <w:rtl w:val="0"/>
        </w:rPr>
        <w:t>150-200</w:t>
      </w:r>
      <w:r>
        <w:rPr>
          <w:rFonts w:ascii="等线" w:cs="等线" w:hAnsi="等线" w:eastAsia="等线"/>
          <w:rtl w:val="0"/>
          <w:lang w:val="zh-TW" w:eastAsia="zh-TW"/>
        </w:rPr>
        <w:t>億美元，而非市場此前希望的</w:t>
      </w:r>
      <w:r>
        <w:rPr>
          <w:rFonts w:ascii="Arial" w:hAnsi="Arial"/>
          <w:rtl w:val="0"/>
        </w:rPr>
        <w:t>230</w:t>
      </w:r>
      <w:r>
        <w:rPr>
          <w:rFonts w:ascii="等线" w:cs="等线" w:hAnsi="等线" w:eastAsia="等线"/>
          <w:rtl w:val="0"/>
          <w:lang w:val="zh-TW" w:eastAsia="zh-TW"/>
        </w:rPr>
        <w:t>億美元以上，這令市場失望。更重要的是，他進一步讓觀察人士失望地表示，政府不會為其</w:t>
      </w:r>
      <w:r>
        <w:rPr>
          <w:rFonts w:ascii="Arial" w:hAnsi="Arial" w:hint="default"/>
          <w:rtl w:val="1"/>
          <w:lang w:val="ar-SA" w:bidi="ar-SA"/>
        </w:rPr>
        <w:t>“</w:t>
      </w:r>
      <w:r>
        <w:rPr>
          <w:rFonts w:ascii="等线" w:cs="等线" w:hAnsi="等线" w:eastAsia="等线"/>
          <w:rtl w:val="0"/>
          <w:lang w:val="zh-TW" w:eastAsia="zh-TW"/>
        </w:rPr>
        <w:t>戰略比特幣儲備</w:t>
      </w:r>
      <w:r>
        <w:rPr>
          <w:rFonts w:ascii="Arial" w:hAnsi="Arial" w:hint="default"/>
          <w:rtl w:val="0"/>
        </w:rPr>
        <w:t>”</w:t>
      </w:r>
      <w:r>
        <w:rPr>
          <w:rFonts w:ascii="等线" w:cs="等线" w:hAnsi="等线" w:eastAsia="等线"/>
          <w:rtl w:val="0"/>
          <w:lang w:val="zh-TW" w:eastAsia="zh-TW"/>
        </w:rPr>
        <w:t>購買更多</w:t>
      </w:r>
      <w:r>
        <w:rPr>
          <w:rFonts w:ascii="Arial" w:hAnsi="Arial"/>
          <w:rtl w:val="0"/>
          <w:lang w:val="en-US"/>
        </w:rPr>
        <w:t>BTC</w:t>
      </w:r>
      <w:r>
        <w:rPr>
          <w:rFonts w:ascii="等线" w:cs="等线" w:hAnsi="等线" w:eastAsia="等线"/>
          <w:rtl w:val="0"/>
          <w:lang w:val="zh-TW" w:eastAsia="zh-TW"/>
        </w:rPr>
        <w:t>，也不預計政府會對其黃金儲備（按每盎司</w:t>
      </w:r>
      <w:r>
        <w:rPr>
          <w:rFonts w:ascii="Arial" w:hAnsi="Arial"/>
          <w:rtl w:val="0"/>
        </w:rPr>
        <w:t>42.22</w:t>
      </w:r>
      <w:r>
        <w:rPr>
          <w:rFonts w:ascii="等线" w:cs="等线" w:hAnsi="等线" w:eastAsia="等线"/>
          <w:rtl w:val="0"/>
          <w:lang w:val="zh-TW" w:eastAsia="zh-TW"/>
        </w:rPr>
        <w:t>美元計價）進行重估或出售以換取比特幣。</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過去一周政府的</w:t>
      </w:r>
      <w:r>
        <w:rPr>
          <w:rFonts w:ascii="Arial" w:hAnsi="Arial"/>
          <w:rtl w:val="0"/>
        </w:rPr>
        <w:t>SBR</w:t>
      </w:r>
      <w:r>
        <w:rPr>
          <w:rFonts w:ascii="等线" w:cs="等线" w:hAnsi="等线" w:eastAsia="等线"/>
          <w:rtl w:val="0"/>
          <w:lang w:val="zh-TW" w:eastAsia="zh-TW"/>
        </w:rPr>
        <w:t>相關頭條令市場失望</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990600"/>
            <wp:effectExtent l="0" t="0" r="0" b="0"/>
            <wp:docPr id="1073741832" name="officeArt object" descr="image8.png"/>
            <wp:cNvGraphicFramePr/>
            <a:graphic xmlns:a="http://schemas.openxmlformats.org/drawingml/2006/main">
              <a:graphicData uri="http://schemas.openxmlformats.org/drawingml/2006/picture">
                <pic:pic xmlns:pic="http://schemas.openxmlformats.org/drawingml/2006/picture">
                  <pic:nvPicPr>
                    <pic:cNvPr id="1073741832" name="image8.png" descr="image8.png"/>
                    <pic:cNvPicPr>
                      <a:picLocks noChangeAspect="1"/>
                    </pic:cNvPicPr>
                  </pic:nvPicPr>
                  <pic:blipFill>
                    <a:blip r:embed="rId11">
                      <a:extLst/>
                    </a:blip>
                    <a:stretch>
                      <a:fillRect/>
                    </a:stretch>
                  </pic:blipFill>
                  <pic:spPr>
                    <a:xfrm>
                      <a:off x="0" y="0"/>
                      <a:ext cx="5257800" cy="990600"/>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1514475"/>
            <wp:effectExtent l="0" t="0" r="0" b="0"/>
            <wp:docPr id="1073741833" name="officeArt object" descr="image9.png"/>
            <wp:cNvGraphicFramePr/>
            <a:graphic xmlns:a="http://schemas.openxmlformats.org/drawingml/2006/main">
              <a:graphicData uri="http://schemas.openxmlformats.org/drawingml/2006/picture">
                <pic:pic xmlns:pic="http://schemas.openxmlformats.org/drawingml/2006/picture">
                  <pic:nvPicPr>
                    <pic:cNvPr id="1073741833" name="image9.png" descr="image9.png"/>
                    <pic:cNvPicPr>
                      <a:picLocks noChangeAspect="1"/>
                    </pic:cNvPicPr>
                  </pic:nvPicPr>
                  <pic:blipFill>
                    <a:blip r:embed="rId12">
                      <a:extLst/>
                    </a:blip>
                    <a:stretch>
                      <a:fillRect/>
                    </a:stretch>
                  </pic:blipFill>
                  <pic:spPr>
                    <a:xfrm>
                      <a:off x="0" y="0"/>
                      <a:ext cx="5257800" cy="151447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lang w:val="en-US"/>
        </w:rPr>
        <w:t>: Yahoo Finance, Arkham</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另一方面，</w:t>
      </w:r>
      <w:r>
        <w:rPr>
          <w:rFonts w:ascii="Arial" w:hAnsi="Arial"/>
          <w:rtl w:val="0"/>
          <w:lang w:val="de-DE"/>
        </w:rPr>
        <w:t>ETF</w:t>
      </w:r>
      <w:r>
        <w:rPr>
          <w:rFonts w:ascii="等线" w:cs="等线" w:hAnsi="等线" w:eastAsia="等线"/>
          <w:rtl w:val="0"/>
          <w:lang w:val="zh-TW" w:eastAsia="zh-TW"/>
        </w:rPr>
        <w:t>資金流入依然非常強勁。彭博報導稱，</w:t>
      </w:r>
      <w:r>
        <w:rPr>
          <w:rFonts w:ascii="Arial" w:hAnsi="Arial"/>
          <w:rtl w:val="0"/>
          <w:lang w:val="en-US"/>
        </w:rPr>
        <w:t>BTC</w:t>
      </w:r>
      <w:r>
        <w:rPr>
          <w:rFonts w:ascii="等线" w:cs="等线" w:hAnsi="等线" w:eastAsia="等线"/>
          <w:rtl w:val="0"/>
          <w:lang w:val="ja-JP" w:eastAsia="ja-JP"/>
        </w:rPr>
        <w:t>和</w:t>
      </w:r>
      <w:r>
        <w:rPr>
          <w:rFonts w:ascii="Arial" w:hAnsi="Arial"/>
          <w:rtl w:val="0"/>
          <w:lang w:val="de-DE"/>
        </w:rPr>
        <w:t>ETH ETF</w:t>
      </w:r>
      <w:r>
        <w:rPr>
          <w:rFonts w:ascii="等线" w:cs="等线" w:hAnsi="等线" w:eastAsia="等线"/>
          <w:rtl w:val="0"/>
          <w:lang w:val="zh-TW" w:eastAsia="zh-TW"/>
        </w:rPr>
        <w:t>上周錄得自推出以來的最大單周資金流入，使這對組合躋身所有股權類</w:t>
      </w:r>
      <w:r>
        <w:rPr>
          <w:rFonts w:ascii="Arial" w:hAnsi="Arial"/>
          <w:rtl w:val="0"/>
          <w:lang w:val="de-DE"/>
        </w:rPr>
        <w:t>ETF</w:t>
      </w:r>
      <w:r>
        <w:rPr>
          <w:rFonts w:ascii="等线" w:cs="等线" w:hAnsi="等线" w:eastAsia="等线"/>
          <w:rtl w:val="0"/>
          <w:lang w:val="zh-TW" w:eastAsia="zh-TW"/>
        </w:rPr>
        <w:t>的前五名。這一動向主要由</w:t>
      </w:r>
      <w:r>
        <w:rPr>
          <w:rFonts w:ascii="Arial" w:hAnsi="Arial"/>
          <w:rtl w:val="0"/>
          <w:lang w:val="de-DE"/>
        </w:rPr>
        <w:t>ETF</w:t>
      </w:r>
      <w:r>
        <w:rPr>
          <w:rFonts w:ascii="等线" w:cs="等线" w:hAnsi="等线" w:eastAsia="等线"/>
          <w:rtl w:val="0"/>
          <w:lang w:val="zh-TW" w:eastAsia="zh-TW"/>
        </w:rPr>
        <w:t>資金流入激增推動，單周流入額達</w:t>
      </w:r>
      <w:r>
        <w:rPr>
          <w:rFonts w:ascii="Arial" w:hAnsi="Arial"/>
          <w:rtl w:val="0"/>
        </w:rPr>
        <w:t>170</w:t>
      </w:r>
      <w:r>
        <w:rPr>
          <w:rFonts w:ascii="等线" w:cs="等线" w:hAnsi="等线" w:eastAsia="等线"/>
          <w:rtl w:val="0"/>
          <w:lang w:val="zh-TW" w:eastAsia="zh-TW"/>
        </w:rPr>
        <w:t>億美元，打破了之前的記錄。</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Arial" w:hAnsi="Arial"/>
          <w:rtl w:val="0"/>
          <w:lang w:val="en-US"/>
        </w:rPr>
        <w:t xml:space="preserve">BTC &amp; ETH ETF </w:t>
      </w:r>
      <w:r>
        <w:rPr>
          <w:rFonts w:ascii="等线" w:cs="等线" w:hAnsi="等线" w:eastAsia="等线"/>
          <w:rtl w:val="0"/>
          <w:lang w:val="zh-TW" w:eastAsia="zh-TW"/>
        </w:rPr>
        <w:t>上周資金流入創紀錄</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3343275"/>
            <wp:effectExtent l="0" t="0" r="0" b="0"/>
            <wp:docPr id="1073741834" name="officeArt object" descr="image10.png"/>
            <wp:cNvGraphicFramePr/>
            <a:graphic xmlns:a="http://schemas.openxmlformats.org/drawingml/2006/main">
              <a:graphicData uri="http://schemas.openxmlformats.org/drawingml/2006/picture">
                <pic:pic xmlns:pic="http://schemas.openxmlformats.org/drawingml/2006/picture">
                  <pic:nvPicPr>
                    <pic:cNvPr id="1073741834" name="image10.png" descr="image10.png"/>
                    <pic:cNvPicPr>
                      <a:picLocks noChangeAspect="1"/>
                    </pic:cNvPicPr>
                  </pic:nvPicPr>
                  <pic:blipFill>
                    <a:blip r:embed="rId13">
                      <a:extLst/>
                    </a:blip>
                    <a:stretch>
                      <a:fillRect/>
                    </a:stretch>
                  </pic:blipFill>
                  <pic:spPr>
                    <a:xfrm>
                      <a:off x="0" y="0"/>
                      <a:ext cx="5257800" cy="334327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rPr>
        <w:t>: Bloomberg, X</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主要由</w:t>
      </w:r>
      <w:r>
        <w:rPr>
          <w:rFonts w:ascii="Arial" w:hAnsi="Arial"/>
          <w:rtl w:val="0"/>
          <w:lang w:val="de-DE"/>
        </w:rPr>
        <w:t>ETH</w:t>
      </w:r>
      <w:r>
        <w:rPr>
          <w:rFonts w:ascii="等线" w:cs="等线" w:hAnsi="等线" w:eastAsia="等线"/>
          <w:rtl w:val="0"/>
          <w:lang w:val="zh-CN" w:eastAsia="zh-CN"/>
        </w:rPr>
        <w:t>流入激增</w:t>
      </w:r>
      <w:r>
        <w:rPr>
          <w:rFonts w:ascii="Arial" w:hAnsi="Arial"/>
          <w:rtl w:val="0"/>
        </w:rPr>
        <w:t>170</w:t>
      </w:r>
      <w:r>
        <w:rPr>
          <w:rFonts w:ascii="等线" w:cs="等线" w:hAnsi="等线" w:eastAsia="等线"/>
          <w:rtl w:val="0"/>
          <w:lang w:val="zh-TW" w:eastAsia="zh-TW"/>
        </w:rPr>
        <w:t>億美元推動</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1781175"/>
            <wp:effectExtent l="0" t="0" r="0" b="0"/>
            <wp:docPr id="1073741835" name="officeArt object" descr="image11.png"/>
            <wp:cNvGraphicFramePr/>
            <a:graphic xmlns:a="http://schemas.openxmlformats.org/drawingml/2006/main">
              <a:graphicData uri="http://schemas.openxmlformats.org/drawingml/2006/picture">
                <pic:pic xmlns:pic="http://schemas.openxmlformats.org/drawingml/2006/picture">
                  <pic:nvPicPr>
                    <pic:cNvPr id="1073741835" name="image11.png" descr="image11.png"/>
                    <pic:cNvPicPr>
                      <a:picLocks noChangeAspect="1"/>
                    </pic:cNvPicPr>
                  </pic:nvPicPr>
                  <pic:blipFill>
                    <a:blip r:embed="rId14">
                      <a:extLst/>
                    </a:blip>
                    <a:stretch>
                      <a:fillRect/>
                    </a:stretch>
                  </pic:blipFill>
                  <pic:spPr>
                    <a:xfrm>
                      <a:off x="0" y="0"/>
                      <a:ext cx="5257800" cy="178117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展望未來，焦點將轉向本周晚些時候的傑克遜霍爾（</w:t>
      </w:r>
      <w:r>
        <w:rPr>
          <w:rFonts w:ascii="Arial" w:hAnsi="Arial"/>
          <w:rtl w:val="0"/>
          <w:lang w:val="en-US"/>
        </w:rPr>
        <w:t>Jackson Hole</w:t>
      </w:r>
      <w:r>
        <w:rPr>
          <w:rFonts w:ascii="等线" w:cs="等线" w:hAnsi="等线" w:eastAsia="等线"/>
          <w:rtl w:val="0"/>
          <w:lang w:val="zh-TW" w:eastAsia="zh-TW"/>
        </w:rPr>
        <w:t>）會議。美聯儲主席鮑威爾的講話將被宏觀觀察人士仔細審視，以研判今年餘下時間的政策基調。然而，鑒於當前的通脹背景，我們不預期會有太多新的鴿派驚喜。除非</w:t>
      </w:r>
      <w:r>
        <w:rPr>
          <w:rFonts w:ascii="Arial" w:hAnsi="Arial"/>
          <w:rtl w:val="0"/>
        </w:rPr>
        <w:t>9</w:t>
      </w:r>
      <w:r>
        <w:rPr>
          <w:rFonts w:ascii="等线" w:cs="等线" w:hAnsi="等线" w:eastAsia="等线"/>
          <w:rtl w:val="0"/>
          <w:lang w:val="zh-TW" w:eastAsia="zh-TW"/>
        </w:rPr>
        <w:t>月非農就業報告（</w:t>
      </w:r>
      <w:r>
        <w:rPr>
          <w:rFonts w:ascii="Arial" w:hAnsi="Arial"/>
          <w:rtl w:val="0"/>
          <w:lang w:val="en-US"/>
        </w:rPr>
        <w:t>NFP</w:t>
      </w:r>
      <w:r>
        <w:rPr>
          <w:rFonts w:ascii="等线" w:cs="等线" w:hAnsi="等线" w:eastAsia="等线"/>
          <w:rtl w:val="0"/>
          <w:lang w:val="zh-TW" w:eastAsia="zh-TW"/>
        </w:rPr>
        <w:t>）非常負面，否則不太可能推動市場重新定價降息</w:t>
      </w:r>
      <w:r>
        <w:rPr>
          <w:rFonts w:ascii="Arial" w:hAnsi="Arial"/>
          <w:rtl w:val="0"/>
        </w:rPr>
        <w:t>50</w:t>
      </w:r>
      <w:r>
        <w:rPr>
          <w:rFonts w:ascii="等线" w:cs="等线" w:hAnsi="等线" w:eastAsia="等线"/>
          <w:rtl w:val="0"/>
          <w:lang w:val="zh-TW" w:eastAsia="zh-TW"/>
        </w:rPr>
        <w:t>個基點的可能性。</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在情緒面，我們確實要提醒當前水準感覺有些過度狂熱。美國消費者對股價的樂觀程度與其自身收入前景之間的分歧已達到歷史上前所未有的水準。同時，隨著我們進入歷史上波動性較大的</w:t>
      </w:r>
      <w:r>
        <w:rPr>
          <w:rFonts w:ascii="Arial" w:hAnsi="Arial"/>
          <w:rtl w:val="0"/>
          <w:lang w:val="ru-RU"/>
        </w:rPr>
        <w:t>9-10</w:t>
      </w:r>
      <w:r>
        <w:rPr>
          <w:rFonts w:ascii="等线" w:cs="等线" w:hAnsi="等线" w:eastAsia="等线"/>
          <w:rtl w:val="0"/>
          <w:lang w:val="zh-TW" w:eastAsia="zh-TW"/>
        </w:rPr>
        <w:t>月，基金經理的現金持有水準已回落至週期低點（表明投資已接近滿倉）。</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 xml:space="preserve">美國消費者對股價的看漲程度 </w:t>
      </w:r>
      <w:r>
        <w:rPr>
          <w:rFonts w:ascii="Arial" w:hAnsi="Arial"/>
          <w:rtl w:val="0"/>
          <w:lang w:val="sv-SE"/>
        </w:rPr>
        <w:t xml:space="preserve">vs </w:t>
      </w:r>
      <w:r>
        <w:rPr>
          <w:rFonts w:ascii="等线" w:cs="等线" w:hAnsi="等线" w:eastAsia="等线"/>
          <w:rtl w:val="0"/>
          <w:lang w:val="zh-TW" w:eastAsia="zh-TW"/>
        </w:rPr>
        <w:t>自身收入前景達歷史之最</w:t>
      </w:r>
    </w:p>
    <w:tbl>
      <w:tblPr>
        <w:tblW w:w="827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01"/>
        <w:gridCol w:w="3878"/>
      </w:tblGrid>
      <w:tr>
        <w:tblPrEx>
          <w:shd w:val="clear" w:color="auto" w:fill="ced7e7"/>
        </w:tblPrEx>
        <w:trPr>
          <w:trHeight w:val="2403" w:hRule="atLeast"/>
        </w:trPr>
        <w:tc>
          <w:tcPr>
            <w:tcW w:type="dxa" w:w="4401"/>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 w:val="left" w:pos="432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638425" cy="1485900"/>
                  <wp:effectExtent l="0" t="0" r="0" b="0"/>
                  <wp:docPr id="1073741836" name="officeArt object" descr="image12.jpeg"/>
                  <wp:cNvGraphicFramePr/>
                  <a:graphic xmlns:a="http://schemas.openxmlformats.org/drawingml/2006/main">
                    <a:graphicData uri="http://schemas.openxmlformats.org/drawingml/2006/picture">
                      <pic:pic xmlns:pic="http://schemas.openxmlformats.org/drawingml/2006/picture">
                        <pic:nvPicPr>
                          <pic:cNvPr id="1073741836" name="image12.jpeg" descr="image12.jpeg"/>
                          <pic:cNvPicPr>
                            <a:picLocks noChangeAspect="1"/>
                          </pic:cNvPicPr>
                        </pic:nvPicPr>
                        <pic:blipFill>
                          <a:blip r:embed="rId15">
                            <a:extLst/>
                          </a:blip>
                          <a:stretch>
                            <a:fillRect/>
                          </a:stretch>
                        </pic:blipFill>
                        <pic:spPr>
                          <a:xfrm>
                            <a:off x="0" y="0"/>
                            <a:ext cx="2638425" cy="1485900"/>
                          </a:xfrm>
                          <a:prstGeom prst="rect">
                            <a:avLst/>
                          </a:prstGeom>
                          <a:ln w="12700" cap="flat">
                            <a:noFill/>
                            <a:miter lim="400000"/>
                          </a:ln>
                          <a:effectLst/>
                        </pic:spPr>
                      </pic:pic>
                    </a:graphicData>
                  </a:graphic>
                </wp:inline>
              </w:drawing>
            </w:r>
          </w:p>
        </w:tc>
        <w:tc>
          <w:tcPr>
            <w:tcW w:type="dxa" w:w="3878"/>
            <w:tcBorders>
              <w:top w:val="nil"/>
              <w:left w:val="nil"/>
              <w:bottom w:val="nil"/>
              <w:right w:val="nil"/>
            </w:tcBorders>
            <w:shd w:val="clear" w:color="auto" w:fill="auto"/>
            <w:tcMar>
              <w:top w:type="dxa" w:w="80"/>
              <w:left w:type="dxa" w:w="80"/>
              <w:bottom w:type="dxa" w:w="80"/>
              <w:right w:type="dxa" w:w="80"/>
            </w:tcMar>
            <w:vAlign w:val="top"/>
          </w:tcPr>
          <w:p>
            <w:pPr>
              <w:pStyle w:val="默认"/>
              <w:tabs>
                <w:tab w:val="left" w:pos="720"/>
                <w:tab w:val="left" w:pos="1440"/>
                <w:tab w:val="left" w:pos="2160"/>
                <w:tab w:val="left" w:pos="2880"/>
                <w:tab w:val="left" w:pos="360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2305050" cy="1476375"/>
                  <wp:effectExtent l="0" t="0" r="0" b="0"/>
                  <wp:docPr id="1073741837" name="officeArt object" descr="image13.png"/>
                  <wp:cNvGraphicFramePr/>
                  <a:graphic xmlns:a="http://schemas.openxmlformats.org/drawingml/2006/main">
                    <a:graphicData uri="http://schemas.openxmlformats.org/drawingml/2006/picture">
                      <pic:pic xmlns:pic="http://schemas.openxmlformats.org/drawingml/2006/picture">
                        <pic:nvPicPr>
                          <pic:cNvPr id="1073741837" name="image13.png" descr="image13.png"/>
                          <pic:cNvPicPr>
                            <a:picLocks noChangeAspect="1"/>
                          </pic:cNvPicPr>
                        </pic:nvPicPr>
                        <pic:blipFill>
                          <a:blip r:embed="rId16">
                            <a:extLst/>
                          </a:blip>
                          <a:stretch>
                            <a:fillRect/>
                          </a:stretch>
                        </pic:blipFill>
                        <pic:spPr>
                          <a:xfrm>
                            <a:off x="0" y="0"/>
                            <a:ext cx="2305050" cy="1476375"/>
                          </a:xfrm>
                          <a:prstGeom prst="rect">
                            <a:avLst/>
                          </a:prstGeom>
                          <a:ln w="12700" cap="flat">
                            <a:noFill/>
                            <a:miter lim="400000"/>
                          </a:ln>
                          <a:effectLst/>
                        </pic:spPr>
                      </pic:pic>
                    </a:graphicData>
                  </a:graphic>
                </wp:inline>
              </w:drawing>
            </w:r>
          </w:p>
        </w:tc>
      </w:tr>
    </w:tbl>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來源</w:t>
      </w:r>
      <w:r>
        <w:rPr>
          <w:rFonts w:ascii="Arial" w:hAnsi="Arial"/>
          <w:rtl w:val="0"/>
          <w:lang w:val="de-DE"/>
        </w:rPr>
        <w:t>: DB</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eastAsia="PingFang SC Regular" w:hint="eastAsia"/>
          <w:rtl w:val="0"/>
          <w:lang w:val="zh-CN" w:eastAsia="zh-CN"/>
        </w:rPr>
        <w:t>标题：</w:t>
      </w:r>
      <w:r>
        <w:rPr>
          <w:rFonts w:ascii="等线" w:cs="等线" w:hAnsi="等线" w:eastAsia="等线"/>
          <w:rtl w:val="0"/>
          <w:lang w:val="zh-TW" w:eastAsia="zh-TW"/>
        </w:rPr>
        <w:t>基金經理現金水準降至週期低點</w:t>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drawing xmlns:a="http://schemas.openxmlformats.org/drawingml/2006/main">
          <wp:inline distT="0" distB="0" distL="0" distR="0">
            <wp:extent cx="5257800" cy="3019425"/>
            <wp:effectExtent l="0" t="0" r="0" b="0"/>
            <wp:docPr id="1073741838" name="officeArt object" descr="image14.png"/>
            <wp:cNvGraphicFramePr/>
            <a:graphic xmlns:a="http://schemas.openxmlformats.org/drawingml/2006/main">
              <a:graphicData uri="http://schemas.openxmlformats.org/drawingml/2006/picture">
                <pic:pic xmlns:pic="http://schemas.openxmlformats.org/drawingml/2006/picture">
                  <pic:nvPicPr>
                    <pic:cNvPr id="1073741838" name="image14.png" descr="image14.png"/>
                    <pic:cNvPicPr>
                      <a:picLocks noChangeAspect="1"/>
                    </pic:cNvPicPr>
                  </pic:nvPicPr>
                  <pic:blipFill>
                    <a:blip r:embed="rId17">
                      <a:extLst/>
                    </a:blip>
                    <a:stretch>
                      <a:fillRect/>
                    </a:stretch>
                  </pic:blipFill>
                  <pic:spPr>
                    <a:xfrm>
                      <a:off x="0" y="0"/>
                      <a:ext cx="5257800" cy="3019425"/>
                    </a:xfrm>
                    <a:prstGeom prst="rect">
                      <a:avLst/>
                    </a:prstGeom>
                    <a:ln w="12700" cap="flat">
                      <a:noFill/>
                      <a:miter lim="400000"/>
                    </a:ln>
                    <a:effectLst/>
                  </pic:spPr>
                </pic:pic>
              </a:graphicData>
            </a:graphic>
          </wp:inline>
        </w:drawing>
      </w: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正文"/>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等线" w:cs="等线" w:hAnsi="等线" w:eastAsia="等线"/>
          <w:rtl w:val="0"/>
          <w:lang w:val="zh-TW" w:eastAsia="zh-TW"/>
        </w:rPr>
        <w:t>祝好運，交易順利！</w:t>
      </w:r>
    </w:p>
    <w:sectPr>
      <w:headerReference w:type="default" r:id="rId18"/>
      <w:footerReference w:type="default" r:id="rId19"/>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等线">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