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251007 - 上漲十月</w:t>
      </w:r>
    </w:p>
    <w:p>
      <w:pPr>
        <w:spacing w:before="120" w:after="120" w:line="288" w:lineRule="auto"/>
        <w:ind w:left="0"/>
        <w:jc w:val="center"/>
      </w:pPr>
      <w:r>
        <w:drawing>
          <wp:inline distT="0" distR="0" distB="0" distL="0">
            <wp:extent cx="5257800" cy="4591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91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與往年一樣，市場在"上漲十月"迎來了爆發式開局，BTC和股票飆升至新的歷史高點，美股受到又一項數十億美元的OpenAI/AMD交易的推動，而日股則在高市早苗意外贏得領導權（作為財政鴿派）後大漲5%（日元匯率-2%）。</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标题：全球風險資產飆升至又一紀錄，日本因高市早苗意外勝出成為首位女首相而加入戰局。</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624"/>
        <w:gridCol w:w="4655"/>
      </w:tblGrid>
      <w:tr>
        <w:tc>
          <w:tcPr>
            <w:tcW w:w="3624" w:type="dxa"/>
            <w:tcMar>
              <w:top w:type="dxa" w:w="60"/>
              <w:left w:type="dxa" w:w="120"/>
              <w:bottom w:type="dxa" w:w="30"/>
              <w:right w:type="dxa" w:w="120"/>
            </w:tcMar>
          </w:tcPr>
          <w:p>
            <w:pPr>
              <w:spacing w:before="120" w:after="120" w:line="288" w:lineRule="auto"/>
              <w:ind w:left="0"/>
              <w:jc w:val="center"/>
            </w:pPr>
            <w:r>
              <w:drawing>
                <wp:inline distT="0" distR="0" distB="0" distL="0">
                  <wp:extent cx="2143125" cy="1228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143125" cy="1228725"/>
                          </a:xfrm>
                          <a:prstGeom prst="rect">
                            <a:avLst/>
                          </a:prstGeom>
                        </pic:spPr>
                      </pic:pic>
                    </a:graphicData>
                  </a:graphic>
                </wp:inline>
              </w:drawing>
            </w:r>
          </w:p>
        </w:tc>
        <w:tc>
          <w:tcPr>
            <w:tcW w:w="4655" w:type="dxa"/>
            <w:tcMar>
              <w:top w:type="dxa" w:w="60"/>
              <w:left w:type="dxa" w:w="120"/>
              <w:bottom w:type="dxa" w:w="30"/>
              <w:right w:type="dxa" w:w="120"/>
            </w:tcMar>
          </w:tcPr>
          <w:p>
            <w:pPr>
              <w:spacing w:before="120" w:after="120" w:line="288" w:lineRule="auto"/>
              <w:ind w:left="0"/>
              <w:jc w:val="center"/>
            </w:pPr>
            <w:r>
              <w:drawing>
                <wp:inline distT="0" distR="0" distB="0" distL="0">
                  <wp:extent cx="2800350" cy="1247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800350" cy="1247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儘管因政府停擺導致資料靜默期，但股市漲勢在上周依然持續，由半導體（+4.4%）、生物科技（+10%）和耐用消費品（+3.6%）領漲。少數已公佈的資料繼續顯示美國經濟強勁，經濟資料意外指數升至年內高點，遠超已降低的預期。市場普遍預期美國GDP將在第四季度觸底，然後在充足的系統流動性和有韌性的美國消費者支撐下，在2026年前顯著反彈。</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标题：美國資料持續證明看空者是錯誤的，經濟意外指數創下年內新高</w:t>
      </w:r>
    </w:p>
    <w:p>
      <w:pPr>
        <w:spacing w:before="120" w:after="120" w:line="288" w:lineRule="auto"/>
        <w:ind w:left="0"/>
        <w:jc w:val="center"/>
      </w:pPr>
      <w:r>
        <w:drawing>
          <wp:inline distT="0" distR="0" distB="0" distL="0">
            <wp:extent cx="5257800" cy="2628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周最大的輸家是全球債券，由於美國、中國以及現在可能還有日本的激進財政支出計畫，我們看到了收益率上升帶來的新壓力，所有這些都發生在風險資產處於歷史高位、通脹壓力仍是每個人最關心的問題之際。法國突然出現的政治危機（勒科努總理辭職）加劇了債券市場的困境，但卻利好黃金，金價取得了自1980年代初以來最持續的一輪上漲。</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标题：全球債券收益率出現熊市變陡，而金價則取得了自1980年代初以來最持續的上漲紀錄</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434"/>
        <w:gridCol w:w="4845"/>
      </w:tblGrid>
      <w:tr>
        <w:tc>
          <w:tcPr>
            <w:tcW w:w="3434" w:type="dxa"/>
            <w:tcMar>
              <w:top w:type="dxa" w:w="60"/>
              <w:left w:type="dxa" w:w="120"/>
              <w:bottom w:type="dxa" w:w="30"/>
              <w:right w:type="dxa" w:w="120"/>
            </w:tcMar>
          </w:tcPr>
          <w:p>
            <w:pPr>
              <w:spacing w:before="120" w:after="120" w:line="288" w:lineRule="auto"/>
              <w:ind w:left="0"/>
              <w:jc w:val="center"/>
            </w:pPr>
            <w:r>
              <w:drawing>
                <wp:inline distT="0" distR="0" distB="0" distL="0">
                  <wp:extent cx="2019300" cy="1304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019300" cy="1304925"/>
                          </a:xfrm>
                          <a:prstGeom prst="rect">
                            <a:avLst/>
                          </a:prstGeom>
                        </pic:spPr>
                      </pic:pic>
                    </a:graphicData>
                  </a:graphic>
                </wp:inline>
              </w:drawing>
            </w:r>
          </w:p>
        </w:tc>
        <w:tc>
          <w:tcPr>
            <w:tcW w:w="4845" w:type="dxa"/>
            <w:tcMar>
              <w:top w:type="dxa" w:w="60"/>
              <w:left w:type="dxa" w:w="120"/>
              <w:bottom w:type="dxa" w:w="30"/>
              <w:right w:type="dxa" w:w="120"/>
            </w:tcMar>
          </w:tcPr>
          <w:p>
            <w:pPr>
              <w:spacing w:before="120" w:after="120" w:line="288" w:lineRule="auto"/>
              <w:ind w:left="0"/>
              <w:jc w:val="center"/>
            </w:pPr>
            <w:r>
              <w:drawing>
                <wp:inline distT="0" distR="0" distB="0" distL="0">
                  <wp:extent cx="2924175" cy="1333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924175" cy="13335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當前"法幣貶值"的主題仍在持續，M2流動性、貸款供應和其他信貸可獲得性的大多數指標都指向創紀錄的貨幣寬鬆水準，根據摩根大通的估計，這導致現金配置處於歷史最低水準。</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标题：大多數流動性指標均處於創紀錄的充裕水準，推動資產價格升至歷史高點</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939"/>
        <w:gridCol w:w="4340"/>
      </w:tblGrid>
      <w:tr>
        <w:tc>
          <w:tcPr>
            <w:tcW w:w="3939" w:type="dxa"/>
            <w:tcMar>
              <w:top w:type="dxa" w:w="60"/>
              <w:left w:type="dxa" w:w="120"/>
              <w:bottom w:type="dxa" w:w="30"/>
              <w:right w:type="dxa" w:w="120"/>
            </w:tcMar>
          </w:tcPr>
          <w:p>
            <w:pPr>
              <w:spacing w:before="120" w:after="120" w:line="288" w:lineRule="auto"/>
              <w:ind w:left="0"/>
              <w:jc w:val="center"/>
            </w:pPr>
            <w:r>
              <w:drawing>
                <wp:inline distT="0" distR="0" distB="0" distL="0">
                  <wp:extent cx="2343150" cy="1714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343150" cy="1714500"/>
                          </a:xfrm>
                          <a:prstGeom prst="rect">
                            <a:avLst/>
                          </a:prstGeom>
                        </pic:spPr>
                      </pic:pic>
                    </a:graphicData>
                  </a:graphic>
                </wp:inline>
              </w:drawing>
            </w:r>
          </w:p>
        </w:tc>
        <w:tc>
          <w:tcPr>
            <w:tcW w:w="4340" w:type="dxa"/>
            <w:tcMar>
              <w:top w:type="dxa" w:w="60"/>
              <w:left w:type="dxa" w:w="120"/>
              <w:bottom w:type="dxa" w:w="30"/>
              <w:right w:type="dxa" w:w="120"/>
            </w:tcMar>
          </w:tcPr>
          <w:p>
            <w:pPr>
              <w:spacing w:before="120" w:after="120" w:line="288" w:lineRule="auto"/>
              <w:ind w:left="0"/>
              <w:jc w:val="left"/>
            </w:pPr>
            <w:r>
              <w:drawing>
                <wp:inline distT="0" distR="0" distB="0" distL="0">
                  <wp:extent cx="2600325" cy="1724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600325" cy="172402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标题："場邊現金"已跌至歷史最低水準，因為所有人都在FOMO情緒驅使下轉向風險偏好</w:t>
      </w:r>
    </w:p>
    <w:p>
      <w:pPr>
        <w:spacing w:before="120" w:after="120" w:line="288" w:lineRule="auto"/>
        <w:ind w:left="0"/>
        <w:jc w:val="center"/>
      </w:pPr>
      <w:r>
        <w:drawing>
          <wp:inline distT="0" distR="0" distB="0" distL="0">
            <wp:extent cx="5257800" cy="3676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标题：...這有助於推動貴金屬和BTC迎來非凡的一年，白銀年內漲幅現已達+60%</w:t>
      </w:r>
    </w:p>
    <w:p>
      <w:pPr>
        <w:spacing w:before="120" w:after="120" w:line="288" w:lineRule="auto"/>
        <w:ind w:left="0"/>
        <w:jc w:val="center"/>
      </w:pPr>
      <w:r>
        <w:drawing>
          <wp:inline distT="0" distR="0" distB="0" distL="0">
            <wp:extent cx="5257800" cy="23907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散戶交易員再次從這輪漲勢中受益，他們一直是當前行情的主要參與者，占個股交易量的12%以上，SPX期權交易量也再次逼近4月份的高點。似乎特朗普總統通過正面財富效應來"貨幣化"美國經濟的努力正在按預期發揮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标题：散戶交易員一直是今年股市上漲的穩定參與者</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64"/>
        <w:gridCol w:w="4215"/>
      </w:tblGrid>
      <w:tr>
        <w:tc>
          <w:tcPr>
            <w:tcW w:w="4064" w:type="dxa"/>
            <w:tcMar>
              <w:top w:type="dxa" w:w="60"/>
              <w:left w:type="dxa" w:w="120"/>
              <w:bottom w:type="dxa" w:w="30"/>
              <w:right w:type="dxa" w:w="120"/>
            </w:tcMar>
          </w:tcPr>
          <w:p>
            <w:pPr>
              <w:spacing w:before="120" w:after="120" w:line="288" w:lineRule="auto"/>
              <w:ind w:left="0"/>
              <w:jc w:val="center"/>
            </w:pPr>
            <w:r>
              <w:drawing>
                <wp:inline distT="0" distR="0" distB="0" distL="0">
                  <wp:extent cx="2419350" cy="1857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2419350" cy="1857375"/>
                          </a:xfrm>
                          <a:prstGeom prst="rect">
                            <a:avLst/>
                          </a:prstGeom>
                        </pic:spPr>
                      </pic:pic>
                    </a:graphicData>
                  </a:graphic>
                </wp:inline>
              </w:drawing>
            </w:r>
          </w:p>
        </w:tc>
        <w:tc>
          <w:tcPr>
            <w:tcW w:w="4215" w:type="dxa"/>
            <w:tcMar>
              <w:top w:type="dxa" w:w="60"/>
              <w:left w:type="dxa" w:w="120"/>
              <w:bottom w:type="dxa" w:w="30"/>
              <w:right w:type="dxa" w:w="120"/>
            </w:tcMar>
          </w:tcPr>
          <w:p>
            <w:pPr>
              <w:spacing w:before="120" w:after="120" w:line="288" w:lineRule="auto"/>
              <w:ind w:left="0"/>
              <w:jc w:val="center"/>
            </w:pPr>
            <w:r>
              <w:drawing>
                <wp:inline distT="0" distR="0" distB="0" distL="0">
                  <wp:extent cx="2524125" cy="18669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2524125" cy="18669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來源：花旗</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标题：SPX期權交易量正再次逼近其4月份的紀錄高點，這次是來自多頭方</w:t>
      </w:r>
    </w:p>
    <w:p>
      <w:pPr>
        <w:spacing w:before="120" w:after="120" w:line="288" w:lineRule="auto"/>
        <w:ind w:left="0"/>
        <w:jc w:val="center"/>
      </w:pPr>
      <w:r>
        <w:drawing>
          <wp:inline distT="0" distR="0" distB="0" distL="0">
            <wp:extent cx="5257800" cy="38766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來源：花旗</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不甘示弱的是，BTC在ETF買盤復蘇的推動下，也反彈至新的歷史高點（12.6萬美元），美國投資者去年向BTC ETF流入了超過32億美元，成為有史以來第二大的單周流入量。貝萊德的IBIT ETF未平倉合約也在週五升至創紀錄的498億美元，現在已成為這家巨型資產管理公司最大的單一ETF收入來源，對於一個新推出的產品來說，這絕對是一個令人難以置信的壯舉。</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标题：上周美國BTC ETF出現了歷史上第二大的單周資金流入（32億美元）...</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43"/>
        <w:gridCol w:w="3336"/>
      </w:tblGrid>
      <w:tr>
        <w:tc>
          <w:tcPr>
            <w:tcW w:w="4943" w:type="dxa"/>
            <w:tcMar>
              <w:top w:type="dxa" w:w="60"/>
              <w:left w:type="dxa" w:w="120"/>
              <w:bottom w:type="dxa" w:w="30"/>
              <w:right w:type="dxa" w:w="120"/>
            </w:tcMar>
          </w:tcPr>
          <w:p>
            <w:pPr>
              <w:spacing w:before="120" w:after="120" w:line="288" w:lineRule="auto"/>
              <w:ind w:left="0"/>
              <w:jc w:val="center"/>
            </w:pPr>
            <w:r>
              <w:drawing>
                <wp:inline distT="0" distR="0" distB="0" distL="0">
                  <wp:extent cx="2981325" cy="1562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2981325" cy="1562100"/>
                          </a:xfrm>
                          <a:prstGeom prst="rect">
                            <a:avLst/>
                          </a:prstGeom>
                        </pic:spPr>
                      </pic:pic>
                    </a:graphicData>
                  </a:graphic>
                </wp:inline>
              </w:drawing>
            </w:r>
          </w:p>
        </w:tc>
        <w:tc>
          <w:tcPr>
            <w:tcW w:w="3336" w:type="dxa"/>
            <w:tcMar>
              <w:top w:type="dxa" w:w="60"/>
              <w:left w:type="dxa" w:w="120"/>
              <w:bottom w:type="dxa" w:w="30"/>
              <w:right w:type="dxa" w:w="120"/>
            </w:tcMar>
          </w:tcPr>
          <w:p>
            <w:pPr>
              <w:spacing w:before="120" w:after="120" w:line="288" w:lineRule="auto"/>
              <w:ind w:left="0"/>
              <w:jc w:val="center"/>
            </w:pPr>
            <w:r>
              <w:drawing>
                <wp:inline distT="0" distR="0" distB="0" distL="0">
                  <wp:extent cx="1962150" cy="15240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1962150" cy="15240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标题：...其中IBIT成為貝萊德年內最大的ETF收入來源</w:t>
      </w:r>
    </w:p>
    <w:p>
      <w:pPr>
        <w:spacing w:before="120" w:after="120" w:line="288" w:lineRule="auto"/>
        <w:ind w:left="0"/>
        <w:jc w:val="center"/>
      </w:pPr>
      <w:r>
        <w:drawing>
          <wp:inline distT="0" distR="0" distB="0" distL="0">
            <wp:extent cx="5257800" cy="4686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4686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BTC ETF現在持有超過147萬枚BTC（美國占主導地位，約90%），其次是DATs，持有100萬枚（MSTR持有63萬枚），而礦工僅持有9.3萬枚。可以毫不誇張地說，華爾街對加密領域的接管已經完成，至少在驅動日常價格走勢方面是如此。</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标题：主流ETF和DATs現在是加密貨幣日常價格走勢的主要驅動力</w:t>
      </w:r>
    </w:p>
    <w:p>
      <w:pPr>
        <w:spacing w:before="120" w:after="120" w:line="288" w:lineRule="auto"/>
        <w:ind w:left="0"/>
        <w:jc w:val="center"/>
      </w:pPr>
      <w:r>
        <w:drawing>
          <wp:inline distT="0" distR="0" distB="0" distL="0">
            <wp:extent cx="5257800" cy="27432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 Checkonchain</w:t>
      </w:r>
    </w:p>
    <w:p>
      <w:pPr>
        <w:spacing w:before="120" w:after="120" w:line="288" w:lineRule="auto"/>
        <w:ind w:left="0"/>
        <w:jc w:val="left"/>
      </w:pPr>
    </w:p>
    <w:p>
      <w:pPr>
        <w:spacing w:before="120" w:after="120" w:line="288" w:lineRule="auto"/>
        <w:ind w:left="0"/>
        <w:jc w:val="left"/>
      </w:pPr>
      <w:r>
        <w:rPr>
          <w:rFonts w:eastAsia="等线" w:ascii="Arial" w:cs="Arial" w:hAnsi="Arial"/>
          <w:sz w:val="22"/>
        </w:rPr>
        <w:t>鑒於美國政府停擺，短期內沒有太多資料可期待，市場關注點預計將在10月下旬圍繞FOMC和"美股七巨頭"的財報升溫。期權市場定價反映出，SPX在年底前再漲10%的隱含概率為5%，在目前這個節骨眼上，很難找到能夠反駁這一觀點的負面催化劑。</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标题：股票期權市場定價預示10月大部分時間市場將平靜上行，月末前後活動將恢復</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26"/>
        <w:gridCol w:w="4153"/>
      </w:tblGrid>
      <w:tr>
        <w:tc>
          <w:tcPr>
            <w:tcW w:w="4126" w:type="dxa"/>
            <w:tcMar>
              <w:top w:type="dxa" w:w="60"/>
              <w:left w:type="dxa" w:w="120"/>
              <w:bottom w:type="dxa" w:w="30"/>
              <w:right w:type="dxa" w:w="120"/>
            </w:tcMar>
          </w:tcPr>
          <w:p>
            <w:pPr>
              <w:spacing w:before="120" w:after="120" w:line="288" w:lineRule="auto"/>
              <w:ind w:left="0"/>
              <w:jc w:val="center"/>
            </w:pPr>
            <w:r>
              <w:drawing>
                <wp:inline distT="0" distR="0" distB="0" distL="0">
                  <wp:extent cx="2466975" cy="1857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2466975" cy="1857375"/>
                          </a:xfrm>
                          <a:prstGeom prst="rect">
                            <a:avLst/>
                          </a:prstGeom>
                        </pic:spPr>
                      </pic:pic>
                    </a:graphicData>
                  </a:graphic>
                </wp:inline>
              </w:drawing>
            </w:r>
          </w:p>
        </w:tc>
        <w:tc>
          <w:tcPr>
            <w:tcW w:w="4153" w:type="dxa"/>
            <w:tcMar>
              <w:top w:type="dxa" w:w="60"/>
              <w:left w:type="dxa" w:w="120"/>
              <w:bottom w:type="dxa" w:w="30"/>
              <w:right w:type="dxa" w:w="120"/>
            </w:tcMar>
          </w:tcPr>
          <w:p>
            <w:pPr>
              <w:spacing w:before="120" w:after="120" w:line="288" w:lineRule="auto"/>
              <w:ind w:left="0"/>
              <w:jc w:val="center"/>
            </w:pPr>
            <w:r>
              <w:drawing>
                <wp:inline distT="0" distR="0" distB="0" distL="0">
                  <wp:extent cx="2476500" cy="18573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2476500" cy="18573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在加密貨幣領域，我們看到在最近的跳漲（ETF買盤）中幾乎沒有空頭被清算，這表明市場參與者倉位偏低，風險敞口極小。BTC隱含波動率仍然非常低（並且與ETH IV的差距創紀錄），偏度僅略微為正，這表明在此期間阻力較小的路徑可能是向上，正如"上漲十月"其名所示。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标题：在最近的上行中，市場幾乎沒有出現期貨空頭清算</w:t>
      </w:r>
    </w:p>
    <w:p>
      <w:pPr>
        <w:spacing w:before="120" w:after="120" w:line="288" w:lineRule="auto"/>
        <w:ind w:left="0"/>
        <w:jc w:val="center"/>
      </w:pPr>
      <w:r>
        <w:drawing>
          <wp:inline distT="0" distR="0" distB="0" distL="0">
            <wp:extent cx="5257800" cy="14954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來源：Coinglass</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标题：BTC隱含波動率和看漲偏度仍然較低，且持倉不足</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10"/>
        <w:gridCol w:w="4069"/>
      </w:tblGrid>
      <w:tr>
        <w:tc>
          <w:tcPr>
            <w:tcW w:w="4210" w:type="dxa"/>
            <w:tcMar>
              <w:top w:type="dxa" w:w="60"/>
              <w:left w:type="dxa" w:w="120"/>
              <w:bottom w:type="dxa" w:w="30"/>
              <w:right w:type="dxa" w:w="120"/>
            </w:tcMar>
          </w:tcPr>
          <w:p>
            <w:pPr>
              <w:spacing w:before="120" w:after="120" w:line="288" w:lineRule="auto"/>
              <w:ind w:left="0"/>
              <w:jc w:val="center"/>
            </w:pPr>
            <w:r>
              <w:drawing>
                <wp:inline distT="0" distR="0" distB="0" distL="0">
                  <wp:extent cx="2514600" cy="19716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2514600" cy="1971675"/>
                          </a:xfrm>
                          <a:prstGeom prst="rect">
                            <a:avLst/>
                          </a:prstGeom>
                        </pic:spPr>
                      </pic:pic>
                    </a:graphicData>
                  </a:graphic>
                </wp:inline>
              </w:drawing>
            </w:r>
          </w:p>
        </w:tc>
        <w:tc>
          <w:tcPr>
            <w:tcW w:w="4069" w:type="dxa"/>
            <w:tcMar>
              <w:top w:type="dxa" w:w="60"/>
              <w:left w:type="dxa" w:w="120"/>
              <w:bottom w:type="dxa" w:w="30"/>
              <w:right w:type="dxa" w:w="120"/>
            </w:tcMar>
          </w:tcPr>
          <w:p>
            <w:pPr>
              <w:spacing w:before="120" w:after="120" w:line="288" w:lineRule="auto"/>
              <w:ind w:left="0"/>
              <w:jc w:val="center"/>
            </w:pPr>
            <w:r>
              <w:drawing>
                <wp:inline distT="0" distR="0" distB="0" distL="0">
                  <wp:extent cx="2428875" cy="19716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2428875" cy="19716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 SignalPlus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标题：在"上漲十月"期間，我們是否會看到進一步突破，邁向更高的歷史高點？ </w:t>
      </w:r>
    </w:p>
    <w:p>
      <w:pPr>
        <w:spacing w:before="120" w:after="120" w:line="288" w:lineRule="auto"/>
        <w:ind w:left="0"/>
        <w:jc w:val="center"/>
      </w:pPr>
      <w:r>
        <w:drawing>
          <wp:inline distT="0" distR="0" distB="0" distL="0">
            <wp:extent cx="5257800" cy="29622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 Stray Reflections</w:t>
      </w:r>
    </w:p>
    <w:p>
      <w:pPr>
        <w:spacing w:before="120" w:after="120" w:line="288" w:lineRule="auto"/>
        <w:ind w:left="0"/>
        <w:jc w:val="left"/>
      </w:pPr>
    </w:p>
    <w:p>
      <w:pPr>
        <w:spacing w:before="120" w:after="120" w:line="288" w:lineRule="auto"/>
        <w:ind w:left="0"/>
        <w:jc w:val="left"/>
      </w:pPr>
      <w:r>
        <w:rPr>
          <w:rFonts w:eastAsia="等线" w:ascii="Arial" w:cs="Arial" w:hAnsi="Arial"/>
          <w:sz w:val="22"/>
        </w:rPr>
        <w:t>無論如何，股票市場的風險情緒在未來幾周仍將是關鍵驅動因素。祝你好運，並祝我們在這個地區的朋友們黃金周快樂！</w:t>
      </w: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jpe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2025-10-07T07:51:38Z</dcterms:created>
  <dc:creator>Apache POI</dc:creator>
</cp:coreProperties>
</file>