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250818 - Summer Break</w:t>
      </w:r>
    </w:p>
    <w:p>
      <w:pPr>
        <w:spacing w:before="120" w:after="120" w:line="288" w:lineRule="auto"/>
        <w:ind w:left="0"/>
        <w:jc w:val="center"/>
      </w:pPr>
      <w:r>
        <w:drawing>
          <wp:inline distT="0" distR="0" distB="0" distL="0">
            <wp:extent cx="5257800" cy="46005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46005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当前市场情绪</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671"/>
        <w:gridCol w:w="3608"/>
      </w:tblGrid>
      <w:tr>
        <w:tc>
          <w:tcPr>
            <w:tcW w:w="4671" w:type="dxa"/>
            <w:tcMar>
              <w:top w:type="dxa" w:w="60"/>
              <w:left w:type="dxa" w:w="120"/>
              <w:bottom w:type="dxa" w:w="30"/>
              <w:right w:type="dxa" w:w="120"/>
            </w:tcMar>
          </w:tcPr>
          <w:p>
            <w:pPr>
              <w:spacing w:before="120" w:after="120" w:line="288" w:lineRule="auto"/>
              <w:ind w:left="0"/>
              <w:jc w:val="center"/>
            </w:pPr>
            <w:r>
              <w:drawing>
                <wp:inline distT="0" distR="0" distB="0" distL="0">
                  <wp:extent cx="2809875" cy="21621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2809875" cy="2162175"/>
                          </a:xfrm>
                          <a:prstGeom prst="rect">
                            <a:avLst/>
                          </a:prstGeom>
                        </pic:spPr>
                      </pic:pic>
                    </a:graphicData>
                  </a:graphic>
                </wp:inline>
              </w:drawing>
            </w:r>
          </w:p>
        </w:tc>
        <w:tc>
          <w:tcPr>
            <w:tcW w:w="3608" w:type="dxa"/>
            <w:tcMar>
              <w:top w:type="dxa" w:w="60"/>
              <w:left w:type="dxa" w:w="120"/>
              <w:bottom w:type="dxa" w:w="30"/>
              <w:right w:type="dxa" w:w="120"/>
            </w:tcMar>
          </w:tcPr>
          <w:p>
            <w:pPr>
              <w:spacing w:before="120" w:after="120" w:line="288" w:lineRule="auto"/>
              <w:ind w:left="0"/>
              <w:jc w:val="center"/>
            </w:pPr>
            <w:r>
              <w:drawing>
                <wp:inline distT="0" distR="0" distB="0" distL="0">
                  <wp:extent cx="2133600" cy="21336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2133600" cy="2133600"/>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来源: FT, Reddit</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我们结束了一个震荡但最终收于区间内的一周，最新的通胀指标走势分化：在之前一周温和的CPI（消费者价格指数）之后，7月PPI（生产者价格指数）意外大幅上涨（环比+0.9% vs 预期+0.2%，主要由专业服务价格跳涨推动）。</w:t>
      </w:r>
    </w:p>
    <w:p>
      <w:pPr>
        <w:spacing w:before="120" w:after="120" w:line="288" w:lineRule="auto"/>
        <w:ind w:left="0"/>
        <w:jc w:val="left"/>
      </w:pPr>
    </w:p>
    <w:p>
      <w:pPr>
        <w:spacing w:before="120" w:after="120" w:line="288" w:lineRule="auto"/>
        <w:ind w:left="0"/>
        <w:jc w:val="left"/>
      </w:pPr>
      <w:r>
        <w:rPr>
          <w:rFonts w:eastAsia="等线" w:ascii="Arial" w:cs="Arial" w:hAnsi="Arial"/>
          <w:sz w:val="22"/>
        </w:rPr>
        <w:t>通胀指标难以软化至2%目标以下</w:t>
      </w:r>
    </w:p>
    <w:p>
      <w:pPr>
        <w:spacing w:before="120" w:after="120" w:line="288" w:lineRule="auto"/>
        <w:ind w:left="0"/>
        <w:jc w:val="center"/>
      </w:pPr>
      <w:r>
        <w:drawing>
          <wp:inline distT="0" distR="0" distB="0" distL="0">
            <wp:extent cx="5257800" cy="27051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27051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雪上加霜的是，密西根大学通胀预期资料同样高企，1年期和5-10年期价格预期均显著高于预期（1年期：4.4% vs 4.9%预期；5-10年期：3.4% vs 3.9%预期）。尽管通胀资料令人失望，财政部长贝森特仍继续其鸽派论调，声称根据他们的经济“模型”，中性利率应低150个基点。这无疑在一定程度上受到了特朗普总统持续推行的维持低利率政策议程的影响。</w:t>
      </w:r>
    </w:p>
    <w:p>
      <w:pPr>
        <w:spacing w:before="120" w:after="120" w:line="288" w:lineRule="auto"/>
        <w:ind w:left="0"/>
        <w:jc w:val="left"/>
      </w:pPr>
    </w:p>
    <w:p>
      <w:pPr>
        <w:spacing w:before="120" w:after="120" w:line="288" w:lineRule="auto"/>
        <w:ind w:left="0"/>
        <w:jc w:val="left"/>
      </w:pPr>
      <w:r>
        <w:rPr>
          <w:rFonts w:eastAsia="等线" w:ascii="Arial" w:cs="Arial" w:hAnsi="Arial"/>
          <w:sz w:val="22"/>
        </w:rPr>
        <w:t>密西根大学通胀预期：短期与长期指标均意外上行</w:t>
      </w:r>
    </w:p>
    <w:p>
      <w:pPr>
        <w:spacing w:before="120" w:after="120" w:line="288" w:lineRule="auto"/>
        <w:ind w:left="0"/>
        <w:jc w:val="center"/>
      </w:pPr>
      <w:r>
        <w:drawing>
          <wp:inline distT="0" distR="0" distB="0" distL="0">
            <wp:extent cx="5257800" cy="8572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857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来源: Bloomberg</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财长贝森特近期宣称“中性”利率应低约150个基点 </w:t>
      </w:r>
    </w:p>
    <w:p>
      <w:pPr>
        <w:spacing w:before="120" w:after="120" w:line="288" w:lineRule="auto"/>
        <w:ind w:left="0"/>
        <w:jc w:val="center"/>
      </w:pPr>
      <w:r>
        <w:drawing>
          <wp:inline distT="0" distR="0" distB="0" distL="0">
            <wp:extent cx="5257800" cy="24860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257800" cy="2486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来源: Forbes, CNBC</w:t>
      </w:r>
    </w:p>
    <w:p>
      <w:pPr>
        <w:spacing w:before="120" w:after="120" w:line="288" w:lineRule="auto"/>
        <w:ind w:left="0"/>
        <w:jc w:val="left"/>
      </w:pPr>
    </w:p>
    <w:p>
      <w:pPr>
        <w:spacing w:before="120" w:after="120" w:line="288" w:lineRule="auto"/>
        <w:ind w:left="0"/>
        <w:jc w:val="left"/>
      </w:pPr>
      <w:r>
        <w:rPr>
          <w:rFonts w:eastAsia="等线" w:ascii="Arial" w:cs="Arial" w:hAnsi="Arial"/>
          <w:sz w:val="22"/>
        </w:rPr>
        <w:t>尽管官方态度乐观，市场自然有其判断。更为火热的通胀资料表明，关税成本可能正以快于预期的速度传导至消费者，这导致美元/美债收益率反弹，金价下跌。对于9月会议降息50个基点的任何希望迅速破灭，截至周五收盘，市场仅定价了约90%的一次降息（25个基点）可能性。不过，市场仍预期年底前会有略多于2次降息。</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强劲PPI后，市场仅定价9月会议降息一次（25基点）的可能性低于90% </w:t>
      </w:r>
    </w:p>
    <w:p>
      <w:pPr>
        <w:spacing w:before="120" w:after="120" w:line="288" w:lineRule="auto"/>
        <w:ind w:left="0"/>
        <w:jc w:val="center"/>
      </w:pPr>
      <w:r>
        <w:drawing>
          <wp:inline distT="0" distR="0" distB="0" distL="0">
            <wp:extent cx="5257800" cy="34480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5257800" cy="3448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来源: Citi</w:t>
      </w:r>
    </w:p>
    <w:p>
      <w:pPr>
        <w:spacing w:before="120" w:after="120" w:line="288" w:lineRule="auto"/>
        <w:ind w:left="0"/>
        <w:jc w:val="left"/>
      </w:pPr>
    </w:p>
    <w:p>
      <w:pPr>
        <w:spacing w:before="120" w:after="120" w:line="288" w:lineRule="auto"/>
        <w:ind w:left="0"/>
        <w:jc w:val="left"/>
      </w:pPr>
      <w:r>
        <w:rPr>
          <w:rFonts w:eastAsia="等线" w:ascii="Arial" w:cs="Arial" w:hAnsi="Arial"/>
          <w:sz w:val="22"/>
        </w:rPr>
        <w:t>过去一周，加密货币价格停滞不前，宏观因素增加了短期阻力。财长贝森特宣布美国政府持有的BTC价值接近150-200亿美元，而非市场此前希望的230亿美元以上，这令市场失望。更重要的是，他进一步让观察人士失望地表示，政府不会为其“战略比特币储备”购买更多BTC，也不预计政府会对其黄金储备（按每盎司42.22美元计价）进行重估或出售以换取比特币。</w:t>
      </w:r>
    </w:p>
    <w:p>
      <w:pPr>
        <w:spacing w:before="120" w:after="120" w:line="288" w:lineRule="auto"/>
        <w:ind w:left="0"/>
        <w:jc w:val="left"/>
      </w:pPr>
    </w:p>
    <w:p>
      <w:pPr>
        <w:spacing w:before="120" w:after="120" w:line="288" w:lineRule="auto"/>
        <w:ind w:left="0"/>
        <w:jc w:val="left"/>
      </w:pPr>
      <w:r>
        <w:rPr>
          <w:rFonts w:eastAsia="等线" w:ascii="Arial" w:cs="Arial" w:hAnsi="Arial"/>
          <w:sz w:val="22"/>
        </w:rPr>
        <w:t>过去一周政府的SBR相关头条令市场失望</w:t>
      </w:r>
    </w:p>
    <w:p>
      <w:pPr>
        <w:spacing w:before="120" w:after="120" w:line="288" w:lineRule="auto"/>
        <w:ind w:left="0"/>
        <w:jc w:val="center"/>
      </w:pPr>
      <w:r>
        <w:drawing>
          <wp:inline distT="0" distR="0" distB="0" distL="0">
            <wp:extent cx="5257800" cy="9906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5257800" cy="990600"/>
                    </a:xfrm>
                    <a:prstGeom prst="rect">
                      <a:avLst/>
                    </a:prstGeom>
                  </pic:spPr>
                </pic:pic>
              </a:graphicData>
            </a:graphic>
          </wp:inline>
        </w:drawing>
      </w:r>
    </w:p>
    <w:p>
      <w:pPr>
        <w:spacing w:before="120" w:after="120" w:line="288" w:lineRule="auto"/>
        <w:ind w:left="0"/>
        <w:jc w:val="center"/>
      </w:pPr>
      <w:r>
        <w:drawing>
          <wp:inline distT="0" distR="0" distB="0" distL="0">
            <wp:extent cx="5257800" cy="15144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257800" cy="1514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来源: Yahoo Finance, Arkham</w:t>
      </w:r>
    </w:p>
    <w:p>
      <w:pPr>
        <w:spacing w:before="120" w:after="120" w:line="288" w:lineRule="auto"/>
        <w:ind w:left="0"/>
        <w:jc w:val="left"/>
      </w:pPr>
    </w:p>
    <w:p>
      <w:pPr>
        <w:spacing w:before="120" w:after="120" w:line="288" w:lineRule="auto"/>
        <w:ind w:left="0"/>
        <w:jc w:val="left"/>
      </w:pPr>
      <w:r>
        <w:rPr>
          <w:rFonts w:eastAsia="等线" w:ascii="Arial" w:cs="Arial" w:hAnsi="Arial"/>
          <w:sz w:val="22"/>
        </w:rPr>
        <w:t>另一方面，ETF资金流入依然非常强劲。彭博报导称，BTC和ETH ETF上周录得自推出以来的最大单周资金流入，使这对组合跻身所有股权类ETF的前五名。这一动向主要由ETF资金流入激增推动，单周流入额达170亿美元，打破了之前的记录。</w:t>
      </w:r>
    </w:p>
    <w:p>
      <w:pPr>
        <w:spacing w:before="120" w:after="120" w:line="288" w:lineRule="auto"/>
        <w:ind w:left="0"/>
        <w:jc w:val="left"/>
      </w:pPr>
    </w:p>
    <w:p>
      <w:pPr>
        <w:spacing w:before="120" w:after="120" w:line="288" w:lineRule="auto"/>
        <w:ind w:left="0"/>
        <w:jc w:val="left"/>
      </w:pPr>
      <w:r>
        <w:rPr>
          <w:rFonts w:eastAsia="等线" w:ascii="Arial" w:cs="Arial" w:hAnsi="Arial"/>
          <w:sz w:val="22"/>
        </w:rPr>
        <w:t>BTC &amp; ETH ETF 上周资金流入创纪录</w:t>
      </w:r>
    </w:p>
    <w:p>
      <w:pPr>
        <w:spacing w:before="120" w:after="120" w:line="288" w:lineRule="auto"/>
        <w:ind w:left="0"/>
        <w:jc w:val="center"/>
      </w:pPr>
      <w:r>
        <w:drawing>
          <wp:inline distT="0" distR="0" distB="0" distL="0">
            <wp:extent cx="5257800" cy="33432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5257800" cy="3343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来源: Bloomberg, X</w:t>
      </w:r>
    </w:p>
    <w:p>
      <w:pPr>
        <w:spacing w:before="120" w:after="120" w:line="288" w:lineRule="auto"/>
        <w:ind w:left="0"/>
        <w:jc w:val="left"/>
      </w:pPr>
    </w:p>
    <w:p>
      <w:pPr>
        <w:spacing w:before="120" w:after="120" w:line="288" w:lineRule="auto"/>
        <w:ind w:left="0"/>
        <w:jc w:val="left"/>
      </w:pPr>
      <w:r>
        <w:rPr>
          <w:rFonts w:eastAsia="等线" w:ascii="Arial" w:cs="Arial" w:hAnsi="Arial"/>
          <w:sz w:val="22"/>
        </w:rPr>
        <w:t>主要由ETH流入激增170亿美元推动</w:t>
      </w:r>
    </w:p>
    <w:p>
      <w:pPr>
        <w:spacing w:before="120" w:after="120" w:line="288" w:lineRule="auto"/>
        <w:ind w:left="0"/>
        <w:jc w:val="center"/>
      </w:pPr>
      <w:r>
        <w:drawing>
          <wp:inline distT="0" distR="0" distB="0" distL="0">
            <wp:extent cx="5257800" cy="17811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展望未来，焦点将转向本周晚些时候的杰克逊霍尔（Jackson Hole）会议。美联储主席鲍威尔的讲话将被宏观观察人士仔细审视，以研判今年余下时间的政策基调。然而，鉴于当前的通胀背景，我们不预期会有太多新的鸽派惊喜。除非9月非农就业报告（NFP）非常负面，否则不太可能推动市场重新定价降息50个基点的可能性。</w:t>
      </w:r>
    </w:p>
    <w:p>
      <w:pPr>
        <w:spacing w:before="120" w:after="120" w:line="288" w:lineRule="auto"/>
        <w:ind w:left="0"/>
        <w:jc w:val="left"/>
      </w:pPr>
      <w:r>
        <w:rPr>
          <w:rFonts w:eastAsia="等线" w:ascii="Arial" w:cs="Arial" w:hAnsi="Arial"/>
          <w:sz w:val="22"/>
        </w:rPr>
        <w:t>在情绪面，我们确实要提醒当前水准感觉有些过度狂热。美国消费者对股价的乐观程度与其自身收入前景之间的分歧已达到历史上前所未有的水准。同时，随著我们进入历史上波动性较大的9-10月，基金经理的现金持有水准已回落至周期低点（表明投资已接近满仓）。</w:t>
      </w:r>
    </w:p>
    <w:p>
      <w:pPr>
        <w:spacing w:before="120" w:after="120" w:line="288" w:lineRule="auto"/>
        <w:ind w:left="0"/>
        <w:jc w:val="left"/>
      </w:pPr>
    </w:p>
    <w:p>
      <w:pPr>
        <w:spacing w:before="120" w:after="120" w:line="288" w:lineRule="auto"/>
        <w:ind w:left="0"/>
        <w:jc w:val="left"/>
      </w:pPr>
      <w:r>
        <w:rPr>
          <w:rFonts w:eastAsia="等线" w:ascii="Arial" w:cs="Arial" w:hAnsi="Arial"/>
          <w:sz w:val="22"/>
        </w:rPr>
        <w:t>美国消费者对股价的看涨程度 vs 自身收入前景达历史之最</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401"/>
        <w:gridCol w:w="3878"/>
      </w:tblGrid>
      <w:tr>
        <w:tc>
          <w:tcPr>
            <w:tcW w:w="4401" w:type="dxa"/>
            <w:tcMar>
              <w:top w:type="dxa" w:w="60"/>
              <w:left w:type="dxa" w:w="120"/>
              <w:bottom w:type="dxa" w:w="30"/>
              <w:right w:type="dxa" w:w="120"/>
            </w:tcMar>
          </w:tcPr>
          <w:p>
            <w:pPr>
              <w:spacing w:before="120" w:after="120" w:line="288" w:lineRule="auto"/>
              <w:ind w:left="0"/>
              <w:jc w:val="center"/>
            </w:pPr>
            <w:r>
              <w:drawing>
                <wp:inline distT="0" distR="0" distB="0" distL="0">
                  <wp:extent cx="2638425" cy="14859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2638425" cy="1485900"/>
                          </a:xfrm>
                          <a:prstGeom prst="rect">
                            <a:avLst/>
                          </a:prstGeom>
                        </pic:spPr>
                      </pic:pic>
                    </a:graphicData>
                  </a:graphic>
                </wp:inline>
              </w:drawing>
            </w:r>
          </w:p>
        </w:tc>
        <w:tc>
          <w:tcPr>
            <w:tcW w:w="3878" w:type="dxa"/>
            <w:tcMar>
              <w:top w:type="dxa" w:w="60"/>
              <w:left w:type="dxa" w:w="120"/>
              <w:bottom w:type="dxa" w:w="30"/>
              <w:right w:type="dxa" w:w="120"/>
            </w:tcMar>
          </w:tcPr>
          <w:p>
            <w:pPr>
              <w:spacing w:before="120" w:after="120" w:line="288" w:lineRule="auto"/>
              <w:ind w:left="0"/>
              <w:jc w:val="center"/>
            </w:pPr>
            <w:r>
              <w:drawing>
                <wp:inline distT="0" distR="0" distB="0" distL="0">
                  <wp:extent cx="2305050" cy="14763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6"/>
                          <a:stretch>
                            <a:fillRect/>
                          </a:stretch>
                        </pic:blipFill>
                        <pic:spPr>
                          <a:xfrm>
                            <a:off x="0" y="0"/>
                            <a:ext cx="2305050" cy="1476375"/>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来源: DB</w:t>
      </w:r>
    </w:p>
    <w:p>
      <w:pPr>
        <w:spacing w:before="120" w:after="120" w:line="288" w:lineRule="auto"/>
        <w:ind w:left="0"/>
        <w:jc w:val="left"/>
      </w:pPr>
    </w:p>
    <w:p>
      <w:pPr>
        <w:spacing w:before="120" w:after="120" w:line="288" w:lineRule="auto"/>
        <w:ind w:left="0"/>
        <w:jc w:val="left"/>
      </w:pPr>
      <w:r>
        <w:rPr>
          <w:rFonts w:eastAsia="等线" w:ascii="Arial" w:cs="Arial" w:hAnsi="Arial"/>
          <w:sz w:val="22"/>
        </w:rPr>
        <w:t>基金经理现金水准降至周期低点</w:t>
      </w:r>
    </w:p>
    <w:p>
      <w:pPr>
        <w:spacing w:before="120" w:after="120" w:line="288" w:lineRule="auto"/>
        <w:ind w:left="0"/>
        <w:jc w:val="center"/>
      </w:pPr>
      <w:r>
        <w:drawing>
          <wp:inline distT="0" distR="0" distB="0" distL="0">
            <wp:extent cx="5257800" cy="30194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7"/>
                    <a:stretch>
                      <a:fillRect/>
                    </a:stretch>
                  </pic:blipFill>
                  <pic:spPr>
                    <a:xfrm>
                      <a:off x="0" y="0"/>
                      <a:ext cx="5257800" cy="30194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祝好运，交易顺利！</w:t>
      </w:r>
    </w:p>
    <w:sectPr>
      <w:footerReference w:type="default" r:id="rId3"/>
      <w:headerReference w:type="default" r:id="rId1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jpe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2025-08-22T14:11:40Z</dcterms:created>
  <dc:creator>Apache POI</dc:creator>
</cp:coreProperties>
</file>