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250915 - 單向上行</w:t>
      </w:r>
    </w:p>
    <w:p>
      <w:pPr>
        <w:spacing w:before="120" w:after="120" w:line="288" w:lineRule="auto"/>
        <w:ind w:left="0"/>
        <w:jc w:val="center"/>
      </w:pPr>
      <w:r>
        <w:drawing>
          <wp:inline distT="0" distR="0" distB="0" distL="0">
            <wp:extent cx="5257800" cy="45624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45624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上周是引人注目的一周，股市與固定收益市場各自演繹不同走勢——前者全周持續攀升至歷史新高，後者則因經濟資料疲軟導致收益率跌至週期低位附近。</w:t>
      </w:r>
    </w:p>
    <w:p>
      <w:pPr>
        <w:spacing w:before="120" w:after="120" w:line="288" w:lineRule="auto"/>
        <w:ind w:left="0"/>
        <w:jc w:val="left"/>
      </w:pPr>
    </w:p>
    <w:p>
      <w:pPr>
        <w:spacing w:before="120" w:after="120" w:line="288" w:lineRule="auto"/>
        <w:ind w:left="0"/>
        <w:jc w:val="left"/>
      </w:pPr>
      <w:r>
        <w:rPr>
          <w:rFonts w:eastAsia="等线" w:ascii="Arial" w:cs="Arial" w:hAnsi="Arial"/>
          <w:sz w:val="22"/>
        </w:rPr>
        <w:t>标题：半杯水滿還是半杯空？或許兼而有之？</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3993"/>
        <w:gridCol w:w="4286"/>
      </w:tblGrid>
      <w:tr>
        <w:tc>
          <w:tcPr>
            <w:tcW w:w="3993" w:type="dxa"/>
            <w:tcMar>
              <w:top w:type="dxa" w:w="60"/>
              <w:left w:type="dxa" w:w="120"/>
              <w:bottom w:type="dxa" w:w="30"/>
              <w:right w:type="dxa" w:w="120"/>
            </w:tcMar>
          </w:tcPr>
          <w:p>
            <w:pPr>
              <w:spacing w:before="120" w:after="120" w:line="288" w:lineRule="auto"/>
              <w:ind w:left="0"/>
              <w:jc w:val="center"/>
            </w:pPr>
            <w:r>
              <w:drawing>
                <wp:inline distT="0" distR="0" distB="0" distL="0">
                  <wp:extent cx="2381250" cy="1485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2381250" cy="1485900"/>
                          </a:xfrm>
                          <a:prstGeom prst="rect">
                            <a:avLst/>
                          </a:prstGeom>
                        </pic:spPr>
                      </pic:pic>
                    </a:graphicData>
                  </a:graphic>
                </wp:inline>
              </w:drawing>
            </w:r>
          </w:p>
        </w:tc>
        <w:tc>
          <w:tcPr>
            <w:tcW w:w="4286" w:type="dxa"/>
            <w:tcMar>
              <w:top w:type="dxa" w:w="60"/>
              <w:left w:type="dxa" w:w="120"/>
              <w:bottom w:type="dxa" w:w="30"/>
              <w:right w:type="dxa" w:w="120"/>
            </w:tcMar>
          </w:tcPr>
          <w:p>
            <w:pPr>
              <w:spacing w:before="120" w:after="120" w:line="288" w:lineRule="auto"/>
              <w:ind w:left="0"/>
              <w:jc w:val="center"/>
            </w:pPr>
            <w:r>
              <w:drawing>
                <wp:inline distT="0" distR="0" distB="0" distL="0">
                  <wp:extent cx="2562225" cy="14954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2562225" cy="149542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來源：彭博、花旗集團</w:t>
      </w:r>
    </w:p>
    <w:p>
      <w:pPr>
        <w:spacing w:before="120" w:after="120" w:line="288" w:lineRule="auto"/>
        <w:ind w:left="0"/>
        <w:jc w:val="left"/>
      </w:pPr>
    </w:p>
    <w:p>
      <w:pPr>
        <w:spacing w:before="120" w:after="120" w:line="288" w:lineRule="auto"/>
        <w:ind w:left="0"/>
        <w:jc w:val="left"/>
      </w:pPr>
      <w:r>
        <w:rPr>
          <w:rFonts w:eastAsia="等线" w:ascii="Arial" w:cs="Arial" w:hAnsi="Arial"/>
          <w:sz w:val="22"/>
        </w:rPr>
        <w:t>繼非農就業資料疲軟後，密西根大學消費者信心指數成為最新令人失望的軟資料，為債券市場定價今年及明年共六次降息鋪平道路。10年期收益率自4月以來首次跌破4%，5年期收益率因初請失業金人數創近四年新低而逼近年內低點。本周國債拍賣全面獲得熱烈響應，投資者已全面回歸寬鬆週期交易。</w:t>
      </w:r>
    </w:p>
    <w:p>
      <w:pPr>
        <w:spacing w:before="120" w:after="120" w:line="288" w:lineRule="auto"/>
        <w:ind w:left="0"/>
        <w:jc w:val="left"/>
      </w:pPr>
    </w:p>
    <w:p>
      <w:pPr>
        <w:spacing w:before="120" w:after="120" w:line="288" w:lineRule="auto"/>
        <w:ind w:left="0"/>
        <w:jc w:val="left"/>
      </w:pPr>
      <w:r>
        <w:rPr>
          <w:rFonts w:eastAsia="等线" w:ascii="Arial" w:cs="Arial" w:hAnsi="Arial"/>
          <w:sz w:val="22"/>
        </w:rPr>
        <w:t>标题：市場定價顯示2026年前還將迎來六次降息</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3858"/>
        <w:gridCol w:w="4421"/>
      </w:tblGrid>
      <w:tr>
        <w:tc>
          <w:tcPr>
            <w:tcW w:w="3858" w:type="dxa"/>
            <w:tcMar>
              <w:top w:type="dxa" w:w="60"/>
              <w:left w:type="dxa" w:w="120"/>
              <w:bottom w:type="dxa" w:w="30"/>
              <w:right w:type="dxa" w:w="120"/>
            </w:tcMar>
          </w:tcPr>
          <w:p>
            <w:pPr>
              <w:spacing w:before="120" w:after="120" w:line="288" w:lineRule="auto"/>
              <w:ind w:left="0"/>
              <w:jc w:val="center"/>
            </w:pPr>
            <w:r>
              <w:drawing>
                <wp:inline distT="0" distR="0" distB="0" distL="0">
                  <wp:extent cx="2295525" cy="17526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2295525" cy="1752600"/>
                          </a:xfrm>
                          <a:prstGeom prst="rect">
                            <a:avLst/>
                          </a:prstGeom>
                        </pic:spPr>
                      </pic:pic>
                    </a:graphicData>
                  </a:graphic>
                </wp:inline>
              </w:drawing>
            </w:r>
          </w:p>
        </w:tc>
        <w:tc>
          <w:tcPr>
            <w:tcW w:w="4421" w:type="dxa"/>
            <w:tcMar>
              <w:top w:type="dxa" w:w="60"/>
              <w:left w:type="dxa" w:w="120"/>
              <w:bottom w:type="dxa" w:w="30"/>
              <w:right w:type="dxa" w:w="120"/>
            </w:tcMar>
          </w:tcPr>
          <w:p>
            <w:pPr>
              <w:spacing w:before="120" w:after="120" w:line="288" w:lineRule="auto"/>
              <w:ind w:left="0"/>
              <w:jc w:val="center"/>
            </w:pPr>
            <w:r>
              <w:drawing>
                <wp:inline distT="0" distR="0" distB="0" distL="0">
                  <wp:extent cx="2647950" cy="17621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2647950" cy="1762125"/>
                          </a:xfrm>
                          <a:prstGeom prst="rect">
                            <a:avLst/>
                          </a:prstGeom>
                        </pic:spPr>
                      </pic:pic>
                    </a:graphicData>
                  </a:graphic>
                </wp:inline>
              </w:drawing>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儘管核心CPI環比漲幅達0.346%創1月以來新高，關稅相關壓力開始滲透可能推升核心通脹，市場仍普遍預期FOMC將重啟降息週期。</w:t>
      </w:r>
    </w:p>
    <w:p>
      <w:pPr>
        <w:spacing w:before="120" w:after="120" w:line="288" w:lineRule="auto"/>
        <w:ind w:left="0"/>
        <w:jc w:val="left"/>
      </w:pPr>
      <w:r>
        <w:rPr>
          <w:rFonts w:eastAsia="等线" w:ascii="Arial" w:cs="Arial" w:hAnsi="Arial"/>
          <w:sz w:val="22"/>
        </w:rPr>
        <w:t>标题：核心CPI環比保持粘性，密西根大學長期通脹預期亦反轉上行</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417"/>
        <w:gridCol w:w="3862"/>
      </w:tblGrid>
      <w:tr>
        <w:tc>
          <w:tcPr>
            <w:tcW w:w="4417" w:type="dxa"/>
            <w:tcMar>
              <w:top w:type="dxa" w:w="60"/>
              <w:left w:type="dxa" w:w="120"/>
              <w:bottom w:type="dxa" w:w="30"/>
              <w:right w:type="dxa" w:w="120"/>
            </w:tcMar>
          </w:tcPr>
          <w:p>
            <w:pPr>
              <w:spacing w:before="120" w:after="120" w:line="288" w:lineRule="auto"/>
              <w:ind w:left="0"/>
              <w:jc w:val="center"/>
            </w:pPr>
            <w:r>
              <w:drawing>
                <wp:inline distT="0" distR="0" distB="0" distL="0">
                  <wp:extent cx="2647950" cy="12192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2647950" cy="1219200"/>
                          </a:xfrm>
                          <a:prstGeom prst="rect">
                            <a:avLst/>
                          </a:prstGeom>
                        </pic:spPr>
                      </pic:pic>
                    </a:graphicData>
                  </a:graphic>
                </wp:inline>
              </w:drawing>
            </w:r>
          </w:p>
        </w:tc>
        <w:tc>
          <w:tcPr>
            <w:tcW w:w="3862" w:type="dxa"/>
            <w:tcMar>
              <w:top w:type="dxa" w:w="60"/>
              <w:left w:type="dxa" w:w="120"/>
              <w:bottom w:type="dxa" w:w="30"/>
              <w:right w:type="dxa" w:w="120"/>
            </w:tcMar>
          </w:tcPr>
          <w:p>
            <w:pPr>
              <w:spacing w:before="120" w:after="120" w:line="288" w:lineRule="auto"/>
              <w:ind w:left="0"/>
              <w:jc w:val="center"/>
            </w:pPr>
            <w:r>
              <w:drawing>
                <wp:inline distT="0" distR="0" distB="0" distL="0">
                  <wp:extent cx="2295525" cy="12096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2295525" cy="1209675"/>
                          </a:xfrm>
                          <a:prstGeom prst="rect">
                            <a:avLst/>
                          </a:prstGeom>
                        </pic:spPr>
                      </pic:pic>
                    </a:graphicData>
                  </a:graphic>
                </wp:inline>
              </w:drawing>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但美聯儲選擇聚焦勞動力市場內部放緩跡象，近期勞工統計局基準修訂顯示下調幅度遠超預期（-91.1萬vs預期-70萬），進一步強化了這一趨勢。</w:t>
      </w:r>
    </w:p>
    <w:p>
      <w:pPr>
        <w:spacing w:before="120" w:after="120" w:line="288" w:lineRule="auto"/>
        <w:ind w:left="0"/>
        <w:jc w:val="left"/>
      </w:pPr>
    </w:p>
    <w:p>
      <w:pPr>
        <w:spacing w:before="120" w:after="120" w:line="288" w:lineRule="auto"/>
        <w:ind w:left="0"/>
        <w:jc w:val="left"/>
      </w:pPr>
      <w:r>
        <w:rPr>
          <w:rFonts w:eastAsia="等线" w:ascii="Arial" w:cs="Arial" w:hAnsi="Arial"/>
          <w:sz w:val="22"/>
        </w:rPr>
        <w:t>标题：勞動力市場內部放緩已成不爭事實</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63"/>
        <w:gridCol w:w="4116"/>
      </w:tblGrid>
      <w:tr>
        <w:tc>
          <w:tcPr>
            <w:tcW w:w="4163" w:type="dxa"/>
            <w:tcMar>
              <w:top w:type="dxa" w:w="60"/>
              <w:left w:type="dxa" w:w="120"/>
              <w:bottom w:type="dxa" w:w="30"/>
              <w:right w:type="dxa" w:w="120"/>
            </w:tcMar>
          </w:tcPr>
          <w:p>
            <w:pPr>
              <w:spacing w:before="120" w:after="120" w:line="288" w:lineRule="auto"/>
              <w:ind w:left="0"/>
              <w:jc w:val="center"/>
            </w:pPr>
            <w:r>
              <w:drawing>
                <wp:inline distT="0" distR="0" distB="0" distL="0">
                  <wp:extent cx="2486025" cy="14382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2486025" cy="1438275"/>
                          </a:xfrm>
                          <a:prstGeom prst="rect">
                            <a:avLst/>
                          </a:prstGeom>
                        </pic:spPr>
                      </pic:pic>
                    </a:graphicData>
                  </a:graphic>
                </wp:inline>
              </w:drawing>
            </w:r>
          </w:p>
        </w:tc>
        <w:tc>
          <w:tcPr>
            <w:tcW w:w="4116" w:type="dxa"/>
            <w:tcMar>
              <w:top w:type="dxa" w:w="60"/>
              <w:left w:type="dxa" w:w="120"/>
              <w:bottom w:type="dxa" w:w="30"/>
              <w:right w:type="dxa" w:w="120"/>
            </w:tcMar>
          </w:tcPr>
          <w:p>
            <w:pPr>
              <w:spacing w:before="120" w:after="120" w:line="288" w:lineRule="auto"/>
              <w:ind w:left="0"/>
              <w:jc w:val="center"/>
            </w:pPr>
            <w:r>
              <w:drawing>
                <wp:inline distT="0" distR="0" distB="0" distL="0">
                  <wp:extent cx="2457450" cy="14382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2"/>
                          <a:stretch>
                            <a:fillRect/>
                          </a:stretch>
                        </pic:blipFill>
                        <pic:spPr>
                          <a:xfrm>
                            <a:off x="0" y="0"/>
                            <a:ext cx="2457450" cy="1438275"/>
                          </a:xfrm>
                          <a:prstGeom prst="rect">
                            <a:avLst/>
                          </a:prstGeom>
                        </pic:spPr>
                      </pic:pic>
                    </a:graphicData>
                  </a:graphic>
                </wp:inline>
              </w:drawing>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與之形成鮮明對比的是，股市（照常）描繪出完全不同圖景：標普500指數本週三次刷新收盤紀錄，過半成分股交易於100日均線上方。甲骨文驚豔財報重振受挫的AI情緒，各板塊全線飄紅——半導體（+6%）、銀行（+3%）、公用事業（+3%）和軟體（+3%）均表現亮眼。</w:t>
      </w:r>
    </w:p>
    <w:p>
      <w:pPr>
        <w:spacing w:before="120" w:after="120" w:line="288" w:lineRule="auto"/>
        <w:ind w:left="0"/>
        <w:jc w:val="left"/>
      </w:pPr>
      <w:r>
        <w:rPr>
          <w:rFonts w:eastAsia="等线" w:ascii="Arial" w:cs="Arial" w:hAnsi="Arial"/>
          <w:sz w:val="22"/>
        </w:rPr>
        <w:t>值得關注的是，標普500指數自4月低點已反彈超30%，創下過去50年最強勁的五個月漲幅之一。</w:t>
      </w:r>
    </w:p>
    <w:p>
      <w:pPr>
        <w:spacing w:before="120" w:after="120" w:line="288" w:lineRule="auto"/>
        <w:ind w:left="0"/>
        <w:jc w:val="left"/>
      </w:pPr>
      <w:r>
        <w:rPr>
          <w:rFonts w:eastAsia="等线" w:ascii="Arial" w:cs="Arial" w:hAnsi="Arial"/>
          <w:sz w:val="22"/>
        </w:rPr>
        <w:t>标题：與利率市場悲觀情緒不同，股市未顯任何宏觀放緩跡象，價格動能于9月強勢回歸</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275"/>
        <w:gridCol w:w="4004"/>
      </w:tblGrid>
      <w:tr>
        <w:tc>
          <w:tcPr>
            <w:tcW w:w="4275" w:type="dxa"/>
            <w:tcMar>
              <w:top w:type="dxa" w:w="60"/>
              <w:left w:type="dxa" w:w="120"/>
              <w:bottom w:type="dxa" w:w="30"/>
              <w:right w:type="dxa" w:w="120"/>
            </w:tcMar>
          </w:tcPr>
          <w:p>
            <w:pPr>
              <w:spacing w:before="120" w:after="120" w:line="288" w:lineRule="auto"/>
              <w:ind w:left="0"/>
              <w:jc w:val="center"/>
            </w:pPr>
            <w:r>
              <w:drawing>
                <wp:inline distT="0" distR="0" distB="0" distL="0">
                  <wp:extent cx="2562225" cy="16859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3"/>
                          <a:stretch>
                            <a:fillRect/>
                          </a:stretch>
                        </pic:blipFill>
                        <pic:spPr>
                          <a:xfrm>
                            <a:off x="0" y="0"/>
                            <a:ext cx="2562225" cy="1685925"/>
                          </a:xfrm>
                          <a:prstGeom prst="rect">
                            <a:avLst/>
                          </a:prstGeom>
                        </pic:spPr>
                      </pic:pic>
                    </a:graphicData>
                  </a:graphic>
                </wp:inline>
              </w:drawing>
            </w:r>
          </w:p>
        </w:tc>
        <w:tc>
          <w:tcPr>
            <w:tcW w:w="4004" w:type="dxa"/>
            <w:tcMar>
              <w:top w:type="dxa" w:w="60"/>
              <w:left w:type="dxa" w:w="120"/>
              <w:bottom w:type="dxa" w:w="30"/>
              <w:right w:type="dxa" w:w="120"/>
            </w:tcMar>
          </w:tcPr>
          <w:p>
            <w:pPr>
              <w:spacing w:before="120" w:after="120" w:line="288" w:lineRule="auto"/>
              <w:ind w:left="0"/>
              <w:jc w:val="center"/>
            </w:pPr>
            <w:r>
              <w:drawing>
                <wp:inline distT="0" distR="0" distB="0" distL="0">
                  <wp:extent cx="2381250" cy="16859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4"/>
                          <a:stretch>
                            <a:fillRect/>
                          </a:stretch>
                        </pic:blipFill>
                        <pic:spPr>
                          <a:xfrm>
                            <a:off x="0" y="0"/>
                            <a:ext cx="2381250" cy="1685925"/>
                          </a:xfrm>
                          <a:prstGeom prst="rect">
                            <a:avLst/>
                          </a:prstGeom>
                        </pic:spPr>
                      </pic:pic>
                    </a:graphicData>
                  </a:graphic>
                </wp:inline>
              </w:drawing>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标题：美國GDP亦超預期增長2.5%……四季度會再度意外上行嗎？</w:t>
      </w:r>
    </w:p>
    <w:p>
      <w:pPr>
        <w:spacing w:before="120" w:after="120" w:line="288" w:lineRule="auto"/>
        <w:ind w:left="0"/>
        <w:jc w:val="center"/>
      </w:pPr>
      <w:r>
        <w:drawing>
          <wp:inline distT="0" distR="0" distB="0" distL="0">
            <wp:extent cx="5257800" cy="25431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5"/>
                    <a:stretch>
                      <a:fillRect/>
                    </a:stretch>
                  </pic:blipFill>
                  <pic:spPr>
                    <a:xfrm>
                      <a:off x="0" y="0"/>
                      <a:ext cx="5257800" cy="2543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來源：摩根大通</w:t>
        <w:br/>
      </w:r>
    </w:p>
    <w:p>
      <w:pPr>
        <w:spacing w:before="120" w:after="120" w:line="288" w:lineRule="auto"/>
        <w:ind w:left="0"/>
        <w:jc w:val="left"/>
      </w:pPr>
      <w:r>
        <w:rPr>
          <w:rFonts w:eastAsia="等线" w:ascii="Arial" w:cs="Arial" w:hAnsi="Arial"/>
          <w:sz w:val="22"/>
        </w:rPr>
        <w:t>市場內在結構同樣強勁，所有主要宏觀資產類別隱含波動率均跌至階段性新低，國債領跌。</w:t>
      </w:r>
    </w:p>
    <w:p>
      <w:pPr>
        <w:spacing w:before="120" w:after="120" w:line="288" w:lineRule="auto"/>
        <w:ind w:left="0"/>
        <w:jc w:val="left"/>
      </w:pPr>
      <w:r>
        <w:rPr>
          <w:rFonts w:eastAsia="等线" w:ascii="Arial" w:cs="Arial" w:hAnsi="Arial"/>
          <w:sz w:val="22"/>
        </w:rPr>
        <w:t>标题：跨資產波動率（含加密貨幣）上周全面崩潰，風險信號悉數轉綠</w:t>
      </w:r>
    </w:p>
    <w:p>
      <w:pPr>
        <w:spacing w:before="120" w:after="120" w:line="288" w:lineRule="auto"/>
        <w:ind w:left="0"/>
        <w:jc w:val="center"/>
      </w:pPr>
      <w:r>
        <w:drawing>
          <wp:inline distT="0" distR="0" distB="0" distL="0">
            <wp:extent cx="5257800" cy="24765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6"/>
                    <a:stretch>
                      <a:fillRect/>
                    </a:stretch>
                  </pic:blipFill>
                  <pic:spPr>
                    <a:xfrm>
                      <a:off x="0" y="0"/>
                      <a:ext cx="5257800" cy="2476500"/>
                    </a:xfrm>
                    <a:prstGeom prst="rect">
                      <a:avLst/>
                    </a:prstGeom>
                  </pic:spPr>
                </pic:pic>
              </a:graphicData>
            </a:graphic>
          </wp:inline>
        </w:drawing>
      </w:r>
    </w:p>
    <w:p>
      <w:pPr>
        <w:spacing w:before="120" w:after="120" w:line="288" w:lineRule="auto"/>
        <w:ind w:left="0"/>
        <w:jc w:val="center"/>
      </w:pPr>
      <w:r>
        <w:drawing>
          <wp:inline distT="0" distR="0" distB="0" distL="0">
            <wp:extent cx="5257800" cy="14573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7"/>
                    <a:stretch>
                      <a:fillRect/>
                    </a:stretch>
                  </pic:blipFill>
                  <pic:spPr>
                    <a:xfrm>
                      <a:off x="0" y="0"/>
                      <a:ext cx="5257800" cy="14573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來源：彭博、SignalPlus</w:t>
      </w:r>
    </w:p>
    <w:p>
      <w:pPr>
        <w:spacing w:before="120" w:after="120" w:line="288" w:lineRule="auto"/>
        <w:ind w:left="0"/>
        <w:jc w:val="left"/>
      </w:pPr>
    </w:p>
    <w:p>
      <w:pPr>
        <w:spacing w:before="120" w:after="120" w:line="288" w:lineRule="auto"/>
        <w:ind w:left="0"/>
        <w:jc w:val="left"/>
      </w:pPr>
      <w:r>
        <w:rPr>
          <w:rFonts w:eastAsia="等线" w:ascii="Arial" w:cs="Arial" w:hAnsi="Arial"/>
          <w:sz w:val="22"/>
        </w:rPr>
        <w:t>標普500期權成交量較12個月均值高出20%以上，賣方經銷商資料顯示散戶交易量占比約12%。</w:t>
      </w:r>
    </w:p>
    <w:p>
      <w:pPr>
        <w:spacing w:before="120" w:after="120" w:line="288" w:lineRule="auto"/>
        <w:ind w:left="0"/>
        <w:jc w:val="left"/>
      </w:pPr>
      <w:r>
        <w:rPr>
          <w:rFonts w:eastAsia="等线" w:ascii="Arial" w:cs="Arial" w:hAnsi="Arial"/>
          <w:sz w:val="22"/>
        </w:rPr>
        <w:t>标题：期權市場極度活躍，成交量遠超趨勢水準</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87"/>
        <w:gridCol w:w="4092"/>
      </w:tblGrid>
      <w:tr>
        <w:tc>
          <w:tcPr>
            <w:tcW w:w="4187" w:type="dxa"/>
            <w:tcMar>
              <w:top w:type="dxa" w:w="60"/>
              <w:left w:type="dxa" w:w="120"/>
              <w:bottom w:type="dxa" w:w="30"/>
              <w:right w:type="dxa" w:w="120"/>
            </w:tcMar>
          </w:tcPr>
          <w:p>
            <w:pPr>
              <w:spacing w:before="120" w:after="120" w:line="288" w:lineRule="auto"/>
              <w:ind w:left="0"/>
              <w:jc w:val="center"/>
            </w:pPr>
            <w:r>
              <w:drawing>
                <wp:inline distT="0" distR="0" distB="0" distL="0">
                  <wp:extent cx="2505075" cy="18669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8"/>
                          <a:stretch>
                            <a:fillRect/>
                          </a:stretch>
                        </pic:blipFill>
                        <pic:spPr>
                          <a:xfrm>
                            <a:off x="0" y="0"/>
                            <a:ext cx="2505075" cy="1866900"/>
                          </a:xfrm>
                          <a:prstGeom prst="rect">
                            <a:avLst/>
                          </a:prstGeom>
                        </pic:spPr>
                      </pic:pic>
                    </a:graphicData>
                  </a:graphic>
                </wp:inline>
              </w:drawing>
            </w:r>
          </w:p>
        </w:tc>
        <w:tc>
          <w:tcPr>
            <w:tcW w:w="4092" w:type="dxa"/>
            <w:tcMar>
              <w:top w:type="dxa" w:w="60"/>
              <w:left w:type="dxa" w:w="120"/>
              <w:bottom w:type="dxa" w:w="30"/>
              <w:right w:type="dxa" w:w="120"/>
            </w:tcMar>
          </w:tcPr>
          <w:p>
            <w:pPr>
              <w:spacing w:before="120" w:after="120" w:line="288" w:lineRule="auto"/>
              <w:ind w:left="0"/>
              <w:jc w:val="center"/>
            </w:pPr>
            <w:r>
              <w:drawing>
                <wp:inline distT="0" distR="0" distB="0" distL="0">
                  <wp:extent cx="2438400" cy="185737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19"/>
                          <a:stretch>
                            <a:fillRect/>
                          </a:stretch>
                        </pic:blipFill>
                        <pic:spPr>
                          <a:xfrm>
                            <a:off x="0" y="0"/>
                            <a:ext cx="2438400" cy="1857375"/>
                          </a:xfrm>
                          <a:prstGeom prst="rect">
                            <a:avLst/>
                          </a:prstGeom>
                        </pic:spPr>
                      </pic:pic>
                    </a:graphicData>
                  </a:graphic>
                </wp:inline>
              </w:drawing>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标题：本輪反彈中散戶參與度持續強勁</w:t>
      </w:r>
    </w:p>
    <w:p>
      <w:pPr>
        <w:spacing w:before="120" w:after="120" w:line="288" w:lineRule="auto"/>
        <w:ind w:left="0"/>
        <w:jc w:val="center"/>
      </w:pPr>
      <w:r>
        <w:drawing>
          <wp:inline distT="0" distR="0" distB="0" distL="0">
            <wp:extent cx="5257800" cy="396240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0"/>
                    <a:stretch>
                      <a:fillRect/>
                    </a:stretch>
                  </pic:blipFill>
                  <pic:spPr>
                    <a:xfrm>
                      <a:off x="0" y="0"/>
                      <a:ext cx="5257800" cy="39624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股票持倉全面增加，美國家庭已成為美股主要持有者，並從本輪上漲中獲利頗豐。</w:t>
      </w:r>
    </w:p>
    <w:p>
      <w:pPr>
        <w:spacing w:before="120" w:after="120" w:line="288" w:lineRule="auto"/>
        <w:ind w:left="0"/>
        <w:jc w:val="left"/>
      </w:pPr>
      <w:r>
        <w:rPr>
          <w:rFonts w:eastAsia="等线" w:ascii="Arial" w:cs="Arial" w:hAnsi="Arial"/>
          <w:sz w:val="22"/>
        </w:rPr>
        <w:t>标题：誰才是"聰明錢"？美國家庭持續擴大美股主導性持倉</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5811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1"/>
                          <a:stretch>
                            <a:fillRect/>
                          </a:stretch>
                        </pic:blipFill>
                        <pic:spPr>
                          <a:xfrm>
                            <a:off x="0" y="0"/>
                            <a:ext cx="2476500" cy="158115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58115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2"/>
                          <a:stretch>
                            <a:fillRect/>
                          </a:stretch>
                        </pic:blipFill>
                        <pic:spPr>
                          <a:xfrm>
                            <a:off x="0" y="0"/>
                            <a:ext cx="2476500" cy="1581150"/>
                          </a:xfrm>
                          <a:prstGeom prst="rect">
                            <a:avLst/>
                          </a:prstGeom>
                        </pic:spPr>
                      </pic:pic>
                    </a:graphicData>
                  </a:graphic>
                </wp:inline>
              </w:drawing>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全球市場情緒同樣升溫，恒生指數攀升至四年高位，臺灣加權指數連續數周創歷史新高。黃金成為本月迄今表現最佳資產，宏觀對沖基金緊隨其後，無論從何種維度審視，所有風險資產確實呈現普漲格局。</w:t>
      </w:r>
    </w:p>
    <w:p>
      <w:pPr>
        <w:spacing w:before="120" w:after="120" w:line="288" w:lineRule="auto"/>
        <w:ind w:left="0"/>
        <w:jc w:val="left"/>
      </w:pPr>
      <w:r>
        <w:rPr>
          <w:rFonts w:eastAsia="等线" w:ascii="Arial" w:cs="Arial" w:hAnsi="Arial"/>
          <w:sz w:val="22"/>
        </w:rPr>
        <w:t>标题：全線攀升——九月幾乎所有資產價格騰飛</w:t>
      </w:r>
    </w:p>
    <w:p>
      <w:pPr>
        <w:spacing w:before="120" w:after="120" w:line="288" w:lineRule="auto"/>
        <w:ind w:left="0"/>
        <w:jc w:val="center"/>
      </w:pPr>
      <w:r>
        <w:drawing>
          <wp:inline distT="0" distR="0" distB="0" distL="0">
            <wp:extent cx="5257800" cy="232410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3"/>
                    <a:stretch>
                      <a:fillRect/>
                    </a:stretch>
                  </pic:blipFill>
                  <pic:spPr>
                    <a:xfrm>
                      <a:off x="0" y="0"/>
                      <a:ext cx="5257800" cy="2324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來源：花旗集團</w:t>
      </w:r>
    </w:p>
    <w:p>
      <w:pPr>
        <w:spacing w:before="120" w:after="120" w:line="288" w:lineRule="auto"/>
        <w:ind w:left="0"/>
        <w:jc w:val="left"/>
      </w:pPr>
    </w:p>
    <w:p>
      <w:pPr>
        <w:spacing w:before="120" w:after="120" w:line="288" w:lineRule="auto"/>
        <w:ind w:left="0"/>
        <w:jc w:val="left"/>
      </w:pPr>
      <w:r>
        <w:rPr>
          <w:rFonts w:eastAsia="等线" w:ascii="Arial" w:cs="Arial" w:hAnsi="Arial"/>
          <w:sz w:val="22"/>
        </w:rPr>
        <w:t>狂熱氛圍中，企業回購正以驚人速度推進：前八個月回購規模達1.4萬億美元，已刷新歷史紀錄。較2024年同期增長38%（當年本身已創紀錄），漲勢堪稱烈火烹油。</w:t>
      </w:r>
    </w:p>
    <w:p>
      <w:pPr>
        <w:spacing w:before="120" w:after="120" w:line="288" w:lineRule="auto"/>
        <w:ind w:left="0"/>
        <w:jc w:val="left"/>
      </w:pPr>
      <w:r>
        <w:rPr>
          <w:rFonts w:eastAsia="等线" w:ascii="Arial" w:cs="Arial" w:hAnsi="Arial"/>
          <w:sz w:val="22"/>
        </w:rPr>
        <w:t>标题：企業回購如火如荼，同比增速較去年紀錄水準高出約40%</w:t>
      </w:r>
    </w:p>
    <w:p>
      <w:pPr>
        <w:spacing w:before="120" w:after="120" w:line="288" w:lineRule="auto"/>
        <w:ind w:left="0"/>
        <w:jc w:val="center"/>
      </w:pPr>
      <w:r>
        <w:drawing>
          <wp:inline distT="0" distR="0" distB="0" distL="0">
            <wp:extent cx="5257800" cy="432435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4"/>
                    <a:stretch>
                      <a:fillRect/>
                    </a:stretch>
                  </pic:blipFill>
                  <pic:spPr>
                    <a:xfrm>
                      <a:off x="0" y="0"/>
                      <a:ext cx="5257800" cy="43243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展望後市，焦點將轉向FOMC會議。但由於市場普遍預期美聯儲在傑克遜霍爾會議後將持續支援風險情緒，交易員預計會議難現意外。花旗資料顯示股權期權隱含會議日波動幅度約72基點，低於84基點的歷史均值。市場可能需要從其他領域尋找鷹派意外。</w:t>
      </w:r>
    </w:p>
    <w:p>
      <w:pPr>
        <w:spacing w:before="120" w:after="120" w:line="288" w:lineRule="auto"/>
        <w:ind w:left="0"/>
        <w:jc w:val="left"/>
      </w:pPr>
      <w:r>
        <w:rPr>
          <w:rFonts w:eastAsia="等线" w:ascii="Arial" w:cs="Arial" w:hAnsi="Arial"/>
          <w:sz w:val="22"/>
        </w:rPr>
        <w:t>标题：市場對本周FOMC會議預期平穩，美聯儲已明確鴿派傾向</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050"/>
        <w:gridCol w:w="4229"/>
      </w:tblGrid>
      <w:tr>
        <w:tc>
          <w:tcPr>
            <w:tcW w:w="4050" w:type="dxa"/>
            <w:tcMar>
              <w:top w:type="dxa" w:w="60"/>
              <w:left w:type="dxa" w:w="120"/>
              <w:bottom w:type="dxa" w:w="30"/>
              <w:right w:type="dxa" w:w="120"/>
            </w:tcMar>
          </w:tcPr>
          <w:p>
            <w:pPr>
              <w:spacing w:before="120" w:after="120" w:line="288" w:lineRule="auto"/>
              <w:ind w:left="0"/>
              <w:jc w:val="center"/>
            </w:pPr>
            <w:r>
              <w:drawing>
                <wp:inline distT="0" distR="0" distB="0" distL="0">
                  <wp:extent cx="2419350" cy="180975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5"/>
                          <a:stretch>
                            <a:fillRect/>
                          </a:stretch>
                        </pic:blipFill>
                        <pic:spPr>
                          <a:xfrm>
                            <a:off x="0" y="0"/>
                            <a:ext cx="2419350" cy="1809750"/>
                          </a:xfrm>
                          <a:prstGeom prst="rect">
                            <a:avLst/>
                          </a:prstGeom>
                        </pic:spPr>
                      </pic:pic>
                    </a:graphicData>
                  </a:graphic>
                </wp:inline>
              </w:drawing>
            </w:r>
          </w:p>
        </w:tc>
        <w:tc>
          <w:tcPr>
            <w:tcW w:w="4229" w:type="dxa"/>
            <w:tcMar>
              <w:top w:type="dxa" w:w="60"/>
              <w:left w:type="dxa" w:w="120"/>
              <w:bottom w:type="dxa" w:w="30"/>
              <w:right w:type="dxa" w:w="120"/>
            </w:tcMar>
          </w:tcPr>
          <w:p>
            <w:pPr>
              <w:spacing w:before="120" w:after="120" w:line="288" w:lineRule="auto"/>
              <w:ind w:left="0"/>
              <w:jc w:val="center"/>
            </w:pPr>
            <w:r>
              <w:drawing>
                <wp:inline distT="0" distR="0" distB="0" distL="0">
                  <wp:extent cx="2524125" cy="181927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6"/>
                          <a:stretch>
                            <a:fillRect/>
                          </a:stretch>
                        </pic:blipFill>
                        <pic:spPr>
                          <a:xfrm>
                            <a:off x="0" y="0"/>
                            <a:ext cx="2524125" cy="1819275"/>
                          </a:xfrm>
                          <a:prstGeom prst="rect">
                            <a:avLst/>
                          </a:prstGeom>
                        </pic:spPr>
                      </pic:pic>
                    </a:graphicData>
                  </a:graphic>
                </wp:inline>
              </w:drawing>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加密貨幣過去一周反彈，比特幣回補11-11.6萬美元價格缺口，但獲利了結盤仍壓制上行空間，整體買盤動能放緩。BTC ETF在經歷1.5個月資金流入低迷後上周大幅回升（約23億美元），而ETH流入動能自夏末FOMO情緒後顯著減速。</w:t>
      </w:r>
    </w:p>
    <w:p>
      <w:pPr>
        <w:spacing w:before="120" w:after="120" w:line="288" w:lineRule="auto"/>
        <w:ind w:left="0"/>
        <w:jc w:val="left"/>
      </w:pPr>
      <w:r>
        <w:rPr>
          <w:rFonts w:eastAsia="等线" w:ascii="Arial" w:cs="Arial" w:hAnsi="Arial"/>
          <w:sz w:val="22"/>
        </w:rPr>
        <w:t>标题：BTC ETF資金流入在經過1.5個月低迷後復蘇</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317"/>
        <w:gridCol w:w="3962"/>
      </w:tblGrid>
      <w:tr>
        <w:tc>
          <w:tcPr>
            <w:tcW w:w="4317" w:type="dxa"/>
            <w:tcMar>
              <w:top w:type="dxa" w:w="60"/>
              <w:left w:type="dxa" w:w="120"/>
              <w:bottom w:type="dxa" w:w="30"/>
              <w:right w:type="dxa" w:w="120"/>
            </w:tcMar>
          </w:tcPr>
          <w:p>
            <w:pPr>
              <w:spacing w:before="120" w:after="120" w:line="288" w:lineRule="auto"/>
              <w:ind w:left="0"/>
              <w:jc w:val="center"/>
            </w:pPr>
            <w:r>
              <w:drawing>
                <wp:inline distT="0" distR="0" distB="0" distL="0">
                  <wp:extent cx="2581275" cy="249555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7"/>
                          <a:stretch>
                            <a:fillRect/>
                          </a:stretch>
                        </pic:blipFill>
                        <pic:spPr>
                          <a:xfrm>
                            <a:off x="0" y="0"/>
                            <a:ext cx="2581275" cy="2495550"/>
                          </a:xfrm>
                          <a:prstGeom prst="rect">
                            <a:avLst/>
                          </a:prstGeom>
                        </pic:spPr>
                      </pic:pic>
                    </a:graphicData>
                  </a:graphic>
                </wp:inline>
              </w:drawing>
            </w:r>
          </w:p>
        </w:tc>
        <w:tc>
          <w:tcPr>
            <w:tcW w:w="3962" w:type="dxa"/>
            <w:tcMar>
              <w:top w:type="dxa" w:w="60"/>
              <w:left w:type="dxa" w:w="120"/>
              <w:bottom w:type="dxa" w:w="30"/>
              <w:right w:type="dxa" w:w="120"/>
            </w:tcMar>
          </w:tcPr>
          <w:p>
            <w:pPr>
              <w:spacing w:before="120" w:after="120" w:line="288" w:lineRule="auto"/>
              <w:ind w:left="0"/>
              <w:jc w:val="center"/>
            </w:pPr>
            <w:r>
              <w:drawing>
                <wp:inline distT="0" distR="0" distB="0" distL="0">
                  <wp:extent cx="2362200" cy="2486025"/>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28"/>
                          <a:stretch>
                            <a:fillRect/>
                          </a:stretch>
                        </pic:blipFill>
                        <pic:spPr>
                          <a:xfrm>
                            <a:off x="0" y="0"/>
                            <a:ext cx="2362200" cy="248602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來源：SosoValue</w:t>
      </w:r>
    </w:p>
    <w:p>
      <w:pPr>
        <w:spacing w:before="120" w:after="120" w:line="288" w:lineRule="auto"/>
        <w:ind w:left="0"/>
        <w:jc w:val="left"/>
      </w:pPr>
    </w:p>
    <w:p>
      <w:pPr>
        <w:spacing w:before="120" w:after="120" w:line="288" w:lineRule="auto"/>
        <w:ind w:left="0"/>
        <w:jc w:val="left"/>
      </w:pPr>
      <w:r>
        <w:rPr>
          <w:rFonts w:eastAsia="等线" w:ascii="Arial" w:cs="Arial" w:hAnsi="Arial"/>
          <w:sz w:val="22"/>
        </w:rPr>
        <w:t>令人失望的是，標普500指數上周拒絕將MicroStrategy納入成分股，儘管其技術上符合所有准入標準。這表明遴選委員會確實擁有自由裁量權，並拒絕將數字資產信託（DAT）納入指數。</w:t>
      </w:r>
    </w:p>
    <w:p>
      <w:pPr>
        <w:spacing w:before="120" w:after="120" w:line="288" w:lineRule="auto"/>
        <w:ind w:left="0"/>
        <w:jc w:val="left"/>
      </w:pPr>
      <w:r>
        <w:rPr>
          <w:rFonts w:eastAsia="等线" w:ascii="Arial" w:cs="Arial" w:hAnsi="Arial"/>
          <w:sz w:val="22"/>
        </w:rPr>
        <w:t>這對短期國債動能無疑是打擊——其商業模式可持續性正受質疑，MSTR及整個DAT板塊表現遜於BTC，資產淨值溢價持續收縮（多數情況下折價擴大）。預計短期內該趨勢將持續，投資者將重新關注實際運營業務的加密公司或礦企，希望疲弱動能不會引發下行凸性風險。</w:t>
      </w:r>
    </w:p>
    <w:p>
      <w:pPr>
        <w:spacing w:before="120" w:after="120" w:line="288" w:lineRule="auto"/>
        <w:ind w:left="0"/>
        <w:jc w:val="left"/>
      </w:pPr>
      <w:r>
        <w:rPr>
          <w:rFonts w:eastAsia="等线" w:ascii="Arial" w:cs="Arial" w:hAnsi="Arial"/>
          <w:sz w:val="22"/>
        </w:rPr>
        <w:t>标题：MSTR及DAT表現遜於BTC，資產淨值溢價持續收縮</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3867"/>
        <w:gridCol w:w="4412"/>
      </w:tblGrid>
      <w:tr>
        <w:tc>
          <w:tcPr>
            <w:tcW w:w="3867" w:type="dxa"/>
            <w:tcMar>
              <w:top w:type="dxa" w:w="60"/>
              <w:left w:type="dxa" w:w="120"/>
              <w:bottom w:type="dxa" w:w="30"/>
              <w:right w:type="dxa" w:w="120"/>
            </w:tcMar>
          </w:tcPr>
          <w:p>
            <w:pPr>
              <w:spacing w:before="120" w:after="120" w:line="288" w:lineRule="auto"/>
              <w:ind w:left="0"/>
              <w:jc w:val="center"/>
            </w:pPr>
            <w:r>
              <w:drawing>
                <wp:inline distT="0" distR="0" distB="0" distL="0">
                  <wp:extent cx="2295525" cy="180975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29"/>
                          <a:stretch>
                            <a:fillRect/>
                          </a:stretch>
                        </pic:blipFill>
                        <pic:spPr>
                          <a:xfrm>
                            <a:off x="0" y="0"/>
                            <a:ext cx="2295525" cy="1809750"/>
                          </a:xfrm>
                          <a:prstGeom prst="rect">
                            <a:avLst/>
                          </a:prstGeom>
                        </pic:spPr>
                      </pic:pic>
                    </a:graphicData>
                  </a:graphic>
                </wp:inline>
              </w:drawing>
            </w:r>
          </w:p>
        </w:tc>
        <w:tc>
          <w:tcPr>
            <w:tcW w:w="4412" w:type="dxa"/>
            <w:tcMar>
              <w:top w:type="dxa" w:w="60"/>
              <w:left w:type="dxa" w:w="120"/>
              <w:bottom w:type="dxa" w:w="30"/>
              <w:right w:type="dxa" w:w="120"/>
            </w:tcMar>
          </w:tcPr>
          <w:p>
            <w:pPr>
              <w:spacing w:before="120" w:after="120" w:line="288" w:lineRule="auto"/>
              <w:ind w:left="0"/>
              <w:jc w:val="center"/>
            </w:pPr>
            <w:r>
              <w:drawing>
                <wp:inline distT="0" distR="0" distB="0" distL="0">
                  <wp:extent cx="2647950" cy="181927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0"/>
                          <a:stretch>
                            <a:fillRect/>
                          </a:stretch>
                        </pic:blipFill>
                        <pic:spPr>
                          <a:xfrm>
                            <a:off x="0" y="0"/>
                            <a:ext cx="2647950" cy="181927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來源：摩根大通、Blockworks</w:t>
      </w:r>
    </w:p>
    <w:p>
      <w:pPr>
        <w:spacing w:before="120" w:after="120" w:line="288" w:lineRule="auto"/>
        <w:ind w:left="0"/>
        <w:jc w:val="left"/>
      </w:pPr>
    </w:p>
    <w:p>
      <w:pPr>
        <w:spacing w:before="120" w:after="120" w:line="288" w:lineRule="auto"/>
        <w:ind w:left="0"/>
        <w:jc w:val="left"/>
      </w:pPr>
      <w:r>
        <w:rPr>
          <w:rFonts w:eastAsia="等线" w:ascii="Arial" w:cs="Arial" w:hAnsi="Arial"/>
          <w:sz w:val="22"/>
        </w:rPr>
        <w:t>當前強勁的宏觀情緒應繼續支撐加密價格，但預計短期表現將遜於整體股票及風險資產。祝FOMC會議期間交易順利！</w:t>
      </w:r>
    </w:p>
    <w:sectPr>
      <w:footerReference w:type="default" r:id="rId3"/>
      <w:headerReference w:type="default" r:id="rId3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17" Target="media/image14.png" Type="http://schemas.openxmlformats.org/officeDocument/2006/relationships/image"/><Relationship Id="rId18" Target="media/image15.png" Type="http://schemas.openxmlformats.org/officeDocument/2006/relationships/image"/><Relationship Id="rId19" Target="media/image16.png" Type="http://schemas.openxmlformats.org/officeDocument/2006/relationships/image"/><Relationship Id="rId2" Target="styles.xml" Type="http://schemas.openxmlformats.org/officeDocument/2006/relationships/styles"/><Relationship Id="rId20" Target="media/image17.png" Type="http://schemas.openxmlformats.org/officeDocument/2006/relationships/image"/><Relationship Id="rId21" Target="media/image18.png" Type="http://schemas.openxmlformats.org/officeDocument/2006/relationships/image"/><Relationship Id="rId22" Target="media/image19.png" Type="http://schemas.openxmlformats.org/officeDocument/2006/relationships/image"/><Relationship Id="rId23" Target="media/image20.png" Type="http://schemas.openxmlformats.org/officeDocument/2006/relationships/image"/><Relationship Id="rId24" Target="media/image21.png" Type="http://schemas.openxmlformats.org/officeDocument/2006/relationships/image"/><Relationship Id="rId25" Target="media/image22.png" Type="http://schemas.openxmlformats.org/officeDocument/2006/relationships/image"/><Relationship Id="rId26" Target="media/image23.png" Type="http://schemas.openxmlformats.org/officeDocument/2006/relationships/image"/><Relationship Id="rId27" Target="media/image24.png" Type="http://schemas.openxmlformats.org/officeDocument/2006/relationships/image"/><Relationship Id="rId28" Target="media/image25.png" Type="http://schemas.openxmlformats.org/officeDocument/2006/relationships/image"/><Relationship Id="rId29" Target="media/image26.png" Type="http://schemas.openxmlformats.org/officeDocument/2006/relationships/image"/><Relationship Id="rId3" Target="footer1.xml" Type="http://schemas.openxmlformats.org/officeDocument/2006/relationships/footer"/><Relationship Id="rId30" Target="media/image27.png" Type="http://schemas.openxmlformats.org/officeDocument/2006/relationships/image"/><Relationship Id="rId31" Target="header1.xml" Type="http://schemas.openxmlformats.org/officeDocument/2006/relationships/head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2025-09-20T07:10:12Z</dcterms:created>
  <dc:creator>Apache POI</dc:creator>
</cp:coreProperties>
</file>