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</w:pPr>
      <w:r>
        <w:t>Agent Architect Pro — API &amp; Interface Contract Pack</w:t>
      </w:r>
    </w:p>
    <w:p>
      <w:pPr>
        <w:pStyle w:val="SubtitleCustom"/>
      </w:pPr>
      <w:r>
        <w:t>Detailed contract pack for the recommended production architecture: request/response schemas, event contracts, identity, error handling, and compatibility rules.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EAF2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color w:val="1F4E79"/>
                <w:sz w:val="19"/>
              </w:rPr>
              <w:t>Target audience: platform architects, backend engineers, ML engineers, UI engineers, QA, and DevOps. This pack is implementation-facing and aligned to the lifecycle Brief → Design → Evaluate → Deploy → Monitor → Improve.</w:t>
            </w:r>
          </w:p>
        </w:tc>
      </w:tr>
    </w:tbl>
    <w:p/>
    <w:p>
      <w:pPr>
        <w:pStyle w:val="HeadingBlue"/>
      </w:pPr>
      <w:r>
        <w:t>1. Purpose and scope</w:t>
      </w:r>
    </w:p>
    <w:p>
      <w:r>
        <w:t>This document defines the interface contracts required to implement Agent Architect Pro as a governed multi-agent platform. It covers synchronous APIs, asynchronous events, identity and security envelopes, versioning, validation rules, idempotency expectations, and baseline service-level assumptions.</w:t>
      </w:r>
    </w:p>
    <w:p>
      <w:pPr>
        <w:ind w:left="259" w:hanging="173"/>
      </w:pPr>
      <w:r>
        <w:t>• The platform must support requirement intake, planning, retrieval, evaluation, deployment, observability, and continuous improvement.</w:t>
      </w:r>
    </w:p>
    <w:p>
      <w:pPr>
        <w:ind w:left="259" w:hanging="173"/>
      </w:pPr>
      <w:r>
        <w:t>• The primary control-plane roles are Supervisor, Planner, Release Manager, and Identity/Policy services.</w:t>
      </w:r>
    </w:p>
    <w:p>
      <w:pPr>
        <w:ind w:left="259" w:hanging="173"/>
      </w:pPr>
      <w:r>
        <w:t>• The primary execution-plane roles are Swarm Orchestrator, Runtime workers, Tool Broker, Model Gateway, and Result Aggregation.</w:t>
      </w:r>
    </w:p>
    <w:p>
      <w:pPr>
        <w:pStyle w:val="HeadingBlue"/>
      </w:pPr>
      <w:r>
        <w:t>2. Canonical design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1800"/>
        <w:gridCol w:w="7848"/>
      </w:tblGrid>
      <w:tr>
        <w:tc>
          <w:tcPr>
            <w:tcW w:type="dxa" w:w="5040"/>
            <w:shd w:fill="1F4E79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5040"/>
            <w:shd w:fill="1F4E79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Contract decision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API style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JSON over HTTPS for public/service APIs. Internal high-throughput service-to-service calls may use gRPC behind the same logical contract.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Versioning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URI major versioning: /v1/… . Non-breaking additive changes are allowed within v1. Breaking changes require /v2.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Authentication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All privileged calls require a bearer token. Runtime workers use short-lived workload tokens issued by the Token Service.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Idempotency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POST operations that create or trigger state transitions must accept Idempotency-Key or client_request_id.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Tracing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Every request and event must carry trace_id, run_id when available, and task_attempt_id when execution-related.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Error model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All services return a standard error envelope with code, message, retryability, correlation id, and optional field violations.</w:t>
            </w:r>
          </w:p>
        </w:tc>
      </w:tr>
    </w:tbl>
    <w:p/>
    <w:p>
      <w:pPr>
        <w:pStyle w:val="HeadingBlue"/>
      </w:pPr>
      <w:r>
        <w:t>3. Common envelopes</w:t>
      </w:r>
    </w:p>
    <w:p>
      <w:pPr>
        <w:pStyle w:val="HeadingBlue2"/>
      </w:pPr>
      <w:r>
        <w:t>3.1 Standard request metadata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10080"/>
            <w:shd w:fill="F6F9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sz w:val="17"/>
              </w:rPr>
              <w:t>{</w:t>
              <w:br/>
              <w:t xml:space="preserve">  "request_meta": {</w:t>
              <w:br/>
              <w:t xml:space="preserve">    "tenant_id": "tenant-acme",</w:t>
              <w:br/>
              <w:t xml:space="preserve">    "trace_id": "trc_01H...",</w:t>
              <w:br/>
              <w:t xml:space="preserve">    "client_request_id": "req_123",</w:t>
              <w:br/>
              <w:t xml:space="preserve">    "actor_id": "usr_456",</w:t>
              <w:br/>
              <w:t xml:space="preserve">    "policy_profile": "enterprise-strict",</w:t>
              <w:br/>
              <w:t xml:space="preserve">    "requested_by_role": "builder"</w:t>
              <w:br/>
              <w:t xml:space="preserve">  }</w:t>
              <w:br/>
              <w:t>}</w:t>
            </w:r>
          </w:p>
        </w:tc>
      </w:tr>
    </w:tbl>
    <w:p/>
    <w:p>
      <w:pPr>
        <w:pStyle w:val="HeadingBlue2"/>
      </w:pPr>
      <w:r>
        <w:t>3.2 Standard success envelope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10080"/>
            <w:shd w:fill="F6F9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sz w:val="17"/>
              </w:rPr>
              <w:t>{</w:t>
              <w:br/>
              <w:t xml:space="preserve">  "status": "ok",</w:t>
              <w:br/>
              <w:t xml:space="preserve">  "data": { },</w:t>
              <w:br/>
              <w:t xml:space="preserve">  "meta": {</w:t>
              <w:br/>
              <w:t xml:space="preserve">    "trace_id": "trc_01H...",</w:t>
              <w:br/>
              <w:t xml:space="preserve">    "version": "v1",</w:t>
              <w:br/>
              <w:t xml:space="preserve">    "generated_at": "2026-03-22T10:15:00Z"</w:t>
              <w:br/>
              <w:t xml:space="preserve">  }</w:t>
              <w:br/>
              <w:t>}</w:t>
            </w:r>
          </w:p>
        </w:tc>
      </w:tr>
    </w:tbl>
    <w:p/>
    <w:p>
      <w:pPr>
        <w:pStyle w:val="HeadingBlue2"/>
      </w:pPr>
      <w:r>
        <w:t>3.3 Standard error envelope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10080"/>
            <w:shd w:fill="F6F9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sz w:val="17"/>
              </w:rPr>
              <w:t>{</w:t>
              <w:br/>
              <w:t xml:space="preserve">  "status": "error",</w:t>
              <w:br/>
              <w:t xml:space="preserve">  "error": {</w:t>
              <w:br/>
              <w:t xml:space="preserve">    "code": "POLICY_VIOLATION",</w:t>
              <w:br/>
              <w:t xml:space="preserve">    "message": "Tool call blocked by policy.",</w:t>
              <w:br/>
              <w:t xml:space="preserve">    "retryable": false,</w:t>
              <w:br/>
              <w:t xml:space="preserve">    "correlation_id": "corr_789",</w:t>
              <w:br/>
              <w:t xml:space="preserve">    "details": {</w:t>
              <w:br/>
              <w:t xml:space="preserve">      "policy_rule": "TOOL.RESTRICTED.NETWORK",</w:t>
              <w:br/>
              <w:t xml:space="preserve">      "violations": [</w:t>
              <w:br/>
              <w:t xml:space="preserve">        {"field": "tool_name", "reason": "blocked"}</w:t>
              <w:br/>
              <w:t xml:space="preserve">      ]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>
      <w:pPr>
        <w:pStyle w:val="HeadingBlue"/>
      </w:pPr>
      <w:r>
        <w:t>4. Identity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016"/>
        <w:gridCol w:w="4896"/>
        <w:gridCol w:w="2736"/>
      </w:tblGrid>
      <w:tr>
        <w:tc>
          <w:tcPr>
            <w:tcW w:type="dxa" w:w="3360"/>
            <w:shd w:fill="1F4E79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Identifier</w:t>
            </w:r>
          </w:p>
        </w:tc>
        <w:tc>
          <w:tcPr>
            <w:tcW w:type="dxa" w:w="3360"/>
            <w:shd w:fill="1F4E79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360"/>
            <w:shd w:fill="1F4E79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Issuer / owner</w:t>
            </w:r>
          </w:p>
        </w:tc>
      </w:tr>
      <w:tr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agent_spec_id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Logical design definition for an agent family.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Design/build pipeline</w:t>
            </w:r>
          </w:p>
        </w:tc>
      </w:tr>
      <w:tr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agent_version_id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Immutable released implementation of that design.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Release Manager</w:t>
            </w:r>
          </w:p>
        </w:tc>
      </w:tr>
      <w:tr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runtime_instance_id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Concrete worker/container executing tasks.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Runtime Manager</w:t>
            </w:r>
          </w:p>
        </w:tc>
      </w:tr>
      <w:tr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run_id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End-to-end execution of one user/API request.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task_attempt_id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A single scheduled execution attempt for a task.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Swarm Orchestrator</w:t>
            </w:r>
          </w:p>
        </w:tc>
      </w:tr>
    </w:tbl>
    <w:p/>
    <w:p>
      <w:pPr>
        <w:pStyle w:val="HeadingBlue"/>
      </w:pPr>
      <w:r>
        <w:t>5. Synchronous API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1440"/>
        <w:gridCol w:w="3168"/>
        <w:gridCol w:w="5184"/>
      </w:tblGrid>
      <w:tr>
        <w:tc>
          <w:tcPr>
            <w:tcW w:type="dxa" w:w="3360"/>
            <w:shd w:fill="1F4E79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3360"/>
            <w:shd w:fill="1F4E79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360"/>
            <w:shd w:fill="1F4E79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Supervisor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POST /v1/runs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Start a governed run from a user or system request.</w:t>
            </w:r>
          </w:p>
        </w:tc>
      </w:tr>
      <w:tr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Supervisor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GET /v1/runs/{run_id}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Inspect run state, milestones, and summary.</w:t>
            </w:r>
          </w:p>
        </w:tc>
      </w:tr>
      <w:tr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Supervisor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POST /v1/runs/{run_id}/cancel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Cancel an in-flight run.</w:t>
            </w:r>
          </w:p>
        </w:tc>
      </w:tr>
      <w:tr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Planner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POST /v1/plans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Compile a goal into a budgeted task DAG.</w:t>
            </w:r>
          </w:p>
        </w:tc>
      </w:tr>
      <w:tr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Retrieval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POST /v1/retrieve/search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Search knowledge, episodes, and artifacts.</w:t>
            </w:r>
          </w:p>
        </w:tc>
      </w:tr>
      <w:tr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Identity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POST /v1/identity/tokens/issue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Issue a short-lived workload token.</w:t>
            </w:r>
          </w:p>
        </w:tc>
      </w:tr>
      <w:tr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Tool Broker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POST /v1/tools/execute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Execute an allowed tool with audit metadata.</w:t>
            </w:r>
          </w:p>
        </w:tc>
      </w:tr>
      <w:tr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Model Gateway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POST /v1/models/generate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Run text generation for reasoning and drafting.</w:t>
            </w:r>
          </w:p>
        </w:tc>
      </w:tr>
      <w:tr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Evaluation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POST /v1/evaluations/candidates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Evaluate a candidate package against benchmarks.</w:t>
            </w:r>
          </w:p>
        </w:tc>
      </w:tr>
      <w:tr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Release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POST /v1/releases/promote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Promote a signed candidate to a target environment.</w:t>
            </w:r>
          </w:p>
        </w:tc>
      </w:tr>
      <w:tr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Audit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GET /v1/audit/runs/{run_id}</w:t>
            </w:r>
          </w:p>
        </w:tc>
        <w:tc>
          <w:tcPr>
            <w:tcW w:type="dxa" w:w="33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Query immutable evidence associated with a run.</w:t>
            </w:r>
          </w:p>
        </w:tc>
      </w:tr>
    </w:tbl>
    <w:p/>
    <w:p>
      <w:pPr>
        <w:pStyle w:val="HeadingBlue2"/>
      </w:pPr>
      <w:r>
        <w:t>5.1 Supervisor — POST /v1/runs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10080"/>
            <w:shd w:fill="F6F9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sz w:val="17"/>
              </w:rPr>
              <w:t>{</w:t>
              <w:br/>
              <w:t xml:space="preserve">  "request_meta": {"tenant_id": "tenant-acme", "client_request_id": "req_123"},</w:t>
              <w:br/>
              <w:t xml:space="preserve">  "objective": "Design a medical research analyst agent",</w:t>
              <w:br/>
              <w:t xml:space="preserve">  "constraints": {</w:t>
              <w:br/>
              <w:t xml:space="preserve">    "deadline_ms": 180000,</w:t>
              <w:br/>
              <w:t xml:space="preserve">    "max_cost_usd": 40,</w:t>
              <w:br/>
              <w:t xml:space="preserve">    "risk_profile": "high-regulated"</w:t>
              <w:br/>
              <w:t xml:space="preserve">  },</w:t>
              <w:br/>
              <w:t xml:space="preserve">  "inputs": {</w:t>
              <w:br/>
              <w:t xml:space="preserve">    "domain": "healthcare",</w:t>
              <w:br/>
              <w:t xml:space="preserve">    "required_outputs": ["brief", "architecture", "evaluation_plan"]</w:t>
              <w:br/>
              <w:t xml:space="preserve">  }</w:t>
              <w:br/>
              <w:t>}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10080"/>
            <w:shd w:fill="F6F9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sz w:val="17"/>
              </w:rPr>
              <w:t>{</w:t>
              <w:br/>
              <w:t xml:space="preserve">  "status": "ok",</w:t>
              <w:br/>
              <w:t xml:space="preserve">  "data": {</w:t>
              <w:br/>
              <w:t xml:space="preserve">    "run_id": "run_01J...",</w:t>
              <w:br/>
              <w:t xml:space="preserve">    "state": "planning",</w:t>
              <w:br/>
              <w:t xml:space="preserve">    "next_action": "plan_requested"</w:t>
              <w:br/>
              <w:t xml:space="preserve">  },</w:t>
              <w:br/>
              <w:t xml:space="preserve">  "meta": {"trace_id": "trc_01H..."}</w:t>
              <w:br/>
              <w:t>}</w:t>
            </w:r>
          </w:p>
        </w:tc>
      </w:tr>
    </w:tbl>
    <w:p/>
    <w:p>
      <w:pPr>
        <w:ind w:left="259" w:hanging="173"/>
      </w:pPr>
      <w:r>
        <w:t>• Required validations: objective present, tenant_id present, cost/deadline inside tenant policy limits.</w:t>
      </w:r>
    </w:p>
    <w:p>
      <w:pPr>
        <w:ind w:left="259" w:hanging="173"/>
      </w:pPr>
      <w:r>
        <w:t>• Idempotency: repeated calls with the same client_request_id within 24h must return the same run_id unless the request payload differs.</w:t>
      </w:r>
    </w:p>
    <w:p>
      <w:pPr>
        <w:ind w:left="259" w:hanging="173"/>
      </w:pPr>
      <w:r>
        <w:t>• State machine: planning → queued → running → awaiting_review → completed | failed | cancelled.</w:t>
      </w:r>
    </w:p>
    <w:p>
      <w:pPr>
        <w:pStyle w:val="HeadingBlue2"/>
      </w:pPr>
      <w:r>
        <w:t>5.2 Planner — POST /v1/plans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10080"/>
            <w:shd w:fill="F6F9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sz w:val="17"/>
              </w:rPr>
              <w:t>{</w:t>
              <w:br/>
              <w:t xml:space="preserve">  "request_meta": {"tenant_id": "tenant-acme", "trace_id": "trc_01H..."},</w:t>
              <w:br/>
              <w:t xml:space="preserve">  "goal": "Design a financial risk analyst agent",</w:t>
              <w:br/>
              <w:t xml:space="preserve">  "budget": {"max_tokens": 200000, "max_cost_usd": 25},</w:t>
              <w:br/>
              <w:t xml:space="preserve">  "policy_profile": "enterprise-strict"</w:t>
              <w:br/>
              <w:t>}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10080"/>
            <w:shd w:fill="F6F9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sz w:val="17"/>
              </w:rPr>
              <w:t>{</w:t>
              <w:br/>
              <w:t xml:space="preserve">  "status": "ok",</w:t>
              <w:br/>
              <w:t xml:space="preserve">  "data": {</w:t>
              <w:br/>
              <w:t xml:space="preserve">    "plan_id": "plan_01J...",</w:t>
              <w:br/>
              <w:t xml:space="preserve">    "tasks": [</w:t>
              <w:br/>
              <w:t xml:space="preserve">      {"task_id": "t1", "type": "retrieve_context", "deps": []},</w:t>
              <w:br/>
              <w:t xml:space="preserve">      {"task_id": "t2", "type": "generate_architectures", "deps": ["t1"]},</w:t>
              <w:br/>
              <w:t xml:space="preserve">      {"task_id": "t3", "type": "evaluate_candidates", "deps": ["t2"]}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pStyle w:val="HeadingBlue2"/>
      </w:pPr>
      <w:r>
        <w:t>5.3 Retrieval — POST /v1/retrieve/search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10080"/>
            <w:shd w:fill="F6F9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sz w:val="17"/>
              </w:rPr>
              <w:t>{</w:t>
              <w:br/>
              <w:t xml:space="preserve">  "request_meta": {"tenant_id": "tenant-acme", "trace_id": "trc_01H..."},</w:t>
              <w:br/>
              <w:t xml:space="preserve">  "query": "medical evidence hierarchy",</w:t>
              <w:br/>
              <w:t xml:space="preserve">  "scope": ["documents", "episodes", "artifacts"],</w:t>
              <w:br/>
              <w:t xml:space="preserve">  "filters": {"tags": ["healthcare"], "freshness_days": 365},</w:t>
              <w:br/>
              <w:t xml:space="preserve">  "top_k": 8</w:t>
              <w:br/>
              <w:t>}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10080"/>
            <w:shd w:fill="F6F9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sz w:val="17"/>
              </w:rPr>
              <w:t>{</w:t>
              <w:br/>
              <w:t xml:space="preserve">  "status": "ok",</w:t>
              <w:br/>
              <w:t xml:space="preserve">  "data": {</w:t>
              <w:br/>
              <w:t xml:space="preserve">    "results": [</w:t>
              <w:br/>
              <w:t xml:space="preserve">      {"source_id": "doc_101", "title": "Clinical evidence standard", "score": 0.91},</w:t>
              <w:br/>
              <w:t xml:space="preserve">      {"source_id": "ep_298", "title": "Prior regulated-agent episode", "score": 0.84}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pStyle w:val="HeadingBlue2"/>
      </w:pPr>
      <w:r>
        <w:t>5.4 Tool Broker — POST /v1/tools/execute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10080"/>
            <w:shd w:fill="F6F9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sz w:val="17"/>
              </w:rPr>
              <w:t>{</w:t>
              <w:br/>
              <w:t xml:space="preserve">  "request_meta": {"tenant_id": "tenant-acme", "trace_id": "trc_01H..."},</w:t>
              <w:br/>
              <w:t xml:space="preserve">  "runtime_instance_id": "rt_123",</w:t>
              <w:br/>
              <w:t xml:space="preserve">  "run_id": "run_01J...",</w:t>
              <w:br/>
              <w:t xml:space="preserve">  "task_attempt_id": "ta_456",</w:t>
              <w:br/>
              <w:t xml:space="preserve">  "tool_name": "retrieval.search",</w:t>
              <w:br/>
              <w:t xml:space="preserve">  "tool_grant_id": "grant_789",</w:t>
              <w:br/>
              <w:t xml:space="preserve">  "payload": {"query": "evidence standard"}</w:t>
              <w:br/>
              <w:t>}</w:t>
            </w:r>
          </w:p>
        </w:tc>
      </w:tr>
    </w:tbl>
    <w:p/>
    <w:p>
      <w:pPr>
        <w:ind w:left="259" w:hanging="173"/>
      </w:pPr>
      <w:r>
        <w:t>• Policy check precedes execution. Missing grant or expired token returns AUTHZ_DENIED.</w:t>
      </w:r>
    </w:p>
    <w:p>
      <w:pPr>
        <w:ind w:left="259" w:hanging="173"/>
      </w:pPr>
      <w:r>
        <w:t>• All successful and blocked calls generate AuditEvents.</w:t>
      </w:r>
    </w:p>
    <w:p>
      <w:pPr>
        <w:ind w:left="259" w:hanging="173"/>
      </w:pPr>
      <w:r>
        <w:t>• Long-running tools should return an operation_id and support callback or polling semantics.</w:t>
      </w:r>
    </w:p>
    <w:p>
      <w:pPr>
        <w:pStyle w:val="HeadingBlue2"/>
      </w:pPr>
      <w:r>
        <w:t>5.5 Model Gateway — POST /v1/models/generate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10080"/>
            <w:shd w:fill="F6F9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sz w:val="17"/>
              </w:rPr>
              <w:t>{</w:t>
              <w:br/>
              <w:t xml:space="preserve">  "request_meta": {"tenant_id": "tenant-acme", "trace_id": "trc_01H..."},</w:t>
              <w:br/>
              <w:t xml:space="preserve">  "task_type": "reasoning",</w:t>
              <w:br/>
              <w:t xml:space="preserve">  "model_policy": {"latency_tier": "standard", "max_cost_usd": 0.50},</w:t>
              <w:br/>
              <w:t xml:space="preserve">  "context_refs": ["doc_101", "ep_298"],</w:t>
              <w:br/>
              <w:t xml:space="preserve">  "messages": [{"role": "system", "content": "You are a senior AI architect."}, {"role": "user", "content": "Generate 3 architectures."}]</w:t>
              <w:br/>
              <w:t>}</w:t>
            </w:r>
          </w:p>
        </w:tc>
      </w:tr>
    </w:tbl>
    <w:p/>
    <w:p>
      <w:pPr>
        <w:ind w:left="259" w:hanging="173"/>
      </w:pPr>
      <w:r>
        <w:t>• The gateway hides provider/model selection. Clients specify policy and task_type, not vendor-specific parameters.</w:t>
      </w:r>
    </w:p>
    <w:p>
      <w:pPr>
        <w:ind w:left="259" w:hanging="173"/>
      </w:pPr>
      <w:r>
        <w:t>• Responses include token counts, latency_ms, model_route, and cache_hit metadata.</w:t>
      </w:r>
    </w:p>
    <w:p>
      <w:pPr>
        <w:ind w:left="259" w:hanging="173"/>
      </w:pPr>
      <w:r>
        <w:t>• Streaming mode is optional; the same contract supports both synchronous and chunked response delivery.</w:t>
      </w:r>
    </w:p>
    <w:p>
      <w:pPr>
        <w:pStyle w:val="HeadingBlue"/>
      </w:pPr>
      <w:r>
        <w:t>6. Event contracts (asynchronous)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160"/>
        <w:gridCol w:w="1728"/>
        <w:gridCol w:w="2592"/>
        <w:gridCol w:w="2880"/>
      </w:tblGrid>
      <w:tr>
        <w:tc>
          <w:tcPr>
            <w:tcW w:type="dxa" w:w="2520"/>
            <w:shd w:fill="1F4E79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2520"/>
            <w:shd w:fill="1F4E79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Producer</w:t>
            </w:r>
          </w:p>
        </w:tc>
        <w:tc>
          <w:tcPr>
            <w:tcW w:type="dxa" w:w="2520"/>
            <w:shd w:fill="1F4E79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Consumer(s)</w:t>
            </w:r>
          </w:p>
        </w:tc>
        <w:tc>
          <w:tcPr>
            <w:tcW w:type="dxa" w:w="2520"/>
            <w:shd w:fill="1F4E79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run.created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Supervisor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Planner, Observability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Lifecycle start signal for a new run.</w:t>
            </w:r>
          </w:p>
        </w:tc>
      </w:tr>
      <w:t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plan.ready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Planner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Supervisor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Published when a task DAG is compiled.</w:t>
            </w:r>
          </w:p>
        </w:tc>
      </w:tr>
      <w:t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task.submitted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Supervisor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Swarm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Runnable task issued for scheduling.</w:t>
            </w:r>
          </w:p>
        </w:tc>
      </w:tr>
      <w:t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task.completed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Runtime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Supervisor, Aggregator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Task result available.</w:t>
            </w:r>
          </w:p>
        </w:tc>
      </w:tr>
      <w:t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episode.written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Episodic Memory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Retrieval, Analytics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Reusable learning artifact stored.</w:t>
            </w:r>
          </w:p>
        </w:tc>
      </w:tr>
      <w:t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audit.event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All privileged services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Audit Ledger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Append-only evidence stream.</w:t>
            </w:r>
          </w:p>
        </w:tc>
      </w:tr>
      <w:t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eval.completed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Evaluation Service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Release Manager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Candidate evaluation evidence.</w:t>
            </w:r>
          </w:p>
        </w:tc>
      </w:tr>
      <w:t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release.promoted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Release Manager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Observability, Dashboard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Deployment state transition event.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792"/>
      </w:tblGrid>
      <w:tr>
        <w:tc>
          <w:tcPr>
            <w:tcW w:type="dxa" w:w="10080"/>
            <w:shd w:fill="F6F9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sz w:val="17"/>
              </w:rPr>
              <w:t>{</w:t>
              <w:br/>
              <w:t xml:space="preserve">  "topic": "task.completed",</w:t>
              <w:br/>
              <w:t xml:space="preserve">  "event_version": "1.0",</w:t>
              <w:br/>
              <w:t xml:space="preserve">  "event_id": "evt_01J...",</w:t>
              <w:br/>
              <w:t xml:space="preserve">  "trace_id": "trc_01H...",</w:t>
              <w:br/>
              <w:t xml:space="preserve">  "run_id": "run_01J...",</w:t>
              <w:br/>
              <w:t xml:space="preserve">  "task_attempt_id": "ta_456",</w:t>
              <w:br/>
              <w:t xml:space="preserve">  "producer": "runtime-worker",</w:t>
              <w:br/>
              <w:t xml:space="preserve">  "occurred_at": "2026-03-22T10:33:00Z",</w:t>
              <w:br/>
              <w:t xml:space="preserve">  "payload": {</w:t>
              <w:br/>
              <w:t xml:space="preserve">    "task_id": "t3",</w:t>
              <w:br/>
              <w:t xml:space="preserve">    "status": "succeeded",</w:t>
              <w:br/>
              <w:t xml:space="preserve">    "outputs": {"artifact_refs": ["cand_001"]},</w:t>
              <w:br/>
              <w:t xml:space="preserve">    "cost_usd": 1.42,</w:t>
              <w:br/>
              <w:t xml:space="preserve">    "latency_ms": 4820</w:t>
              <w:br/>
              <w:t xml:space="preserve">  }</w:t>
              <w:br/>
              <w:t>}</w:t>
            </w:r>
          </w:p>
        </w:tc>
      </w:tr>
    </w:tbl>
    <w:p/>
    <w:p>
      <w:pPr>
        <w:pStyle w:val="HeadingBlue"/>
      </w:pPr>
      <w:r>
        <w:t>7. Security, policy, and compatibility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1728"/>
        <w:gridCol w:w="7920"/>
      </w:tblGrid>
      <w:tr>
        <w:tc>
          <w:tcPr>
            <w:tcW w:type="dxa" w:w="5040"/>
            <w:shd w:fill="1F4E79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040"/>
            <w:shd w:fill="1F4E79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 rule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Transport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TLS everywhere. Internal service mesh mTLS recommended for service-to-service calls.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Tokens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Workload tokens should be short-lived, audience-bound, and least-privilege.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PII handling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Sensitive fields must be tagged and excluded from broad observability payloads.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Schema evolution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Additive fields only within v1. Consumers must ignore unknown fields.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Deprecation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Deprecated fields require notice in contract docs and a minimum two-release compatibility window.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Rate limits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Enforce per-tenant and per-service quotas with explicit 429 handling and retry-after guidance.</w:t>
            </w:r>
          </w:p>
        </w:tc>
      </w:tr>
    </w:tbl>
    <w:p/>
    <w:p>
      <w:pPr>
        <w:pStyle w:val="HeadingBlue"/>
      </w:pPr>
      <w:r>
        <w:t>8. Error codes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592"/>
        <w:gridCol w:w="1008"/>
        <w:gridCol w:w="4896"/>
        <w:gridCol w:w="1008"/>
      </w:tblGrid>
      <w:tr>
        <w:tc>
          <w:tcPr>
            <w:tcW w:type="dxa" w:w="2520"/>
            <w:shd w:fill="1F4E79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520"/>
            <w:shd w:fill="1F4E79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HTTP</w:t>
            </w:r>
          </w:p>
        </w:tc>
        <w:tc>
          <w:tcPr>
            <w:tcW w:type="dxa" w:w="2520"/>
            <w:shd w:fill="1F4E79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2520"/>
            <w:shd w:fill="1F4E79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Retry?</w:t>
            </w:r>
          </w:p>
        </w:tc>
      </w:tr>
      <w:t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VALIDATION_FAILED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Input payload or field rules failed.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AUTHN_REQUIRED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Missing or invalid credentials.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AUTHZ_DENIED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Caller lacks rights or tool grant.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NOT_FOUND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Requested run, plan, token, or artifact not found.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CONFLICT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State transition conflict or idempotency mismatch.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Maybe</w:t>
            </w:r>
          </w:p>
        </w:tc>
      </w:tr>
      <w:t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RATE_LIMITED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Quota exceeded.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8"/>
              </w:rPr>
              <w:t>UPSTREAM_TIMEOUT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504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Dependent service or model route timed out.</w:t>
            </w:r>
          </w:p>
        </w:tc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8"/>
              </w:rPr>
              <w:t>Yes</w:t>
            </w:r>
          </w:p>
        </w:tc>
      </w:tr>
    </w:tbl>
    <w:p/>
    <w:p>
      <w:pPr>
        <w:pStyle w:val="HeadingBlue"/>
      </w:pPr>
      <w:r>
        <w:t>9. Acceptance checklist</w:t>
      </w:r>
    </w:p>
    <w:p>
      <w:pPr>
        <w:ind w:left="259" w:hanging="173"/>
      </w:pPr>
      <w:r>
        <w:t>• Every service must publish an OpenAPI spec or protobuf equivalent derived from these contracts.</w:t>
      </w:r>
    </w:p>
    <w:p>
      <w:pPr>
        <w:ind w:left="259" w:hanging="173"/>
      </w:pPr>
      <w:r>
        <w:t>• Every privileged action must produce a matching AuditEvent with trace_id and actor identity.</w:t>
      </w:r>
    </w:p>
    <w:p>
      <w:pPr>
        <w:ind w:left="259" w:hanging="173"/>
      </w:pPr>
      <w:r>
        <w:t>• Every client SDK must expose idempotency, correlation IDs, and standard error parsing.</w:t>
      </w:r>
    </w:p>
    <w:p>
      <w:pPr>
        <w:ind w:left="259" w:hanging="173"/>
      </w:pPr>
      <w:r>
        <w:t>• Contract tests must validate both happy-path and policy-failure behavior for each critical endpoint.</w:t>
      </w:r>
    </w:p>
    <w:p>
      <w:pPr>
        <w:ind w:left="259" w:hanging="173"/>
      </w:pPr>
      <w:r>
        <w:t>• UI and workflow surfaces should consume only documented fields and must ignore additive fields they do not recognize.</w:t>
      </w:r>
    </w:p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Text"/>
      <w:jc w:val="right"/>
    </w:pPr>
    <w:r>
      <w:t xml:space="preserve">Page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424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pPr>
      <w:spacing w:after="60"/>
    </w:pPr>
    <w:rPr>
      <w:rFonts w:ascii="Aptos Display" w:hAnsi="Aptos Display"/>
      <w:b/>
      <w:color w:val="1F4E79"/>
      <w:sz w:val="44"/>
    </w:rPr>
  </w:style>
  <w:style w:type="paragraph" w:customStyle="1" w:styleId="SubtitleCustom">
    <w:name w:val="SubtitleCustom"/>
    <w:pPr>
      <w:spacing w:after="160"/>
    </w:pPr>
    <w:rPr>
      <w:rFonts w:ascii="Aptos" w:hAnsi="Aptos"/>
      <w:color w:val="5A5A5A"/>
      <w:sz w:val="21"/>
    </w:rPr>
  </w:style>
  <w:style w:type="paragraph" w:customStyle="1" w:styleId="HeadingBlue">
    <w:name w:val="HeadingBlue"/>
    <w:pPr>
      <w:spacing w:before="140" w:after="60"/>
    </w:pPr>
    <w:rPr>
      <w:rFonts w:ascii="Aptos Display" w:hAnsi="Aptos Display"/>
      <w:b/>
      <w:color w:val="1F4E79"/>
      <w:sz w:val="28"/>
    </w:rPr>
  </w:style>
  <w:style w:type="paragraph" w:customStyle="1" w:styleId="HeadingBlue2">
    <w:name w:val="HeadingBlue2"/>
    <w:pPr>
      <w:spacing w:before="80" w:after="40"/>
    </w:pPr>
    <w:rPr>
      <w:rFonts w:ascii="Aptos Display" w:hAnsi="Aptos Display"/>
      <w:b/>
      <w:color w:val="1F4E79"/>
      <w:sz w:val="23"/>
    </w:rPr>
  </w:style>
  <w:style w:type="paragraph" w:customStyle="1" w:styleId="SmallText">
    <w:name w:val="SmallText"/>
    <w:rPr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