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Agent Architect Pro — Component-by-Component Figma Library Brief</w:t>
      </w:r>
    </w:p>
    <w:p>
      <w:pPr>
        <w:pStyle w:val="SubtitleCustom"/>
      </w:pPr>
      <w:r>
        <w:t>Professional build brief for the design-system library that supports Studio, Evaluation, Deployment, Observability, and Governance workflows.</w:t>
      </w:r>
    </w:p>
    <w:tbl>
      <w:tblPr>
        <w:tblW w:type="auto" w:w="0"/>
        <w:jc w:val="left"/>
        <w:tblLayout w:type="fixed"/>
        <w:tblLook w:firstColumn="1" w:firstRow="1" w:lastColumn="0" w:lastRow="0" w:noHBand="0" w:noVBand="1" w:val="04A0"/>
      </w:tblPr>
      <w:tblGrid>
        <w:gridCol w:w="9792"/>
      </w:tblGrid>
      <w:tr>
        <w:tc>
          <w:tcPr>
            <w:tcW w:type="dxa" w:w="10080"/>
            <w:shd w:fill="D9EAF7"/>
            <w:tcMar>
              <w:top w:w="80" w:type="dxa"/>
              <w:start w:w="120" w:type="dxa"/>
              <w:bottom w:w="80" w:type="dxa"/>
              <w:end w:w="120" w:type="dxa"/>
            </w:tcMar>
          </w:tcPr>
          <w:p>
            <w:pPr>
              <w:pStyle w:val="Callout"/>
            </w:pPr>
            <w:r>
              <w:rPr>
                <w:b/>
                <w:color w:val="1F4E79"/>
              </w:rPr>
              <w:t>Recommended library position: one shared design system with lifecycle-first product patterns. The library should serve the agent journey — Brief → Design → Compare → Evaluate → Approve → Deploy → Monitor → Improve — while staying disciplined enough for enterprise delivery.</w:t>
            </w:r>
          </w:p>
        </w:tc>
      </w:tr>
    </w:tbl>
    <w:p/>
    <w:p>
      <w:pPr>
        <w:pStyle w:val="HeadingBlue"/>
      </w:pPr>
      <w:r>
        <w:t>1. Objective and design stance</w:t>
      </w:r>
    </w:p>
    <w:p>
      <w:pPr/>
      <w:r>
        <w:t>This brief defines the Figma library required to design Agent Architect Pro as a trustworthy enterprise product. The goal is not to create a visually impressive component dump. The goal is to build a systemized library that helps the team ship coherent screens for complex AI workflows, make governance visible, and reduce friction between product design, engineering, and future prototyping.</w:t>
      </w:r>
    </w:p>
    <w:p>
      <w:pPr>
        <w:spacing w:after="20"/>
        <w:ind w:left="259" w:hanging="173"/>
      </w:pPr>
      <w:r>
        <w:rPr>
          <w:sz w:val="20"/>
        </w:rPr>
        <w:t>• Design the library around product workflows, not backend service names.</w:t>
      </w:r>
    </w:p>
    <w:p>
      <w:pPr>
        <w:spacing w:after="20"/>
        <w:ind w:left="259" w:hanging="173"/>
      </w:pPr>
      <w:r>
        <w:rPr>
          <w:sz w:val="20"/>
        </w:rPr>
        <w:t>• Keep primitives universal, but create domain components where this platform truly needs them.</w:t>
      </w:r>
    </w:p>
    <w:p>
      <w:pPr>
        <w:spacing w:after="20"/>
        <w:ind w:left="259" w:hanging="173"/>
      </w:pPr>
      <w:r>
        <w:rPr>
          <w:sz w:val="20"/>
        </w:rPr>
        <w:t>• Bias toward components that support comparison, explainability, review, and approval.</w:t>
      </w:r>
    </w:p>
    <w:p>
      <w:pPr>
        <w:spacing w:after="20"/>
        <w:ind w:left="259" w:hanging="173"/>
      </w:pPr>
      <w:r>
        <w:rPr>
          <w:sz w:val="20"/>
        </w:rPr>
        <w:t>• Use a layered model: foundations → primitives → composites → domain modules → page patterns.</w:t>
      </w:r>
    </w:p>
    <w:p>
      <w:pPr>
        <w:spacing w:after="20"/>
        <w:ind w:left="259" w:hanging="173"/>
      </w:pPr>
      <w:r>
        <w:rPr>
          <w:sz w:val="20"/>
        </w:rPr>
        <w:t>• Treat accessibility, states, and handoff metadata as part of the component definition, not a later cleanup step.</w:t>
      </w:r>
    </w:p>
    <w:p>
      <w:pPr>
        <w:pStyle w:val="HeadingBlue"/>
      </w:pPr>
      <w:r>
        <w:t>2. Recommended Figma file architecture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232"/>
        <w:gridCol w:w="5040"/>
        <w:gridCol w:w="2520"/>
      </w:tblGrid>
      <w:tr>
        <w:trPr>
          <w:tblHeader w:val="true"/>
        </w:trPr>
        <w:tc>
          <w:tcPr>
            <w:tcW w:type="dxa" w:w="3360"/>
            <w:shd w:fill="1F4E79"/>
            <w:tcMar>
              <w:top w:w="80" w:type="dxa"/>
              <w:start w:w="100" w:type="dxa"/>
              <w:bottom w:w="80" w:type="dxa"/>
              <w:end w:w="100" w:type="dxa"/>
            </w:tcMar>
            <w:vAlign w:val="center"/>
          </w:tcPr>
          <w:p>
            <w:pPr>
              <w:jc w:val="center"/>
            </w:pPr>
            <w:r>
              <w:rPr>
                <w:b/>
                <w:color w:val="FFFFFF"/>
                <w:sz w:val="17"/>
              </w:rPr>
              <w:t>Figma page</w:t>
            </w:r>
          </w:p>
        </w:tc>
        <w:tc>
          <w:tcPr>
            <w:tcW w:type="dxa" w:w="3360"/>
            <w:shd w:fill="1F4E79"/>
            <w:tcMar>
              <w:top w:w="80" w:type="dxa"/>
              <w:start w:w="100" w:type="dxa"/>
              <w:bottom w:w="80" w:type="dxa"/>
              <w:end w:w="100" w:type="dxa"/>
            </w:tcMar>
            <w:vAlign w:val="center"/>
          </w:tcPr>
          <w:p>
            <w:pPr>
              <w:jc w:val="center"/>
            </w:pPr>
            <w:r>
              <w:rPr>
                <w:b/>
                <w:color w:val="FFFFFF"/>
                <w:sz w:val="17"/>
              </w:rPr>
              <w:t>What lives there</w:t>
            </w:r>
          </w:p>
        </w:tc>
        <w:tc>
          <w:tcPr>
            <w:tcW w:type="dxa" w:w="3360"/>
            <w:shd w:fill="1F4E79"/>
            <w:tcMar>
              <w:top w:w="80" w:type="dxa"/>
              <w:start w:w="100" w:type="dxa"/>
              <w:bottom w:w="80" w:type="dxa"/>
              <w:end w:w="100" w:type="dxa"/>
            </w:tcMar>
            <w:vAlign w:val="center"/>
          </w:tcPr>
          <w:p>
            <w:pPr>
              <w:jc w:val="center"/>
            </w:pPr>
            <w:r>
              <w:rPr>
                <w:b/>
                <w:color w:val="FFFFFF"/>
                <w:sz w:val="17"/>
              </w:rPr>
              <w:t>Build rule</w:t>
            </w:r>
          </w:p>
        </w:tc>
      </w:tr>
      <w:tr>
        <w:tc>
          <w:tcPr>
            <w:tcW w:type="dxa" w:w="3360"/>
            <w:tcMar>
              <w:top w:w="70" w:type="dxa"/>
              <w:start w:w="110" w:type="dxa"/>
              <w:bottom w:w="70" w:type="dxa"/>
              <w:end w:w="110" w:type="dxa"/>
            </w:tcMar>
            <w:vAlign w:val="center"/>
            <w:shd w:fill="EAF2F8"/>
          </w:tcPr>
          <w:p>
            <w:r>
              <w:rPr>
                <w:b/>
                <w:color w:val="1F4E79"/>
                <w:sz w:val="16"/>
              </w:rPr>
              <w:t>00 Cover &amp; README</w:t>
            </w:r>
          </w:p>
        </w:tc>
        <w:tc>
          <w:tcPr>
            <w:tcW w:type="dxa" w:w="3360"/>
            <w:tcMar>
              <w:top w:w="70" w:type="dxa"/>
              <w:start w:w="110" w:type="dxa"/>
              <w:bottom w:w="70" w:type="dxa"/>
              <w:end w:w="110" w:type="dxa"/>
            </w:tcMar>
            <w:vAlign w:val="center"/>
          </w:tcPr>
          <w:p>
            <w:r>
              <w:rPr>
                <w:sz w:val="16"/>
              </w:rPr>
              <w:t>File purpose, ownership, release notes, naming rules, and publishing instructions.</w:t>
            </w:r>
          </w:p>
        </w:tc>
        <w:tc>
          <w:tcPr>
            <w:tcW w:type="dxa" w:w="3360"/>
            <w:tcMar>
              <w:top w:w="70" w:type="dxa"/>
              <w:start w:w="110" w:type="dxa"/>
              <w:bottom w:w="70" w:type="dxa"/>
              <w:end w:w="110" w:type="dxa"/>
            </w:tcMar>
            <w:vAlign w:val="center"/>
          </w:tcPr>
          <w:p>
            <w:r>
              <w:rPr>
                <w:sz w:val="16"/>
              </w:rPr>
              <w:t>Keep non-design guidance here; do not mix with components.</w:t>
            </w:r>
          </w:p>
        </w:tc>
      </w:tr>
      <w:tr>
        <w:tc>
          <w:tcPr>
            <w:tcW w:type="dxa" w:w="3360"/>
            <w:tcMar>
              <w:top w:w="70" w:type="dxa"/>
              <w:start w:w="110" w:type="dxa"/>
              <w:bottom w:w="70" w:type="dxa"/>
              <w:end w:w="110" w:type="dxa"/>
            </w:tcMar>
            <w:vAlign w:val="center"/>
            <w:shd w:fill="EAF2F8"/>
          </w:tcPr>
          <w:p>
            <w:r>
              <w:rPr>
                <w:b/>
                <w:color w:val="1F4E79"/>
                <w:sz w:val="16"/>
              </w:rPr>
              <w:t>01 Foundations</w:t>
            </w:r>
          </w:p>
        </w:tc>
        <w:tc>
          <w:tcPr>
            <w:tcW w:type="dxa" w:w="3360"/>
            <w:tcMar>
              <w:top w:w="70" w:type="dxa"/>
              <w:start w:w="110" w:type="dxa"/>
              <w:bottom w:w="70" w:type="dxa"/>
              <w:end w:w="110" w:type="dxa"/>
            </w:tcMar>
            <w:vAlign w:val="center"/>
          </w:tcPr>
          <w:p>
            <w:r>
              <w:rPr>
                <w:sz w:val="16"/>
              </w:rPr>
              <w:t>Color variables, type scale, spacing, radius, shadows, elevation, motion, icon sizing, grid rules.</w:t>
            </w:r>
          </w:p>
        </w:tc>
        <w:tc>
          <w:tcPr>
            <w:tcW w:type="dxa" w:w="3360"/>
            <w:tcMar>
              <w:top w:w="70" w:type="dxa"/>
              <w:start w:w="110" w:type="dxa"/>
              <w:bottom w:w="70" w:type="dxa"/>
              <w:end w:w="110" w:type="dxa"/>
            </w:tcMar>
            <w:vAlign w:val="center"/>
          </w:tcPr>
          <w:p>
            <w:r>
              <w:rPr>
                <w:sz w:val="16"/>
              </w:rPr>
              <w:t>Variables first; no screen-specific hacks.</w:t>
            </w:r>
          </w:p>
        </w:tc>
      </w:tr>
      <w:tr>
        <w:tc>
          <w:tcPr>
            <w:tcW w:type="dxa" w:w="3360"/>
            <w:tcMar>
              <w:top w:w="70" w:type="dxa"/>
              <w:start w:w="110" w:type="dxa"/>
              <w:bottom w:w="70" w:type="dxa"/>
              <w:end w:w="110" w:type="dxa"/>
            </w:tcMar>
            <w:vAlign w:val="center"/>
            <w:shd w:fill="EAF2F8"/>
          </w:tcPr>
          <w:p>
            <w:r>
              <w:rPr>
                <w:b/>
                <w:color w:val="1F4E79"/>
                <w:sz w:val="16"/>
              </w:rPr>
              <w:t>02 Primitives</w:t>
            </w:r>
          </w:p>
        </w:tc>
        <w:tc>
          <w:tcPr>
            <w:tcW w:type="dxa" w:w="3360"/>
            <w:tcMar>
              <w:top w:w="70" w:type="dxa"/>
              <w:start w:w="110" w:type="dxa"/>
              <w:bottom w:w="70" w:type="dxa"/>
              <w:end w:w="110" w:type="dxa"/>
            </w:tcMar>
            <w:vAlign w:val="center"/>
          </w:tcPr>
          <w:p>
            <w:r>
              <w:rPr>
                <w:sz w:val="16"/>
              </w:rPr>
              <w:t>Buttons, inputs, chips, tags, avatars, dividers, pills, badges, toggles, tabs, tooltips, loaders.</w:t>
            </w:r>
          </w:p>
        </w:tc>
        <w:tc>
          <w:tcPr>
            <w:tcW w:type="dxa" w:w="3360"/>
            <w:tcMar>
              <w:top w:w="70" w:type="dxa"/>
              <w:start w:w="110" w:type="dxa"/>
              <w:bottom w:w="70" w:type="dxa"/>
              <w:end w:w="110" w:type="dxa"/>
            </w:tcMar>
            <w:vAlign w:val="center"/>
          </w:tcPr>
          <w:p>
            <w:r>
              <w:rPr>
                <w:sz w:val="16"/>
              </w:rPr>
              <w:t>Every primitive must support light/dark and interaction states.</w:t>
            </w:r>
          </w:p>
        </w:tc>
      </w:tr>
      <w:tr>
        <w:tc>
          <w:tcPr>
            <w:tcW w:type="dxa" w:w="3360"/>
            <w:tcMar>
              <w:top w:w="70" w:type="dxa"/>
              <w:start w:w="110" w:type="dxa"/>
              <w:bottom w:w="70" w:type="dxa"/>
              <w:end w:w="110" w:type="dxa"/>
            </w:tcMar>
            <w:vAlign w:val="center"/>
            <w:shd w:fill="EAF2F8"/>
          </w:tcPr>
          <w:p>
            <w:r>
              <w:rPr>
                <w:b/>
                <w:color w:val="1F4E79"/>
                <w:sz w:val="16"/>
              </w:rPr>
              <w:t>03 App Shell</w:t>
            </w:r>
          </w:p>
        </w:tc>
        <w:tc>
          <w:tcPr>
            <w:tcW w:type="dxa" w:w="3360"/>
            <w:tcMar>
              <w:top w:w="70" w:type="dxa"/>
              <w:start w:w="110" w:type="dxa"/>
              <w:bottom w:w="70" w:type="dxa"/>
              <w:end w:w="110" w:type="dxa"/>
            </w:tcMar>
            <w:vAlign w:val="center"/>
          </w:tcPr>
          <w:p>
            <w:r>
              <w:rPr>
                <w:sz w:val="16"/>
              </w:rPr>
              <w:t>Side nav, top bar, page headers, breadcrumbs, command bar, filter bar, right-side context panel.</w:t>
            </w:r>
          </w:p>
        </w:tc>
        <w:tc>
          <w:tcPr>
            <w:tcW w:type="dxa" w:w="3360"/>
            <w:tcMar>
              <w:top w:w="70" w:type="dxa"/>
              <w:start w:w="110" w:type="dxa"/>
              <w:bottom w:w="70" w:type="dxa"/>
              <w:end w:w="110" w:type="dxa"/>
            </w:tcMar>
            <w:vAlign w:val="center"/>
          </w:tcPr>
          <w:p>
            <w:r>
              <w:rPr>
                <w:sz w:val="16"/>
              </w:rPr>
              <w:t>Use auto layout and slot-based composition.</w:t>
            </w:r>
          </w:p>
        </w:tc>
      </w:tr>
      <w:tr>
        <w:tc>
          <w:tcPr>
            <w:tcW w:type="dxa" w:w="3360"/>
            <w:tcMar>
              <w:top w:w="70" w:type="dxa"/>
              <w:start w:w="110" w:type="dxa"/>
              <w:bottom w:w="70" w:type="dxa"/>
              <w:end w:w="110" w:type="dxa"/>
            </w:tcMar>
            <w:vAlign w:val="center"/>
            <w:shd w:fill="EAF2F8"/>
          </w:tcPr>
          <w:p>
            <w:r>
              <w:rPr>
                <w:b/>
                <w:color w:val="1F4E79"/>
                <w:sz w:val="16"/>
              </w:rPr>
              <w:t>04 Data &amp; Content</w:t>
            </w:r>
          </w:p>
        </w:tc>
        <w:tc>
          <w:tcPr>
            <w:tcW w:type="dxa" w:w="3360"/>
            <w:tcMar>
              <w:top w:w="70" w:type="dxa"/>
              <w:start w:w="110" w:type="dxa"/>
              <w:bottom w:w="70" w:type="dxa"/>
              <w:end w:w="110" w:type="dxa"/>
            </w:tcMar>
            <w:vAlign w:val="center"/>
          </w:tcPr>
          <w:p>
            <w:r>
              <w:rPr>
                <w:sz w:val="16"/>
              </w:rPr>
              <w:t>Cards, tables, metric tiles, lists, timelines, accordions, empty states, banners, drawers, modals.</w:t>
            </w:r>
          </w:p>
        </w:tc>
        <w:tc>
          <w:tcPr>
            <w:tcW w:type="dxa" w:w="3360"/>
            <w:tcMar>
              <w:top w:w="70" w:type="dxa"/>
              <w:start w:w="110" w:type="dxa"/>
              <w:bottom w:w="70" w:type="dxa"/>
              <w:end w:w="110" w:type="dxa"/>
            </w:tcMar>
            <w:vAlign w:val="center"/>
          </w:tcPr>
          <w:p>
            <w:r>
              <w:rPr>
                <w:sz w:val="16"/>
              </w:rPr>
              <w:t>Create dense and comfortable modes where needed.</w:t>
            </w:r>
          </w:p>
        </w:tc>
      </w:tr>
      <w:tr>
        <w:tc>
          <w:tcPr>
            <w:tcW w:type="dxa" w:w="3360"/>
            <w:tcMar>
              <w:top w:w="70" w:type="dxa"/>
              <w:start w:w="110" w:type="dxa"/>
              <w:bottom w:w="70" w:type="dxa"/>
              <w:end w:w="110" w:type="dxa"/>
            </w:tcMar>
            <w:vAlign w:val="center"/>
            <w:shd w:fill="EAF2F8"/>
          </w:tcPr>
          <w:p>
            <w:r>
              <w:rPr>
                <w:b/>
                <w:color w:val="1F4E79"/>
                <w:sz w:val="16"/>
              </w:rPr>
              <w:t>05 Domain Modules</w:t>
            </w:r>
          </w:p>
        </w:tc>
        <w:tc>
          <w:tcPr>
            <w:tcW w:type="dxa" w:w="3360"/>
            <w:tcMar>
              <w:top w:w="70" w:type="dxa"/>
              <w:start w:w="110" w:type="dxa"/>
              <w:bottom w:w="70" w:type="dxa"/>
              <w:end w:w="110" w:type="dxa"/>
            </w:tcMar>
            <w:vAlign w:val="center"/>
          </w:tcPr>
          <w:p>
            <w:r>
              <w:rPr>
                <w:sz w:val="16"/>
              </w:rPr>
              <w:t>Architecture cards, debate panels, evaluation verdicts, release diff, trace evidence drawer, tool permission matrix, confidence meter.</w:t>
            </w:r>
          </w:p>
        </w:tc>
        <w:tc>
          <w:tcPr>
            <w:tcW w:type="dxa" w:w="3360"/>
            <w:tcMar>
              <w:top w:w="70" w:type="dxa"/>
              <w:start w:w="110" w:type="dxa"/>
              <w:bottom w:w="70" w:type="dxa"/>
              <w:end w:w="110" w:type="dxa"/>
            </w:tcMar>
            <w:vAlign w:val="center"/>
          </w:tcPr>
          <w:p>
            <w:r>
              <w:rPr>
                <w:sz w:val="16"/>
              </w:rPr>
              <w:t>This page makes the product feel bespoke.</w:t>
            </w:r>
          </w:p>
        </w:tc>
      </w:tr>
      <w:tr>
        <w:tc>
          <w:tcPr>
            <w:tcW w:type="dxa" w:w="3360"/>
            <w:tcMar>
              <w:top w:w="70" w:type="dxa"/>
              <w:start w:w="110" w:type="dxa"/>
              <w:bottom w:w="70" w:type="dxa"/>
              <w:end w:w="110" w:type="dxa"/>
            </w:tcMar>
            <w:vAlign w:val="center"/>
            <w:shd w:fill="EAF2F8"/>
          </w:tcPr>
          <w:p>
            <w:r>
              <w:rPr>
                <w:b/>
                <w:color w:val="1F4E79"/>
                <w:sz w:val="16"/>
              </w:rPr>
              <w:t>06 Patterns</w:t>
            </w:r>
          </w:p>
        </w:tc>
        <w:tc>
          <w:tcPr>
            <w:tcW w:type="dxa" w:w="3360"/>
            <w:tcMar>
              <w:top w:w="70" w:type="dxa"/>
              <w:start w:w="110" w:type="dxa"/>
              <w:bottom w:w="70" w:type="dxa"/>
              <w:end w:w="110" w:type="dxa"/>
            </w:tcMar>
            <w:vAlign w:val="center"/>
          </w:tcPr>
          <w:p>
            <w:r>
              <w:rPr>
                <w:sz w:val="16"/>
              </w:rPr>
              <w:t>Reusable screen sections and section recipes for Studio, Evaluation Lab, Release Center, Runtime Overview.</w:t>
            </w:r>
          </w:p>
        </w:tc>
        <w:tc>
          <w:tcPr>
            <w:tcW w:type="dxa" w:w="3360"/>
            <w:tcMar>
              <w:top w:w="70" w:type="dxa"/>
              <w:start w:w="110" w:type="dxa"/>
              <w:bottom w:w="70" w:type="dxa"/>
              <w:end w:w="110" w:type="dxa"/>
            </w:tcMar>
            <w:vAlign w:val="center"/>
          </w:tcPr>
          <w:p>
            <w:r>
              <w:rPr>
                <w:sz w:val="16"/>
              </w:rPr>
              <w:t>Document pattern intent and recommended usage.</w:t>
            </w:r>
          </w:p>
        </w:tc>
      </w:tr>
      <w:tr>
        <w:tc>
          <w:tcPr>
            <w:tcW w:type="dxa" w:w="3360"/>
            <w:tcMar>
              <w:top w:w="70" w:type="dxa"/>
              <w:start w:w="110" w:type="dxa"/>
              <w:bottom w:w="70" w:type="dxa"/>
              <w:end w:w="110" w:type="dxa"/>
            </w:tcMar>
            <w:vAlign w:val="center"/>
            <w:shd w:fill="EAF2F8"/>
          </w:tcPr>
          <w:p>
            <w:r>
              <w:rPr>
                <w:b/>
                <w:color w:val="1F4E79"/>
                <w:sz w:val="16"/>
              </w:rPr>
              <w:t>07 Prototype Blocks</w:t>
            </w:r>
          </w:p>
        </w:tc>
        <w:tc>
          <w:tcPr>
            <w:tcW w:type="dxa" w:w="3360"/>
            <w:tcMar>
              <w:top w:w="70" w:type="dxa"/>
              <w:start w:w="110" w:type="dxa"/>
              <w:bottom w:w="70" w:type="dxa"/>
              <w:end w:w="110" w:type="dxa"/>
            </w:tcMar>
            <w:vAlign w:val="center"/>
          </w:tcPr>
          <w:p>
            <w:r>
              <w:rPr>
                <w:sz w:val="16"/>
              </w:rPr>
              <w:t>Clickable flows, skeletons, and transition-ready frames used for prototyping.</w:t>
            </w:r>
          </w:p>
        </w:tc>
        <w:tc>
          <w:tcPr>
            <w:tcW w:type="dxa" w:w="3360"/>
            <w:tcMar>
              <w:top w:w="70" w:type="dxa"/>
              <w:start w:w="110" w:type="dxa"/>
              <w:bottom w:w="70" w:type="dxa"/>
              <w:end w:w="110" w:type="dxa"/>
            </w:tcMar>
            <w:vAlign w:val="center"/>
          </w:tcPr>
          <w:p>
            <w:r>
              <w:rPr>
                <w:sz w:val="16"/>
              </w:rPr>
              <w:t>Keep separate from published production components.</w:t>
            </w:r>
          </w:p>
        </w:tc>
      </w:tr>
    </w:tbl>
    <w:p/>
    <w:tbl>
      <w:tblPr>
        <w:tblW w:type="auto" w:w="0"/>
        <w:jc w:val="left"/>
        <w:tblLayout w:type="fixed"/>
        <w:tblLook w:firstColumn="1" w:firstRow="1" w:lastColumn="0" w:lastRow="0" w:noHBand="0" w:noVBand="1" w:val="04A0"/>
      </w:tblPr>
      <w:tblGrid>
        <w:gridCol w:w="9792"/>
      </w:tblGrid>
      <w:tr>
        <w:tc>
          <w:tcPr>
            <w:tcW w:type="dxa" w:w="10080"/>
            <w:shd w:fill="E2F0D9"/>
            <w:tcMar>
              <w:top w:w="85" w:type="dxa"/>
              <w:start w:w="120" w:type="dxa"/>
              <w:bottom w:w="85" w:type="dxa"/>
              <w:end w:w="120" w:type="dxa"/>
            </w:tcMar>
          </w:tcPr>
          <w:p>
            <w:pPr>
              <w:pStyle w:val="Callout"/>
            </w:pPr>
            <w:r>
              <w:t>Publishing model: publish Foundations, Primitives, App Shell, Data &amp; Content, and stable Domain Modules as the shared library. Keep Patterns and Prototype Blocks local to the product file until design and engineering agree they are reusable.</w:t>
            </w:r>
          </w:p>
        </w:tc>
      </w:tr>
    </w:tbl>
    <w:p/>
    <w:p>
      <w:pPr>
        <w:pStyle w:val="HeadingBlue"/>
      </w:pPr>
      <w:r>
        <w:t>3. Naming, structure, and variant rules</w:t>
      </w:r>
    </w:p>
    <w:p>
      <w:pPr>
        <w:spacing w:after="20"/>
        <w:ind w:left="259" w:hanging="173"/>
      </w:pPr>
      <w:r>
        <w:rPr>
          <w:sz w:val="20"/>
        </w:rPr>
        <w:t>• Use a consistent slash hierarchy: Category / Component / Variant / State. Example: Navigation / SideNav / Item / Active.</w:t>
      </w:r>
    </w:p>
    <w:p>
      <w:pPr>
        <w:spacing w:after="20"/>
        <w:ind w:left="259" w:hanging="173"/>
      </w:pPr>
      <w:r>
        <w:rPr>
          <w:sz w:val="20"/>
        </w:rPr>
        <w:t>• Separate visual size from semantic type. Example: Badge / Status / Medium and Badge / Metric / Medium should not be a single overloaded set.</w:t>
      </w:r>
    </w:p>
    <w:p>
      <w:pPr>
        <w:spacing w:after="20"/>
        <w:ind w:left="259" w:hanging="173"/>
      </w:pPr>
      <w:r>
        <w:rPr>
          <w:sz w:val="20"/>
        </w:rPr>
        <w:t>• Prefer boolean or enumerated properties over duplicate components. Typical properties: size, emphasis, state, icon-left, icon-right, density, has-helper, has-prefix, has-suffix.</w:t>
      </w:r>
    </w:p>
    <w:p>
      <w:pPr>
        <w:spacing w:after="20"/>
        <w:ind w:left="259" w:hanging="173"/>
      </w:pPr>
      <w:r>
        <w:rPr>
          <w:sz w:val="20"/>
        </w:rPr>
        <w:t>• Treat content slots explicitly in documentation: title, subtitle, metadata row, action row, footer, evidence chip group, right rail actions.</w:t>
      </w:r>
    </w:p>
    <w:p>
      <w:pPr>
        <w:spacing w:after="20"/>
        <w:ind w:left="259" w:hanging="173"/>
      </w:pPr>
      <w:r>
        <w:rPr>
          <w:sz w:val="20"/>
        </w:rPr>
        <w:t>• Use component descriptions in Figma to specify accessibility expectations, content limits, and intended use cases.</w:t>
      </w:r>
    </w:p>
    <w:p>
      <w:pPr>
        <w:pStyle w:val="HeadingBlue"/>
      </w:pPr>
      <w:r>
        <w:t>4. Foundation layer</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232"/>
        <w:gridCol w:w="3816"/>
        <w:gridCol w:w="3672"/>
      </w:tblGrid>
      <w:tr>
        <w:trPr>
          <w:tblHeader w:val="true"/>
        </w:trPr>
        <w:tc>
          <w:tcPr>
            <w:tcW w:type="dxa" w:w="3360"/>
            <w:shd w:fill="1F4E79"/>
            <w:tcMar>
              <w:top w:w="80" w:type="dxa"/>
              <w:start w:w="100" w:type="dxa"/>
              <w:bottom w:w="80" w:type="dxa"/>
              <w:end w:w="100" w:type="dxa"/>
            </w:tcMar>
            <w:vAlign w:val="center"/>
          </w:tcPr>
          <w:p>
            <w:pPr>
              <w:jc w:val="center"/>
            </w:pPr>
            <w:r>
              <w:rPr>
                <w:b/>
                <w:color w:val="FFFFFF"/>
                <w:sz w:val="17"/>
              </w:rPr>
              <w:t>Foundation token group</w:t>
            </w:r>
          </w:p>
        </w:tc>
        <w:tc>
          <w:tcPr>
            <w:tcW w:type="dxa" w:w="3360"/>
            <w:shd w:fill="1F4E79"/>
            <w:tcMar>
              <w:top w:w="80" w:type="dxa"/>
              <w:start w:w="100" w:type="dxa"/>
              <w:bottom w:w="80" w:type="dxa"/>
              <w:end w:w="100" w:type="dxa"/>
            </w:tcMar>
            <w:vAlign w:val="center"/>
          </w:tcPr>
          <w:p>
            <w:pPr>
              <w:jc w:val="center"/>
            </w:pPr>
            <w:r>
              <w:rPr>
                <w:b/>
                <w:color w:val="FFFFFF"/>
                <w:sz w:val="17"/>
              </w:rPr>
              <w:t>What to define</w:t>
            </w:r>
          </w:p>
        </w:tc>
        <w:tc>
          <w:tcPr>
            <w:tcW w:type="dxa" w:w="3360"/>
            <w:shd w:fill="1F4E79"/>
            <w:tcMar>
              <w:top w:w="80" w:type="dxa"/>
              <w:start w:w="100" w:type="dxa"/>
              <w:bottom w:w="80" w:type="dxa"/>
              <w:end w:w="100" w:type="dxa"/>
            </w:tcMar>
            <w:vAlign w:val="center"/>
          </w:tcPr>
          <w:p>
            <w:pPr>
              <w:jc w:val="center"/>
            </w:pPr>
            <w:r>
              <w:rPr>
                <w:b/>
                <w:color w:val="FFFFFF"/>
                <w:sz w:val="17"/>
              </w:rPr>
              <w:t>Implementation guidance</w:t>
            </w:r>
          </w:p>
        </w:tc>
      </w:tr>
      <w:tr>
        <w:tc>
          <w:tcPr>
            <w:tcW w:type="dxa" w:w="3360"/>
            <w:tcMar>
              <w:top w:w="70" w:type="dxa"/>
              <w:start w:w="110" w:type="dxa"/>
              <w:bottom w:w="70" w:type="dxa"/>
              <w:end w:w="110" w:type="dxa"/>
            </w:tcMar>
            <w:vAlign w:val="center"/>
            <w:shd w:fill="EAF2F8"/>
          </w:tcPr>
          <w:p>
            <w:r>
              <w:rPr>
                <w:b/>
                <w:color w:val="1F4E79"/>
                <w:sz w:val="16"/>
              </w:rPr>
              <w:t>Color</w:t>
            </w:r>
          </w:p>
        </w:tc>
        <w:tc>
          <w:tcPr>
            <w:tcW w:type="dxa" w:w="3360"/>
            <w:tcMar>
              <w:top w:w="70" w:type="dxa"/>
              <w:start w:w="110" w:type="dxa"/>
              <w:bottom w:w="70" w:type="dxa"/>
              <w:end w:w="110" w:type="dxa"/>
            </w:tcMar>
            <w:vAlign w:val="center"/>
          </w:tcPr>
          <w:p>
            <w:r>
              <w:rPr>
                <w:sz w:val="16"/>
              </w:rPr>
              <w:t>Background, surface, border, text, icon, accent, success, warning, danger, info, selection, chart ramps.</w:t>
            </w:r>
          </w:p>
        </w:tc>
        <w:tc>
          <w:tcPr>
            <w:tcW w:type="dxa" w:w="3360"/>
            <w:tcMar>
              <w:top w:w="70" w:type="dxa"/>
              <w:start w:w="110" w:type="dxa"/>
              <w:bottom w:w="70" w:type="dxa"/>
              <w:end w:w="110" w:type="dxa"/>
            </w:tcMar>
            <w:vAlign w:val="center"/>
          </w:tcPr>
          <w:p>
            <w:r>
              <w:rPr>
                <w:sz w:val="16"/>
              </w:rPr>
              <w:t>Create semantic variables first, then alias raw palette values.</w:t>
            </w:r>
          </w:p>
        </w:tc>
      </w:tr>
      <w:tr>
        <w:tc>
          <w:tcPr>
            <w:tcW w:type="dxa" w:w="3360"/>
            <w:tcMar>
              <w:top w:w="70" w:type="dxa"/>
              <w:start w:w="110" w:type="dxa"/>
              <w:bottom w:w="70" w:type="dxa"/>
              <w:end w:w="110" w:type="dxa"/>
            </w:tcMar>
            <w:vAlign w:val="center"/>
            <w:shd w:fill="EAF2F8"/>
          </w:tcPr>
          <w:p>
            <w:r>
              <w:rPr>
                <w:b/>
                <w:color w:val="1F4E79"/>
                <w:sz w:val="16"/>
              </w:rPr>
              <w:t>Typography</w:t>
            </w:r>
          </w:p>
        </w:tc>
        <w:tc>
          <w:tcPr>
            <w:tcW w:type="dxa" w:w="3360"/>
            <w:tcMar>
              <w:top w:w="70" w:type="dxa"/>
              <w:start w:w="110" w:type="dxa"/>
              <w:bottom w:w="70" w:type="dxa"/>
              <w:end w:w="110" w:type="dxa"/>
            </w:tcMar>
            <w:vAlign w:val="center"/>
          </w:tcPr>
          <w:p>
            <w:r>
              <w:rPr>
                <w:sz w:val="16"/>
              </w:rPr>
              <w:t>Display, title, section, body, label, caption, code/data styles, numeric styles.</w:t>
            </w:r>
          </w:p>
        </w:tc>
        <w:tc>
          <w:tcPr>
            <w:tcW w:type="dxa" w:w="3360"/>
            <w:tcMar>
              <w:top w:w="70" w:type="dxa"/>
              <w:start w:w="110" w:type="dxa"/>
              <w:bottom w:w="70" w:type="dxa"/>
              <w:end w:w="110" w:type="dxa"/>
            </w:tcMar>
            <w:vAlign w:val="center"/>
          </w:tcPr>
          <w:p>
            <w:r>
              <w:rPr>
                <w:sz w:val="16"/>
              </w:rPr>
              <w:t>Define line heights and letter spacing alongside font size.</w:t>
            </w:r>
          </w:p>
        </w:tc>
      </w:tr>
      <w:tr>
        <w:tc>
          <w:tcPr>
            <w:tcW w:type="dxa" w:w="3360"/>
            <w:tcMar>
              <w:top w:w="70" w:type="dxa"/>
              <w:start w:w="110" w:type="dxa"/>
              <w:bottom w:w="70" w:type="dxa"/>
              <w:end w:w="110" w:type="dxa"/>
            </w:tcMar>
            <w:vAlign w:val="center"/>
            <w:shd w:fill="EAF2F8"/>
          </w:tcPr>
          <w:p>
            <w:r>
              <w:rPr>
                <w:b/>
                <w:color w:val="1F4E79"/>
                <w:sz w:val="16"/>
              </w:rPr>
              <w:t>Spacing</w:t>
            </w:r>
          </w:p>
        </w:tc>
        <w:tc>
          <w:tcPr>
            <w:tcW w:type="dxa" w:w="3360"/>
            <w:tcMar>
              <w:top w:w="70" w:type="dxa"/>
              <w:start w:w="110" w:type="dxa"/>
              <w:bottom w:w="70" w:type="dxa"/>
              <w:end w:w="110" w:type="dxa"/>
            </w:tcMar>
            <w:vAlign w:val="center"/>
          </w:tcPr>
          <w:p>
            <w:r>
              <w:rPr>
                <w:sz w:val="16"/>
              </w:rPr>
              <w:t>4/8-based spacing scale, layout gaps, panel padding, table cell padding, modal padding.</w:t>
            </w:r>
          </w:p>
        </w:tc>
        <w:tc>
          <w:tcPr>
            <w:tcW w:type="dxa" w:w="3360"/>
            <w:tcMar>
              <w:top w:w="70" w:type="dxa"/>
              <w:start w:w="110" w:type="dxa"/>
              <w:bottom w:w="70" w:type="dxa"/>
              <w:end w:w="110" w:type="dxa"/>
            </w:tcMar>
            <w:vAlign w:val="center"/>
          </w:tcPr>
          <w:p>
            <w:r>
              <w:rPr>
                <w:sz w:val="16"/>
              </w:rPr>
              <w:t>Keep spacing predictable so auto layout remains stable.</w:t>
            </w:r>
          </w:p>
        </w:tc>
      </w:tr>
      <w:tr>
        <w:tc>
          <w:tcPr>
            <w:tcW w:type="dxa" w:w="3360"/>
            <w:tcMar>
              <w:top w:w="70" w:type="dxa"/>
              <w:start w:w="110" w:type="dxa"/>
              <w:bottom w:w="70" w:type="dxa"/>
              <w:end w:w="110" w:type="dxa"/>
            </w:tcMar>
            <w:vAlign w:val="center"/>
            <w:shd w:fill="EAF2F8"/>
          </w:tcPr>
          <w:p>
            <w:r>
              <w:rPr>
                <w:b/>
                <w:color w:val="1F4E79"/>
                <w:sz w:val="16"/>
              </w:rPr>
              <w:t>Corner radius</w:t>
            </w:r>
          </w:p>
        </w:tc>
        <w:tc>
          <w:tcPr>
            <w:tcW w:type="dxa" w:w="3360"/>
            <w:tcMar>
              <w:top w:w="70" w:type="dxa"/>
              <w:start w:w="110" w:type="dxa"/>
              <w:bottom w:w="70" w:type="dxa"/>
              <w:end w:w="110" w:type="dxa"/>
            </w:tcMar>
            <w:vAlign w:val="center"/>
          </w:tcPr>
          <w:p>
            <w:r>
              <w:rPr>
                <w:sz w:val="16"/>
              </w:rPr>
              <w:t>Small, medium, large, pill, overlay.</w:t>
            </w:r>
          </w:p>
        </w:tc>
        <w:tc>
          <w:tcPr>
            <w:tcW w:type="dxa" w:w="3360"/>
            <w:tcMar>
              <w:top w:w="70" w:type="dxa"/>
              <w:start w:w="110" w:type="dxa"/>
              <w:bottom w:w="70" w:type="dxa"/>
              <w:end w:w="110" w:type="dxa"/>
            </w:tcMar>
            <w:vAlign w:val="center"/>
          </w:tcPr>
          <w:p>
            <w:r>
              <w:rPr>
                <w:sz w:val="16"/>
              </w:rPr>
              <w:t>Use a restrained radius system; avoid ad hoc rounding.</w:t>
            </w:r>
          </w:p>
        </w:tc>
      </w:tr>
      <w:tr>
        <w:tc>
          <w:tcPr>
            <w:tcW w:type="dxa" w:w="3360"/>
            <w:tcMar>
              <w:top w:w="70" w:type="dxa"/>
              <w:start w:w="110" w:type="dxa"/>
              <w:bottom w:w="70" w:type="dxa"/>
              <w:end w:w="110" w:type="dxa"/>
            </w:tcMar>
            <w:vAlign w:val="center"/>
            <w:shd w:fill="EAF2F8"/>
          </w:tcPr>
          <w:p>
            <w:r>
              <w:rPr>
                <w:b/>
                <w:color w:val="1F4E79"/>
                <w:sz w:val="16"/>
              </w:rPr>
              <w:t>Elevation</w:t>
            </w:r>
          </w:p>
        </w:tc>
        <w:tc>
          <w:tcPr>
            <w:tcW w:type="dxa" w:w="3360"/>
            <w:tcMar>
              <w:top w:w="70" w:type="dxa"/>
              <w:start w:w="110" w:type="dxa"/>
              <w:bottom w:w="70" w:type="dxa"/>
              <w:end w:w="110" w:type="dxa"/>
            </w:tcMar>
            <w:vAlign w:val="center"/>
          </w:tcPr>
          <w:p>
            <w:r>
              <w:rPr>
                <w:sz w:val="16"/>
              </w:rPr>
              <w:t>Flat, raised, floating, overlay, focus ring.</w:t>
            </w:r>
          </w:p>
        </w:tc>
        <w:tc>
          <w:tcPr>
            <w:tcW w:type="dxa" w:w="3360"/>
            <w:tcMar>
              <w:top w:w="70" w:type="dxa"/>
              <w:start w:w="110" w:type="dxa"/>
              <w:bottom w:w="70" w:type="dxa"/>
              <w:end w:w="110" w:type="dxa"/>
            </w:tcMar>
            <w:vAlign w:val="center"/>
          </w:tcPr>
          <w:p>
            <w:r>
              <w:rPr>
                <w:sz w:val="16"/>
              </w:rPr>
              <w:t>Use shadows sparingly; rely on border and surface contrast too.</w:t>
            </w:r>
          </w:p>
        </w:tc>
      </w:tr>
      <w:tr>
        <w:tc>
          <w:tcPr>
            <w:tcW w:type="dxa" w:w="3360"/>
            <w:tcMar>
              <w:top w:w="70" w:type="dxa"/>
              <w:start w:w="110" w:type="dxa"/>
              <w:bottom w:w="70" w:type="dxa"/>
              <w:end w:w="110" w:type="dxa"/>
            </w:tcMar>
            <w:vAlign w:val="center"/>
            <w:shd w:fill="EAF2F8"/>
          </w:tcPr>
          <w:p>
            <w:r>
              <w:rPr>
                <w:b/>
                <w:color w:val="1F4E79"/>
                <w:sz w:val="16"/>
              </w:rPr>
              <w:t>Motion</w:t>
            </w:r>
          </w:p>
        </w:tc>
        <w:tc>
          <w:tcPr>
            <w:tcW w:type="dxa" w:w="3360"/>
            <w:tcMar>
              <w:top w:w="70" w:type="dxa"/>
              <w:start w:w="110" w:type="dxa"/>
              <w:bottom w:w="70" w:type="dxa"/>
              <w:end w:w="110" w:type="dxa"/>
            </w:tcMar>
            <w:vAlign w:val="center"/>
          </w:tcPr>
          <w:p>
            <w:r>
              <w:rPr>
                <w:sz w:val="16"/>
              </w:rPr>
              <w:t>Fast, standard, slow transitions and easing families.</w:t>
            </w:r>
          </w:p>
        </w:tc>
        <w:tc>
          <w:tcPr>
            <w:tcW w:type="dxa" w:w="3360"/>
            <w:tcMar>
              <w:top w:w="70" w:type="dxa"/>
              <w:start w:w="110" w:type="dxa"/>
              <w:bottom w:w="70" w:type="dxa"/>
              <w:end w:w="110" w:type="dxa"/>
            </w:tcMar>
            <w:vAlign w:val="center"/>
          </w:tcPr>
          <w:p>
            <w:r>
              <w:rPr>
                <w:sz w:val="16"/>
              </w:rPr>
              <w:t>Document use in prototype blocks, even if engineering tokens come later.</w:t>
            </w:r>
          </w:p>
        </w:tc>
      </w:tr>
      <w:tr>
        <w:tc>
          <w:tcPr>
            <w:tcW w:type="dxa" w:w="3360"/>
            <w:tcMar>
              <w:top w:w="70" w:type="dxa"/>
              <w:start w:w="110" w:type="dxa"/>
              <w:bottom w:w="70" w:type="dxa"/>
              <w:end w:w="110" w:type="dxa"/>
            </w:tcMar>
            <w:vAlign w:val="center"/>
            <w:shd w:fill="EAF2F8"/>
          </w:tcPr>
          <w:p>
            <w:r>
              <w:rPr>
                <w:b/>
                <w:color w:val="1F4E79"/>
                <w:sz w:val="16"/>
              </w:rPr>
              <w:t>Grid &amp; breakpoints</w:t>
            </w:r>
          </w:p>
        </w:tc>
        <w:tc>
          <w:tcPr>
            <w:tcW w:type="dxa" w:w="3360"/>
            <w:tcMar>
              <w:top w:w="70" w:type="dxa"/>
              <w:start w:w="110" w:type="dxa"/>
              <w:bottom w:w="70" w:type="dxa"/>
              <w:end w:w="110" w:type="dxa"/>
            </w:tcMar>
            <w:vAlign w:val="center"/>
          </w:tcPr>
          <w:p>
            <w:r>
              <w:rPr>
                <w:sz w:val="16"/>
              </w:rPr>
              <w:t>Desktop max widths, two-column editor layout, right-rail widths, dense-table widths.</w:t>
            </w:r>
          </w:p>
        </w:tc>
        <w:tc>
          <w:tcPr>
            <w:tcW w:type="dxa" w:w="3360"/>
            <w:tcMar>
              <w:top w:w="70" w:type="dxa"/>
              <w:start w:w="110" w:type="dxa"/>
              <w:bottom w:w="70" w:type="dxa"/>
              <w:end w:w="110" w:type="dxa"/>
            </w:tcMar>
            <w:vAlign w:val="center"/>
          </w:tcPr>
          <w:p>
            <w:r>
              <w:rPr>
                <w:sz w:val="16"/>
              </w:rPr>
              <w:t>Optimize for desktop-first use with review-friendly tablet behavior.</w:t>
            </w:r>
          </w:p>
        </w:tc>
      </w:tr>
    </w:tbl>
    <w:p/>
    <w:p>
      <w:pPr>
        <w:pStyle w:val="HeadingBlue"/>
      </w:pPr>
      <w:r>
        <w:t>5. Component library map</w:t>
      </w:r>
    </w:p>
    <w:p>
      <w:pPr/>
      <w:r>
        <w:t>The following categories are the recommended minimum component inventory for v1. They are organized from universal primitives to domain-specific modules.</w:t>
      </w:r>
    </w:p>
    <w:p>
      <w:pPr>
        <w:pStyle w:val="HeadingBlue2"/>
      </w:pPr>
      <w:r>
        <w:t>5.1 App shell and navigation</w:t>
      </w:r>
    </w:p>
    <w:p>
      <w:pPr/>
      <w:r>
        <w:t>These components give the product a stable frame. If this category is inconsistent, the whole platform will feel fragmented.</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2880"/>
        <w:gridCol w:w="2808"/>
        <w:gridCol w:w="2088"/>
      </w:tblGrid>
      <w:tr>
        <w:trPr>
          <w:tblHeader w:val="true"/>
        </w:trPr>
        <w:tc>
          <w:tcPr>
            <w:tcW w:type="dxa" w:w="2520"/>
            <w:shd w:fill="1F4E79"/>
            <w:tcMar>
              <w:top w:w="80" w:type="dxa"/>
              <w:start w:w="100" w:type="dxa"/>
              <w:bottom w:w="80" w:type="dxa"/>
              <w:end w:w="100" w:type="dxa"/>
            </w:tcMar>
            <w:vAlign w:val="center"/>
          </w:tcPr>
          <w:p>
            <w:pPr>
              <w:jc w:val="center"/>
            </w:pPr>
            <w:r>
              <w:rPr>
                <w:b/>
                <w:color w:val="FFFFFF"/>
                <w:sz w:val="17"/>
              </w:rPr>
              <w:t>Component</w:t>
            </w:r>
          </w:p>
        </w:tc>
        <w:tc>
          <w:tcPr>
            <w:tcW w:type="dxa" w:w="2520"/>
            <w:shd w:fill="1F4E79"/>
            <w:tcMar>
              <w:top w:w="80" w:type="dxa"/>
              <w:start w:w="100" w:type="dxa"/>
              <w:bottom w:w="80" w:type="dxa"/>
              <w:end w:w="100" w:type="dxa"/>
            </w:tcMar>
            <w:vAlign w:val="center"/>
          </w:tcPr>
          <w:p>
            <w:pPr>
              <w:jc w:val="center"/>
            </w:pPr>
            <w:r>
              <w:rPr>
                <w:b/>
                <w:color w:val="FFFFFF"/>
                <w:sz w:val="17"/>
              </w:rPr>
              <w:t>Purpose</w:t>
            </w:r>
          </w:p>
        </w:tc>
        <w:tc>
          <w:tcPr>
            <w:tcW w:type="dxa" w:w="2520"/>
            <w:shd w:fill="1F4E79"/>
            <w:tcMar>
              <w:top w:w="80" w:type="dxa"/>
              <w:start w:w="100" w:type="dxa"/>
              <w:bottom w:w="80" w:type="dxa"/>
              <w:end w:w="100" w:type="dxa"/>
            </w:tcMar>
            <w:vAlign w:val="center"/>
          </w:tcPr>
          <w:p>
            <w:pPr>
              <w:jc w:val="center"/>
            </w:pPr>
            <w:r>
              <w:rPr>
                <w:b/>
                <w:color w:val="FFFFFF"/>
                <w:sz w:val="17"/>
              </w:rPr>
              <w:t>Required variants / states</w:t>
            </w:r>
          </w:p>
        </w:tc>
        <w:tc>
          <w:tcPr>
            <w:tcW w:type="dxa" w:w="2520"/>
            <w:shd w:fill="1F4E79"/>
            <w:tcMar>
              <w:top w:w="80" w:type="dxa"/>
              <w:start w:w="100" w:type="dxa"/>
              <w:bottom w:w="80" w:type="dxa"/>
              <w:end w:w="100" w:type="dxa"/>
            </w:tcMar>
            <w:vAlign w:val="center"/>
          </w:tcPr>
          <w:p>
            <w:pPr>
              <w:jc w:val="center"/>
            </w:pPr>
            <w:r>
              <w:rPr>
                <w:b/>
                <w:color w:val="FFFFFF"/>
                <w:sz w:val="17"/>
              </w:rPr>
              <w:t>Figma construction guidance</w:t>
            </w:r>
          </w:p>
        </w:tc>
      </w:tr>
      <w:tr>
        <w:tc>
          <w:tcPr>
            <w:tcW w:type="dxa" w:w="2520"/>
            <w:tcMar>
              <w:top w:w="70" w:type="dxa"/>
              <w:start w:w="110" w:type="dxa"/>
              <w:bottom w:w="70" w:type="dxa"/>
              <w:end w:w="110" w:type="dxa"/>
            </w:tcMar>
            <w:vAlign w:val="center"/>
            <w:shd w:fill="EAF2F8"/>
          </w:tcPr>
          <w:p>
            <w:r>
              <w:rPr>
                <w:b/>
                <w:color w:val="1F4E79"/>
                <w:sz w:val="16"/>
              </w:rPr>
              <w:t>Side navigation</w:t>
            </w:r>
          </w:p>
        </w:tc>
        <w:tc>
          <w:tcPr>
            <w:tcW w:type="dxa" w:w="2520"/>
            <w:tcMar>
              <w:top w:w="70" w:type="dxa"/>
              <w:start w:w="110" w:type="dxa"/>
              <w:bottom w:w="70" w:type="dxa"/>
              <w:end w:w="110" w:type="dxa"/>
            </w:tcMar>
            <w:vAlign w:val="center"/>
          </w:tcPr>
          <w:p>
            <w:r>
              <w:rPr>
                <w:sz w:val="16"/>
              </w:rPr>
              <w:t>Primary product navigation with product-wide sections and optional team/workspace switcher.</w:t>
            </w:r>
          </w:p>
        </w:tc>
        <w:tc>
          <w:tcPr>
            <w:tcW w:type="dxa" w:w="2520"/>
            <w:tcMar>
              <w:top w:w="70" w:type="dxa"/>
              <w:start w:w="110" w:type="dxa"/>
              <w:bottom w:w="70" w:type="dxa"/>
              <w:end w:w="110" w:type="dxa"/>
            </w:tcMar>
            <w:vAlign w:val="center"/>
          </w:tcPr>
          <w:p>
            <w:r>
              <w:rPr>
                <w:sz w:val="16"/>
              </w:rPr>
              <w:t>Collapsed, expanded, active, hover, alert dot, with section label.</w:t>
            </w:r>
          </w:p>
        </w:tc>
        <w:tc>
          <w:tcPr>
            <w:tcW w:type="dxa" w:w="2520"/>
            <w:tcMar>
              <w:top w:w="70" w:type="dxa"/>
              <w:start w:w="110" w:type="dxa"/>
              <w:bottom w:w="70" w:type="dxa"/>
              <w:end w:w="110" w:type="dxa"/>
            </w:tcMar>
            <w:vAlign w:val="center"/>
          </w:tcPr>
          <w:p>
            <w:r>
              <w:rPr>
                <w:sz w:val="16"/>
              </w:rPr>
              <w:t>Build container + item + group subcomponents; support pinned and compact modes.</w:t>
            </w:r>
          </w:p>
        </w:tc>
      </w:tr>
      <w:tr>
        <w:tc>
          <w:tcPr>
            <w:tcW w:type="dxa" w:w="2520"/>
            <w:tcMar>
              <w:top w:w="70" w:type="dxa"/>
              <w:start w:w="110" w:type="dxa"/>
              <w:bottom w:w="70" w:type="dxa"/>
              <w:end w:w="110" w:type="dxa"/>
            </w:tcMar>
            <w:vAlign w:val="center"/>
            <w:shd w:fill="EAF2F8"/>
          </w:tcPr>
          <w:p>
            <w:r>
              <w:rPr>
                <w:b/>
                <w:color w:val="1F4E79"/>
                <w:sz w:val="16"/>
              </w:rPr>
              <w:t>Top bar</w:t>
            </w:r>
          </w:p>
        </w:tc>
        <w:tc>
          <w:tcPr>
            <w:tcW w:type="dxa" w:w="2520"/>
            <w:tcMar>
              <w:top w:w="70" w:type="dxa"/>
              <w:start w:w="110" w:type="dxa"/>
              <w:bottom w:w="70" w:type="dxa"/>
              <w:end w:w="110" w:type="dxa"/>
            </w:tcMar>
            <w:vAlign w:val="center"/>
          </w:tcPr>
          <w:p>
            <w:r>
              <w:rPr>
                <w:sz w:val="16"/>
              </w:rPr>
              <w:t>Global search, command entry, notifications, environment badge, user menu.</w:t>
            </w:r>
          </w:p>
        </w:tc>
        <w:tc>
          <w:tcPr>
            <w:tcW w:type="dxa" w:w="2520"/>
            <w:tcMar>
              <w:top w:w="70" w:type="dxa"/>
              <w:start w:w="110" w:type="dxa"/>
              <w:bottom w:w="70" w:type="dxa"/>
              <w:end w:w="110" w:type="dxa"/>
            </w:tcMar>
            <w:vAlign w:val="center"/>
          </w:tcPr>
          <w:p>
            <w:r>
              <w:rPr>
                <w:sz w:val="16"/>
              </w:rPr>
              <w:t>Default, search-open, alert-present, multi-workspace.</w:t>
            </w:r>
          </w:p>
        </w:tc>
        <w:tc>
          <w:tcPr>
            <w:tcW w:type="dxa" w:w="2520"/>
            <w:tcMar>
              <w:top w:w="70" w:type="dxa"/>
              <w:start w:w="110" w:type="dxa"/>
              <w:bottom w:w="70" w:type="dxa"/>
              <w:end w:w="110" w:type="dxa"/>
            </w:tcMar>
            <w:vAlign w:val="center"/>
          </w:tcPr>
          <w:p>
            <w:r>
              <w:rPr>
                <w:sz w:val="16"/>
              </w:rPr>
              <w:t>Keep left/right slots flexible so product can evolve.</w:t>
            </w:r>
          </w:p>
        </w:tc>
      </w:tr>
      <w:tr>
        <w:tc>
          <w:tcPr>
            <w:tcW w:type="dxa" w:w="2520"/>
            <w:tcMar>
              <w:top w:w="70" w:type="dxa"/>
              <w:start w:w="110" w:type="dxa"/>
              <w:bottom w:w="70" w:type="dxa"/>
              <w:end w:w="110" w:type="dxa"/>
            </w:tcMar>
            <w:vAlign w:val="center"/>
            <w:shd w:fill="EAF2F8"/>
          </w:tcPr>
          <w:p>
            <w:r>
              <w:rPr>
                <w:b/>
                <w:color w:val="1F4E79"/>
                <w:sz w:val="16"/>
              </w:rPr>
              <w:t>Page header</w:t>
            </w:r>
          </w:p>
        </w:tc>
        <w:tc>
          <w:tcPr>
            <w:tcW w:type="dxa" w:w="2520"/>
            <w:tcMar>
              <w:top w:w="70" w:type="dxa"/>
              <w:start w:w="110" w:type="dxa"/>
              <w:bottom w:w="70" w:type="dxa"/>
              <w:end w:w="110" w:type="dxa"/>
            </w:tcMar>
            <w:vAlign w:val="center"/>
          </w:tcPr>
          <w:p>
            <w:r>
              <w:rPr>
                <w:sz w:val="16"/>
              </w:rPr>
              <w:t>Context title, subtitle, breadcrumbs, status, primary actions.</w:t>
            </w:r>
          </w:p>
        </w:tc>
        <w:tc>
          <w:tcPr>
            <w:tcW w:type="dxa" w:w="2520"/>
            <w:tcMar>
              <w:top w:w="70" w:type="dxa"/>
              <w:start w:w="110" w:type="dxa"/>
              <w:bottom w:w="70" w:type="dxa"/>
              <w:end w:w="110" w:type="dxa"/>
            </w:tcMar>
            <w:vAlign w:val="center"/>
          </w:tcPr>
          <w:p>
            <w:r>
              <w:rPr>
                <w:sz w:val="16"/>
              </w:rPr>
              <w:t>Simple, with tabs, with environment switcher, with approval banner.</w:t>
            </w:r>
          </w:p>
        </w:tc>
        <w:tc>
          <w:tcPr>
            <w:tcW w:type="dxa" w:w="2520"/>
            <w:tcMar>
              <w:top w:w="70" w:type="dxa"/>
              <w:start w:w="110" w:type="dxa"/>
              <w:bottom w:w="70" w:type="dxa"/>
              <w:end w:w="110" w:type="dxa"/>
            </w:tcMar>
            <w:vAlign w:val="center"/>
          </w:tcPr>
          <w:p>
            <w:r>
              <w:rPr>
                <w:sz w:val="16"/>
              </w:rPr>
              <w:t>Use a slot architecture so screens do not fork the header design.</w:t>
            </w:r>
          </w:p>
        </w:tc>
      </w:tr>
      <w:tr>
        <w:tc>
          <w:tcPr>
            <w:tcW w:type="dxa" w:w="2520"/>
            <w:tcMar>
              <w:top w:w="70" w:type="dxa"/>
              <w:start w:w="110" w:type="dxa"/>
              <w:bottom w:w="70" w:type="dxa"/>
              <w:end w:w="110" w:type="dxa"/>
            </w:tcMar>
            <w:vAlign w:val="center"/>
            <w:shd w:fill="EAF2F8"/>
          </w:tcPr>
          <w:p>
            <w:r>
              <w:rPr>
                <w:b/>
                <w:color w:val="1F4E79"/>
                <w:sz w:val="16"/>
              </w:rPr>
              <w:t>Command bar</w:t>
            </w:r>
          </w:p>
        </w:tc>
        <w:tc>
          <w:tcPr>
            <w:tcW w:type="dxa" w:w="2520"/>
            <w:tcMar>
              <w:top w:w="70" w:type="dxa"/>
              <w:start w:w="110" w:type="dxa"/>
              <w:bottom w:w="70" w:type="dxa"/>
              <w:end w:w="110" w:type="dxa"/>
            </w:tcMar>
            <w:vAlign w:val="center"/>
          </w:tcPr>
          <w:p>
            <w:r>
              <w:rPr>
                <w:sz w:val="16"/>
              </w:rPr>
              <w:t>AI-native quick actions and navigation search.</w:t>
            </w:r>
          </w:p>
        </w:tc>
        <w:tc>
          <w:tcPr>
            <w:tcW w:type="dxa" w:w="2520"/>
            <w:tcMar>
              <w:top w:w="70" w:type="dxa"/>
              <w:start w:w="110" w:type="dxa"/>
              <w:bottom w:w="70" w:type="dxa"/>
              <w:end w:w="110" w:type="dxa"/>
            </w:tcMar>
            <w:vAlign w:val="center"/>
          </w:tcPr>
          <w:p>
            <w:r>
              <w:rPr>
                <w:sz w:val="16"/>
              </w:rPr>
              <w:t>Idle, focused, suggestion-open, loading, error, keyboard hint.</w:t>
            </w:r>
          </w:p>
        </w:tc>
        <w:tc>
          <w:tcPr>
            <w:tcW w:type="dxa" w:w="2520"/>
            <w:tcMar>
              <w:top w:w="70" w:type="dxa"/>
              <w:start w:w="110" w:type="dxa"/>
              <w:bottom w:w="70" w:type="dxa"/>
              <w:end w:w="110" w:type="dxa"/>
            </w:tcMar>
            <w:vAlign w:val="center"/>
          </w:tcPr>
          <w:p>
            <w:r>
              <w:rPr>
                <w:sz w:val="16"/>
              </w:rPr>
              <w:t>Must support long command strings and grouped suggestions.</w:t>
            </w:r>
          </w:p>
        </w:tc>
      </w:tr>
      <w:tr>
        <w:tc>
          <w:tcPr>
            <w:tcW w:type="dxa" w:w="2520"/>
            <w:tcMar>
              <w:top w:w="70" w:type="dxa"/>
              <w:start w:w="110" w:type="dxa"/>
              <w:bottom w:w="70" w:type="dxa"/>
              <w:end w:w="110" w:type="dxa"/>
            </w:tcMar>
            <w:vAlign w:val="center"/>
            <w:shd w:fill="EAF2F8"/>
          </w:tcPr>
          <w:p>
            <w:r>
              <w:rPr>
                <w:b/>
                <w:color w:val="1F4E79"/>
                <w:sz w:val="16"/>
              </w:rPr>
              <w:t>Right context panel</w:t>
            </w:r>
          </w:p>
        </w:tc>
        <w:tc>
          <w:tcPr>
            <w:tcW w:type="dxa" w:w="2520"/>
            <w:tcMar>
              <w:top w:w="70" w:type="dxa"/>
              <w:start w:w="110" w:type="dxa"/>
              <w:bottom w:w="70" w:type="dxa"/>
              <w:end w:w="110" w:type="dxa"/>
            </w:tcMar>
            <w:vAlign w:val="center"/>
          </w:tcPr>
          <w:p>
            <w:r>
              <w:rPr>
                <w:sz w:val="16"/>
              </w:rPr>
              <w:t>Persistent side panel for recommendations, evidence, warnings, and next actions.</w:t>
            </w:r>
          </w:p>
        </w:tc>
        <w:tc>
          <w:tcPr>
            <w:tcW w:type="dxa" w:w="2520"/>
            <w:tcMar>
              <w:top w:w="70" w:type="dxa"/>
              <w:start w:w="110" w:type="dxa"/>
              <w:bottom w:w="70" w:type="dxa"/>
              <w:end w:w="110" w:type="dxa"/>
            </w:tcMar>
            <w:vAlign w:val="center"/>
          </w:tcPr>
          <w:p>
            <w:r>
              <w:rPr>
                <w:sz w:val="16"/>
              </w:rPr>
              <w:t>Collapsed, open, tabbed, attention-required.</w:t>
            </w:r>
          </w:p>
        </w:tc>
        <w:tc>
          <w:tcPr>
            <w:tcW w:type="dxa" w:w="2520"/>
            <w:tcMar>
              <w:top w:w="70" w:type="dxa"/>
              <w:start w:w="110" w:type="dxa"/>
              <w:bottom w:w="70" w:type="dxa"/>
              <w:end w:w="110" w:type="dxa"/>
            </w:tcMar>
            <w:vAlign w:val="center"/>
          </w:tcPr>
          <w:p>
            <w:r>
              <w:rPr>
                <w:sz w:val="16"/>
              </w:rPr>
              <w:t>Use as a product pattern across Studio, Evaluation, and Governance.</w:t>
            </w:r>
          </w:p>
        </w:tc>
      </w:tr>
    </w:tbl>
    <w:p/>
    <w:p>
      <w:pPr>
        <w:pStyle w:val="HeadingBlue2"/>
      </w:pPr>
      <w:r>
        <w:t>5.2 Core actions and feedback</w:t>
      </w:r>
    </w:p>
    <w:p>
      <w:pPr/>
      <w:r>
        <w:t>These are standard UI primitives, but this product depends on strong state design because users make high-consequence decisions.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2880"/>
        <w:gridCol w:w="2808"/>
        <w:gridCol w:w="2088"/>
      </w:tblGrid>
      <w:tr>
        <w:trPr>
          <w:tblHeader w:val="true"/>
        </w:trPr>
        <w:tc>
          <w:tcPr>
            <w:tcW w:type="dxa" w:w="2520"/>
            <w:shd w:fill="1F4E79"/>
            <w:tcMar>
              <w:top w:w="80" w:type="dxa"/>
              <w:start w:w="100" w:type="dxa"/>
              <w:bottom w:w="80" w:type="dxa"/>
              <w:end w:w="100" w:type="dxa"/>
            </w:tcMar>
            <w:vAlign w:val="center"/>
          </w:tcPr>
          <w:p>
            <w:pPr>
              <w:jc w:val="center"/>
            </w:pPr>
            <w:r>
              <w:rPr>
                <w:b/>
                <w:color w:val="FFFFFF"/>
                <w:sz w:val="17"/>
              </w:rPr>
              <w:t>Component</w:t>
            </w:r>
          </w:p>
        </w:tc>
        <w:tc>
          <w:tcPr>
            <w:tcW w:type="dxa" w:w="2520"/>
            <w:shd w:fill="1F4E79"/>
            <w:tcMar>
              <w:top w:w="80" w:type="dxa"/>
              <w:start w:w="100" w:type="dxa"/>
              <w:bottom w:w="80" w:type="dxa"/>
              <w:end w:w="100" w:type="dxa"/>
            </w:tcMar>
            <w:vAlign w:val="center"/>
          </w:tcPr>
          <w:p>
            <w:pPr>
              <w:jc w:val="center"/>
            </w:pPr>
            <w:r>
              <w:rPr>
                <w:b/>
                <w:color w:val="FFFFFF"/>
                <w:sz w:val="17"/>
              </w:rPr>
              <w:t>Purpose</w:t>
            </w:r>
          </w:p>
        </w:tc>
        <w:tc>
          <w:tcPr>
            <w:tcW w:type="dxa" w:w="2520"/>
            <w:shd w:fill="1F4E79"/>
            <w:tcMar>
              <w:top w:w="80" w:type="dxa"/>
              <w:start w:w="100" w:type="dxa"/>
              <w:bottom w:w="80" w:type="dxa"/>
              <w:end w:w="100" w:type="dxa"/>
            </w:tcMar>
            <w:vAlign w:val="center"/>
          </w:tcPr>
          <w:p>
            <w:pPr>
              <w:jc w:val="center"/>
            </w:pPr>
            <w:r>
              <w:rPr>
                <w:b/>
                <w:color w:val="FFFFFF"/>
                <w:sz w:val="17"/>
              </w:rPr>
              <w:t>Required variants / states</w:t>
            </w:r>
          </w:p>
        </w:tc>
        <w:tc>
          <w:tcPr>
            <w:tcW w:type="dxa" w:w="2520"/>
            <w:shd w:fill="1F4E79"/>
            <w:tcMar>
              <w:top w:w="80" w:type="dxa"/>
              <w:start w:w="100" w:type="dxa"/>
              <w:bottom w:w="80" w:type="dxa"/>
              <w:end w:w="100" w:type="dxa"/>
            </w:tcMar>
            <w:vAlign w:val="center"/>
          </w:tcPr>
          <w:p>
            <w:pPr>
              <w:jc w:val="center"/>
            </w:pPr>
            <w:r>
              <w:rPr>
                <w:b/>
                <w:color w:val="FFFFFF"/>
                <w:sz w:val="17"/>
              </w:rPr>
              <w:t>Figma construction guidance</w:t>
            </w:r>
          </w:p>
        </w:tc>
      </w:tr>
      <w:tr>
        <w:tc>
          <w:tcPr>
            <w:tcW w:type="dxa" w:w="2520"/>
            <w:tcMar>
              <w:top w:w="70" w:type="dxa"/>
              <w:start w:w="110" w:type="dxa"/>
              <w:bottom w:w="70" w:type="dxa"/>
              <w:end w:w="110" w:type="dxa"/>
            </w:tcMar>
            <w:vAlign w:val="center"/>
            <w:shd w:fill="EAF2F8"/>
          </w:tcPr>
          <w:p>
            <w:r>
              <w:rPr>
                <w:b/>
                <w:color w:val="1F4E79"/>
                <w:sz w:val="16"/>
              </w:rPr>
              <w:t>Button</w:t>
            </w:r>
          </w:p>
        </w:tc>
        <w:tc>
          <w:tcPr>
            <w:tcW w:type="dxa" w:w="2520"/>
            <w:tcMar>
              <w:top w:w="70" w:type="dxa"/>
              <w:start w:w="110" w:type="dxa"/>
              <w:bottom w:w="70" w:type="dxa"/>
              <w:end w:w="110" w:type="dxa"/>
            </w:tcMar>
            <w:vAlign w:val="center"/>
          </w:tcPr>
          <w:p>
            <w:r>
              <w:rPr>
                <w:sz w:val="16"/>
              </w:rPr>
              <w:t>Primary, secondary, tertiary, destructive, ghost, icon-only actions.</w:t>
            </w:r>
          </w:p>
        </w:tc>
        <w:tc>
          <w:tcPr>
            <w:tcW w:type="dxa" w:w="2520"/>
            <w:tcMar>
              <w:top w:w="70" w:type="dxa"/>
              <w:start w:w="110" w:type="dxa"/>
              <w:bottom w:w="70" w:type="dxa"/>
              <w:end w:w="110" w:type="dxa"/>
            </w:tcMar>
            <w:vAlign w:val="center"/>
          </w:tcPr>
          <w:p>
            <w:r>
              <w:rPr>
                <w:sz w:val="16"/>
              </w:rPr>
              <w:t>Sizes S/M/L; idle, hover, pressed, disabled, loading.</w:t>
            </w:r>
          </w:p>
        </w:tc>
        <w:tc>
          <w:tcPr>
            <w:tcW w:type="dxa" w:w="2520"/>
            <w:tcMar>
              <w:top w:w="70" w:type="dxa"/>
              <w:start w:w="110" w:type="dxa"/>
              <w:bottom w:w="70" w:type="dxa"/>
              <w:end w:w="110" w:type="dxa"/>
            </w:tcMar>
            <w:vAlign w:val="center"/>
          </w:tcPr>
          <w:p>
            <w:r>
              <w:rPr>
                <w:sz w:val="16"/>
              </w:rPr>
              <w:t>Create icon-left/right slots and progress-safe loading states.</w:t>
            </w:r>
          </w:p>
        </w:tc>
      </w:tr>
      <w:tr>
        <w:tc>
          <w:tcPr>
            <w:tcW w:type="dxa" w:w="2520"/>
            <w:tcMar>
              <w:top w:w="70" w:type="dxa"/>
              <w:start w:w="110" w:type="dxa"/>
              <w:bottom w:w="70" w:type="dxa"/>
              <w:end w:w="110" w:type="dxa"/>
            </w:tcMar>
            <w:vAlign w:val="center"/>
            <w:shd w:fill="EAF2F8"/>
          </w:tcPr>
          <w:p>
            <w:r>
              <w:rPr>
                <w:b/>
                <w:color w:val="1F4E79"/>
                <w:sz w:val="16"/>
              </w:rPr>
              <w:t>Status chip</w:t>
            </w:r>
          </w:p>
        </w:tc>
        <w:tc>
          <w:tcPr>
            <w:tcW w:type="dxa" w:w="2520"/>
            <w:tcMar>
              <w:top w:w="70" w:type="dxa"/>
              <w:start w:w="110" w:type="dxa"/>
              <w:bottom w:w="70" w:type="dxa"/>
              <w:end w:w="110" w:type="dxa"/>
            </w:tcMar>
            <w:vAlign w:val="center"/>
          </w:tcPr>
          <w:p>
            <w:r>
              <w:rPr>
                <w:sz w:val="16"/>
              </w:rPr>
              <w:t>Persistent lifecycle and health states such as Draft, Approved, Canary, Degraded.</w:t>
            </w:r>
          </w:p>
        </w:tc>
        <w:tc>
          <w:tcPr>
            <w:tcW w:type="dxa" w:w="2520"/>
            <w:tcMar>
              <w:top w:w="70" w:type="dxa"/>
              <w:start w:w="110" w:type="dxa"/>
              <w:bottom w:w="70" w:type="dxa"/>
              <w:end w:w="110" w:type="dxa"/>
            </w:tcMar>
            <w:vAlign w:val="center"/>
          </w:tcPr>
          <w:p>
            <w:r>
              <w:rPr>
                <w:sz w:val="16"/>
              </w:rPr>
              <w:t>Semantic types, with optional icon, compact/full, dismissible where allowed.</w:t>
            </w:r>
          </w:p>
        </w:tc>
        <w:tc>
          <w:tcPr>
            <w:tcW w:type="dxa" w:w="2520"/>
            <w:tcMar>
              <w:top w:w="70" w:type="dxa"/>
              <w:start w:w="110" w:type="dxa"/>
              <w:bottom w:w="70" w:type="dxa"/>
              <w:end w:w="110" w:type="dxa"/>
            </w:tcMar>
            <w:vAlign w:val="center"/>
          </w:tcPr>
          <w:p>
            <w:r>
              <w:rPr>
                <w:sz w:val="16"/>
              </w:rPr>
              <w:t>Do not overload generic tag styles for critical status meaning.</w:t>
            </w:r>
          </w:p>
        </w:tc>
      </w:tr>
      <w:tr>
        <w:tc>
          <w:tcPr>
            <w:tcW w:type="dxa" w:w="2520"/>
            <w:tcMar>
              <w:top w:w="70" w:type="dxa"/>
              <w:start w:w="110" w:type="dxa"/>
              <w:bottom w:w="70" w:type="dxa"/>
              <w:end w:w="110" w:type="dxa"/>
            </w:tcMar>
            <w:vAlign w:val="center"/>
            <w:shd w:fill="EAF2F8"/>
          </w:tcPr>
          <w:p>
            <w:r>
              <w:rPr>
                <w:b/>
                <w:color w:val="1F4E79"/>
                <w:sz w:val="16"/>
              </w:rPr>
              <w:t>Banner / inline alert</w:t>
            </w:r>
          </w:p>
        </w:tc>
        <w:tc>
          <w:tcPr>
            <w:tcW w:type="dxa" w:w="2520"/>
            <w:tcMar>
              <w:top w:w="70" w:type="dxa"/>
              <w:start w:w="110" w:type="dxa"/>
              <w:bottom w:w="70" w:type="dxa"/>
              <w:end w:w="110" w:type="dxa"/>
            </w:tcMar>
            <w:vAlign w:val="center"/>
          </w:tcPr>
          <w:p>
            <w:r>
              <w:rPr>
                <w:sz w:val="16"/>
              </w:rPr>
              <w:t>Prominent notices for blocking issues, warnings, success, info.</w:t>
            </w:r>
          </w:p>
        </w:tc>
        <w:tc>
          <w:tcPr>
            <w:tcW w:type="dxa" w:w="2520"/>
            <w:tcMar>
              <w:top w:w="70" w:type="dxa"/>
              <w:start w:w="110" w:type="dxa"/>
              <w:bottom w:w="70" w:type="dxa"/>
              <w:end w:w="110" w:type="dxa"/>
            </w:tcMar>
            <w:vAlign w:val="center"/>
          </w:tcPr>
          <w:p>
            <w:r>
              <w:rPr>
                <w:sz w:val="16"/>
              </w:rPr>
              <w:t>Inline, page-level, toast-safe, action-present.</w:t>
            </w:r>
          </w:p>
        </w:tc>
        <w:tc>
          <w:tcPr>
            <w:tcW w:type="dxa" w:w="2520"/>
            <w:tcMar>
              <w:top w:w="70" w:type="dxa"/>
              <w:start w:w="110" w:type="dxa"/>
              <w:bottom w:w="70" w:type="dxa"/>
              <w:end w:w="110" w:type="dxa"/>
            </w:tcMar>
            <w:vAlign w:val="center"/>
          </w:tcPr>
          <w:p>
            <w:r>
              <w:rPr>
                <w:sz w:val="16"/>
              </w:rPr>
              <w:t>Reserve stronger colors for true system or risk messages.</w:t>
            </w:r>
          </w:p>
        </w:tc>
      </w:tr>
      <w:tr>
        <w:tc>
          <w:tcPr>
            <w:tcW w:type="dxa" w:w="2520"/>
            <w:tcMar>
              <w:top w:w="70" w:type="dxa"/>
              <w:start w:w="110" w:type="dxa"/>
              <w:bottom w:w="70" w:type="dxa"/>
              <w:end w:w="110" w:type="dxa"/>
            </w:tcMar>
            <w:vAlign w:val="center"/>
            <w:shd w:fill="EAF2F8"/>
          </w:tcPr>
          <w:p>
            <w:r>
              <w:rPr>
                <w:b/>
                <w:color w:val="1F4E79"/>
                <w:sz w:val="16"/>
              </w:rPr>
              <w:t>Tooltip / helper text</w:t>
            </w:r>
          </w:p>
        </w:tc>
        <w:tc>
          <w:tcPr>
            <w:tcW w:type="dxa" w:w="2520"/>
            <w:tcMar>
              <w:top w:w="70" w:type="dxa"/>
              <w:start w:w="110" w:type="dxa"/>
              <w:bottom w:w="70" w:type="dxa"/>
              <w:end w:w="110" w:type="dxa"/>
            </w:tcMar>
            <w:vAlign w:val="center"/>
          </w:tcPr>
          <w:p>
            <w:r>
              <w:rPr>
                <w:sz w:val="16"/>
              </w:rPr>
              <w:t>Clarify advanced settings, scores, and evidence labels.</w:t>
            </w:r>
          </w:p>
        </w:tc>
        <w:tc>
          <w:tcPr>
            <w:tcW w:type="dxa" w:w="2520"/>
            <w:tcMar>
              <w:top w:w="70" w:type="dxa"/>
              <w:start w:w="110" w:type="dxa"/>
              <w:bottom w:w="70" w:type="dxa"/>
              <w:end w:w="110" w:type="dxa"/>
            </w:tcMar>
            <w:vAlign w:val="center"/>
          </w:tcPr>
          <w:p>
            <w:r>
              <w:rPr>
                <w:sz w:val="16"/>
              </w:rPr>
              <w:t>Short, rich, with link, with keyboard hint.</w:t>
            </w:r>
          </w:p>
        </w:tc>
        <w:tc>
          <w:tcPr>
            <w:tcW w:type="dxa" w:w="2520"/>
            <w:tcMar>
              <w:top w:w="70" w:type="dxa"/>
              <w:start w:w="110" w:type="dxa"/>
              <w:bottom w:w="70" w:type="dxa"/>
              <w:end w:w="110" w:type="dxa"/>
            </w:tcMar>
            <w:vAlign w:val="center"/>
          </w:tcPr>
          <w:p>
            <w:r>
              <w:rPr>
                <w:sz w:val="16"/>
              </w:rPr>
              <w:t>Avoid turning tooltips into long-form documentation.</w:t>
            </w:r>
          </w:p>
        </w:tc>
      </w:tr>
      <w:tr>
        <w:tc>
          <w:tcPr>
            <w:tcW w:type="dxa" w:w="2520"/>
            <w:tcMar>
              <w:top w:w="70" w:type="dxa"/>
              <w:start w:w="110" w:type="dxa"/>
              <w:bottom w:w="70" w:type="dxa"/>
              <w:end w:w="110" w:type="dxa"/>
            </w:tcMar>
            <w:vAlign w:val="center"/>
            <w:shd w:fill="EAF2F8"/>
          </w:tcPr>
          <w:p>
            <w:r>
              <w:rPr>
                <w:b/>
                <w:color w:val="1F4E79"/>
                <w:sz w:val="16"/>
              </w:rPr>
              <w:t>Progress / loader</w:t>
            </w:r>
          </w:p>
        </w:tc>
        <w:tc>
          <w:tcPr>
            <w:tcW w:type="dxa" w:w="2520"/>
            <w:tcMar>
              <w:top w:w="70" w:type="dxa"/>
              <w:start w:w="110" w:type="dxa"/>
              <w:bottom w:w="70" w:type="dxa"/>
              <w:end w:w="110" w:type="dxa"/>
            </w:tcMar>
            <w:vAlign w:val="center"/>
          </w:tcPr>
          <w:p>
            <w:r>
              <w:rPr>
                <w:sz w:val="16"/>
              </w:rPr>
              <w:t>Show long-running generation, evaluation, replay, and deployment tasks.</w:t>
            </w:r>
          </w:p>
        </w:tc>
        <w:tc>
          <w:tcPr>
            <w:tcW w:type="dxa" w:w="2520"/>
            <w:tcMar>
              <w:top w:w="70" w:type="dxa"/>
              <w:start w:w="110" w:type="dxa"/>
              <w:bottom w:w="70" w:type="dxa"/>
              <w:end w:w="110" w:type="dxa"/>
            </w:tcMar>
            <w:vAlign w:val="center"/>
          </w:tcPr>
          <w:p>
            <w:r>
              <w:rPr>
                <w:sz w:val="16"/>
              </w:rPr>
              <w:t>Indeterminate, determinate, step progress, skeleton state.</w:t>
            </w:r>
          </w:p>
        </w:tc>
        <w:tc>
          <w:tcPr>
            <w:tcW w:type="dxa" w:w="2520"/>
            <w:tcMar>
              <w:top w:w="70" w:type="dxa"/>
              <w:start w:w="110" w:type="dxa"/>
              <w:bottom w:w="70" w:type="dxa"/>
              <w:end w:w="110" w:type="dxa"/>
            </w:tcMar>
            <w:vAlign w:val="center"/>
          </w:tcPr>
          <w:p>
            <w:r>
              <w:rPr>
                <w:sz w:val="16"/>
              </w:rPr>
              <w:t>Design for both page-level and in-component loading.</w:t>
            </w:r>
          </w:p>
        </w:tc>
      </w:tr>
    </w:tbl>
    <w:p/>
    <w:p>
      <w:pPr>
        <w:pStyle w:val="HeadingBlue2"/>
      </w:pPr>
      <w:r>
        <w:t>5.3 Forms and input controls</w:t>
      </w:r>
    </w:p>
    <w:p>
      <w:pPr/>
      <w:r>
        <w:t>The platform needs guided intake and structured configuration, so forms must feel deliberate rather than generic.</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2880"/>
        <w:gridCol w:w="2808"/>
        <w:gridCol w:w="2088"/>
      </w:tblGrid>
      <w:tr>
        <w:trPr>
          <w:tblHeader w:val="true"/>
        </w:trPr>
        <w:tc>
          <w:tcPr>
            <w:tcW w:type="dxa" w:w="2520"/>
            <w:shd w:fill="1F4E79"/>
            <w:tcMar>
              <w:top w:w="80" w:type="dxa"/>
              <w:start w:w="100" w:type="dxa"/>
              <w:bottom w:w="80" w:type="dxa"/>
              <w:end w:w="100" w:type="dxa"/>
            </w:tcMar>
            <w:vAlign w:val="center"/>
          </w:tcPr>
          <w:p>
            <w:pPr>
              <w:jc w:val="center"/>
            </w:pPr>
            <w:r>
              <w:rPr>
                <w:b/>
                <w:color w:val="FFFFFF"/>
                <w:sz w:val="17"/>
              </w:rPr>
              <w:t>Component</w:t>
            </w:r>
          </w:p>
        </w:tc>
        <w:tc>
          <w:tcPr>
            <w:tcW w:type="dxa" w:w="2520"/>
            <w:shd w:fill="1F4E79"/>
            <w:tcMar>
              <w:top w:w="80" w:type="dxa"/>
              <w:start w:w="100" w:type="dxa"/>
              <w:bottom w:w="80" w:type="dxa"/>
              <w:end w:w="100" w:type="dxa"/>
            </w:tcMar>
            <w:vAlign w:val="center"/>
          </w:tcPr>
          <w:p>
            <w:pPr>
              <w:jc w:val="center"/>
            </w:pPr>
            <w:r>
              <w:rPr>
                <w:b/>
                <w:color w:val="FFFFFF"/>
                <w:sz w:val="17"/>
              </w:rPr>
              <w:t>Purpose</w:t>
            </w:r>
          </w:p>
        </w:tc>
        <w:tc>
          <w:tcPr>
            <w:tcW w:type="dxa" w:w="2520"/>
            <w:shd w:fill="1F4E79"/>
            <w:tcMar>
              <w:top w:w="80" w:type="dxa"/>
              <w:start w:w="100" w:type="dxa"/>
              <w:bottom w:w="80" w:type="dxa"/>
              <w:end w:w="100" w:type="dxa"/>
            </w:tcMar>
            <w:vAlign w:val="center"/>
          </w:tcPr>
          <w:p>
            <w:pPr>
              <w:jc w:val="center"/>
            </w:pPr>
            <w:r>
              <w:rPr>
                <w:b/>
                <w:color w:val="FFFFFF"/>
                <w:sz w:val="17"/>
              </w:rPr>
              <w:t>Required variants / states</w:t>
            </w:r>
          </w:p>
        </w:tc>
        <w:tc>
          <w:tcPr>
            <w:tcW w:type="dxa" w:w="2520"/>
            <w:shd w:fill="1F4E79"/>
            <w:tcMar>
              <w:top w:w="80" w:type="dxa"/>
              <w:start w:w="100" w:type="dxa"/>
              <w:bottom w:w="80" w:type="dxa"/>
              <w:end w:w="100" w:type="dxa"/>
            </w:tcMar>
            <w:vAlign w:val="center"/>
          </w:tcPr>
          <w:p>
            <w:pPr>
              <w:jc w:val="center"/>
            </w:pPr>
            <w:r>
              <w:rPr>
                <w:b/>
                <w:color w:val="FFFFFF"/>
                <w:sz w:val="17"/>
              </w:rPr>
              <w:t>Figma construction guidance</w:t>
            </w:r>
          </w:p>
        </w:tc>
      </w:tr>
      <w:tr>
        <w:tc>
          <w:tcPr>
            <w:tcW w:type="dxa" w:w="2520"/>
            <w:tcMar>
              <w:top w:w="70" w:type="dxa"/>
              <w:start w:w="110" w:type="dxa"/>
              <w:bottom w:w="70" w:type="dxa"/>
              <w:end w:w="110" w:type="dxa"/>
            </w:tcMar>
            <w:vAlign w:val="center"/>
            <w:shd w:fill="EAF2F8"/>
          </w:tcPr>
          <w:p>
            <w:r>
              <w:rPr>
                <w:b/>
                <w:color w:val="1F4E79"/>
                <w:sz w:val="16"/>
              </w:rPr>
              <w:t>Text input</w:t>
            </w:r>
          </w:p>
        </w:tc>
        <w:tc>
          <w:tcPr>
            <w:tcW w:type="dxa" w:w="2520"/>
            <w:tcMar>
              <w:top w:w="70" w:type="dxa"/>
              <w:start w:w="110" w:type="dxa"/>
              <w:bottom w:w="70" w:type="dxa"/>
              <w:end w:w="110" w:type="dxa"/>
            </w:tcMar>
            <w:vAlign w:val="center"/>
          </w:tcPr>
          <w:p>
            <w:r>
              <w:rPr>
                <w:sz w:val="16"/>
              </w:rPr>
              <w:t>Brief titles, environment labels, names, short configuration values.</w:t>
            </w:r>
          </w:p>
        </w:tc>
        <w:tc>
          <w:tcPr>
            <w:tcW w:type="dxa" w:w="2520"/>
            <w:tcMar>
              <w:top w:w="70" w:type="dxa"/>
              <w:start w:w="110" w:type="dxa"/>
              <w:bottom w:w="70" w:type="dxa"/>
              <w:end w:w="110" w:type="dxa"/>
            </w:tcMar>
            <w:vAlign w:val="center"/>
          </w:tcPr>
          <w:p>
            <w:r>
              <w:rPr>
                <w:sz w:val="16"/>
              </w:rPr>
              <w:t>With label, helper, error, prefix, suffix, character count.</w:t>
            </w:r>
          </w:p>
        </w:tc>
        <w:tc>
          <w:tcPr>
            <w:tcW w:type="dxa" w:w="2520"/>
            <w:tcMar>
              <w:top w:w="70" w:type="dxa"/>
              <w:start w:w="110" w:type="dxa"/>
              <w:bottom w:w="70" w:type="dxa"/>
              <w:end w:w="110" w:type="dxa"/>
            </w:tcMar>
            <w:vAlign w:val="center"/>
          </w:tcPr>
          <w:p>
            <w:r>
              <w:rPr>
                <w:sz w:val="16"/>
              </w:rPr>
              <w:t>Support dense and regular heights; show focus strongly.</w:t>
            </w:r>
          </w:p>
        </w:tc>
      </w:tr>
      <w:tr>
        <w:tc>
          <w:tcPr>
            <w:tcW w:type="dxa" w:w="2520"/>
            <w:tcMar>
              <w:top w:w="70" w:type="dxa"/>
              <w:start w:w="110" w:type="dxa"/>
              <w:bottom w:w="70" w:type="dxa"/>
              <w:end w:w="110" w:type="dxa"/>
            </w:tcMar>
            <w:vAlign w:val="center"/>
            <w:shd w:fill="EAF2F8"/>
          </w:tcPr>
          <w:p>
            <w:r>
              <w:rPr>
                <w:b/>
                <w:color w:val="1F4E79"/>
                <w:sz w:val="16"/>
              </w:rPr>
              <w:t>Textarea / prompt editor</w:t>
            </w:r>
          </w:p>
        </w:tc>
        <w:tc>
          <w:tcPr>
            <w:tcW w:type="dxa" w:w="2520"/>
            <w:tcMar>
              <w:top w:w="70" w:type="dxa"/>
              <w:start w:w="110" w:type="dxa"/>
              <w:bottom w:w="70" w:type="dxa"/>
              <w:end w:w="110" w:type="dxa"/>
            </w:tcMar>
            <w:vAlign w:val="center"/>
          </w:tcPr>
          <w:p>
            <w:r>
              <w:rPr>
                <w:sz w:val="16"/>
              </w:rPr>
              <w:t>Long-form objectives, constraints, policy text, prompt fragments.</w:t>
            </w:r>
          </w:p>
        </w:tc>
        <w:tc>
          <w:tcPr>
            <w:tcW w:type="dxa" w:w="2520"/>
            <w:tcMar>
              <w:top w:w="70" w:type="dxa"/>
              <w:start w:w="110" w:type="dxa"/>
              <w:bottom w:w="70" w:type="dxa"/>
              <w:end w:w="110" w:type="dxa"/>
            </w:tcMar>
            <w:vAlign w:val="center"/>
          </w:tcPr>
          <w:p>
            <w:r>
              <w:rPr>
                <w:sz w:val="16"/>
              </w:rPr>
              <w:t>Default, autosize, code-style, error, diff-highlighted.</w:t>
            </w:r>
          </w:p>
        </w:tc>
        <w:tc>
          <w:tcPr>
            <w:tcW w:type="dxa" w:w="2520"/>
            <w:tcMar>
              <w:top w:w="70" w:type="dxa"/>
              <w:start w:w="110" w:type="dxa"/>
              <w:bottom w:w="70" w:type="dxa"/>
              <w:end w:w="110" w:type="dxa"/>
            </w:tcMar>
            <w:vAlign w:val="center"/>
          </w:tcPr>
          <w:p>
            <w:r>
              <w:rPr>
                <w:sz w:val="16"/>
              </w:rPr>
              <w:t>Use a monospace-ready mode for technical content.</w:t>
            </w:r>
          </w:p>
        </w:tc>
      </w:tr>
      <w:tr>
        <w:tc>
          <w:tcPr>
            <w:tcW w:type="dxa" w:w="2520"/>
            <w:tcMar>
              <w:top w:w="70" w:type="dxa"/>
              <w:start w:w="110" w:type="dxa"/>
              <w:bottom w:w="70" w:type="dxa"/>
              <w:end w:w="110" w:type="dxa"/>
            </w:tcMar>
            <w:vAlign w:val="center"/>
            <w:shd w:fill="EAF2F8"/>
          </w:tcPr>
          <w:p>
            <w:r>
              <w:rPr>
                <w:b/>
                <w:color w:val="1F4E79"/>
                <w:sz w:val="16"/>
              </w:rPr>
              <w:t>Select / combobox</w:t>
            </w:r>
          </w:p>
        </w:tc>
        <w:tc>
          <w:tcPr>
            <w:tcW w:type="dxa" w:w="2520"/>
            <w:tcMar>
              <w:top w:w="70" w:type="dxa"/>
              <w:start w:w="110" w:type="dxa"/>
              <w:bottom w:w="70" w:type="dxa"/>
              <w:end w:w="110" w:type="dxa"/>
            </w:tcMar>
            <w:vAlign w:val="center"/>
          </w:tcPr>
          <w:p>
            <w:r>
              <w:rPr>
                <w:sz w:val="16"/>
              </w:rPr>
              <w:t>Model choice, policy profile, environment, dataset, source selection.</w:t>
            </w:r>
          </w:p>
        </w:tc>
        <w:tc>
          <w:tcPr>
            <w:tcW w:type="dxa" w:w="2520"/>
            <w:tcMar>
              <w:top w:w="70" w:type="dxa"/>
              <w:start w:w="110" w:type="dxa"/>
              <w:bottom w:w="70" w:type="dxa"/>
              <w:end w:w="110" w:type="dxa"/>
            </w:tcMar>
            <w:vAlign w:val="center"/>
          </w:tcPr>
          <w:p>
            <w:r>
              <w:rPr>
                <w:sz w:val="16"/>
              </w:rPr>
              <w:t>Single, multi, searchable, grouped, async loading.</w:t>
            </w:r>
          </w:p>
        </w:tc>
        <w:tc>
          <w:tcPr>
            <w:tcW w:type="dxa" w:w="2520"/>
            <w:tcMar>
              <w:top w:w="70" w:type="dxa"/>
              <w:start w:w="110" w:type="dxa"/>
              <w:bottom w:w="70" w:type="dxa"/>
              <w:end w:w="110" w:type="dxa"/>
            </w:tcMar>
            <w:vAlign w:val="center"/>
          </w:tcPr>
          <w:p>
            <w:r>
              <w:rPr>
                <w:sz w:val="16"/>
              </w:rPr>
              <w:t>Use chips or tokens for multi-select; plan for long option lists.</w:t>
            </w:r>
          </w:p>
        </w:tc>
      </w:tr>
      <w:tr>
        <w:tc>
          <w:tcPr>
            <w:tcW w:type="dxa" w:w="2520"/>
            <w:tcMar>
              <w:top w:w="70" w:type="dxa"/>
              <w:start w:w="110" w:type="dxa"/>
              <w:bottom w:w="70" w:type="dxa"/>
              <w:end w:w="110" w:type="dxa"/>
            </w:tcMar>
            <w:vAlign w:val="center"/>
            <w:shd w:fill="EAF2F8"/>
          </w:tcPr>
          <w:p>
            <w:r>
              <w:rPr>
                <w:b/>
                <w:color w:val="1F4E79"/>
                <w:sz w:val="16"/>
              </w:rPr>
              <w:t>Segmented control / tabs</w:t>
            </w:r>
          </w:p>
        </w:tc>
        <w:tc>
          <w:tcPr>
            <w:tcW w:type="dxa" w:w="2520"/>
            <w:tcMar>
              <w:top w:w="70" w:type="dxa"/>
              <w:start w:w="110" w:type="dxa"/>
              <w:bottom w:w="70" w:type="dxa"/>
              <w:end w:w="110" w:type="dxa"/>
            </w:tcMar>
            <w:vAlign w:val="center"/>
          </w:tcPr>
          <w:p>
            <w:r>
              <w:rPr>
                <w:sz w:val="16"/>
              </w:rPr>
              <w:t>Switch views such as Summary, Rationale, Evidence or Metrics, Logs, Traces.</w:t>
            </w:r>
          </w:p>
        </w:tc>
        <w:tc>
          <w:tcPr>
            <w:tcW w:type="dxa" w:w="2520"/>
            <w:tcMar>
              <w:top w:w="70" w:type="dxa"/>
              <w:start w:w="110" w:type="dxa"/>
              <w:bottom w:w="70" w:type="dxa"/>
              <w:end w:w="110" w:type="dxa"/>
            </w:tcMar>
            <w:vAlign w:val="center"/>
          </w:tcPr>
          <w:p>
            <w:r>
              <w:rPr>
                <w:sz w:val="16"/>
              </w:rPr>
              <w:t>2–6 options, icon optional, dense / regular.</w:t>
            </w:r>
          </w:p>
        </w:tc>
        <w:tc>
          <w:tcPr>
            <w:tcW w:type="dxa" w:w="2520"/>
            <w:tcMar>
              <w:top w:w="70" w:type="dxa"/>
              <w:start w:w="110" w:type="dxa"/>
              <w:bottom w:w="70" w:type="dxa"/>
              <w:end w:w="110" w:type="dxa"/>
            </w:tcMar>
            <w:vAlign w:val="center"/>
          </w:tcPr>
          <w:p>
            <w:r>
              <w:rPr>
                <w:sz w:val="16"/>
              </w:rPr>
              <w:t>Use where view changes are immediate and peer-level.</w:t>
            </w:r>
          </w:p>
        </w:tc>
      </w:tr>
      <w:tr>
        <w:tc>
          <w:tcPr>
            <w:tcW w:type="dxa" w:w="2520"/>
            <w:tcMar>
              <w:top w:w="70" w:type="dxa"/>
              <w:start w:w="110" w:type="dxa"/>
              <w:bottom w:w="70" w:type="dxa"/>
              <w:end w:w="110" w:type="dxa"/>
            </w:tcMar>
            <w:vAlign w:val="center"/>
            <w:shd w:fill="EAF2F8"/>
          </w:tcPr>
          <w:p>
            <w:r>
              <w:rPr>
                <w:b/>
                <w:color w:val="1F4E79"/>
                <w:sz w:val="16"/>
              </w:rPr>
              <w:t>Checkbox / radio / toggle</w:t>
            </w:r>
          </w:p>
        </w:tc>
        <w:tc>
          <w:tcPr>
            <w:tcW w:type="dxa" w:w="2520"/>
            <w:tcMar>
              <w:top w:w="70" w:type="dxa"/>
              <w:start w:w="110" w:type="dxa"/>
              <w:bottom w:w="70" w:type="dxa"/>
              <w:end w:w="110" w:type="dxa"/>
            </w:tcMar>
            <w:vAlign w:val="center"/>
          </w:tcPr>
          <w:p>
            <w:r>
              <w:rPr>
                <w:sz w:val="16"/>
              </w:rPr>
              <w:t>Approvals, permissions, feature flags, release checks.</w:t>
            </w:r>
          </w:p>
        </w:tc>
        <w:tc>
          <w:tcPr>
            <w:tcW w:type="dxa" w:w="2520"/>
            <w:tcMar>
              <w:top w:w="70" w:type="dxa"/>
              <w:start w:w="110" w:type="dxa"/>
              <w:bottom w:w="70" w:type="dxa"/>
              <w:end w:w="110" w:type="dxa"/>
            </w:tcMar>
            <w:vAlign w:val="center"/>
          </w:tcPr>
          <w:p>
            <w:r>
              <w:rPr>
                <w:sz w:val="16"/>
              </w:rPr>
              <w:t>Unchecked, checked, mixed, disabled, with description.</w:t>
            </w:r>
          </w:p>
        </w:tc>
        <w:tc>
          <w:tcPr>
            <w:tcW w:type="dxa" w:w="2520"/>
            <w:tcMar>
              <w:top w:w="70" w:type="dxa"/>
              <w:start w:w="110" w:type="dxa"/>
              <w:bottom w:w="70" w:type="dxa"/>
              <w:end w:w="110" w:type="dxa"/>
            </w:tcMar>
            <w:vAlign w:val="center"/>
          </w:tcPr>
          <w:p>
            <w:r>
              <w:rPr>
                <w:sz w:val="16"/>
              </w:rPr>
              <w:t>Ensure click targets and labels are generous.</w:t>
            </w:r>
          </w:p>
        </w:tc>
      </w:tr>
      <w:tr>
        <w:tc>
          <w:tcPr>
            <w:tcW w:type="dxa" w:w="2520"/>
            <w:tcMar>
              <w:top w:w="70" w:type="dxa"/>
              <w:start w:w="110" w:type="dxa"/>
              <w:bottom w:w="70" w:type="dxa"/>
              <w:end w:w="110" w:type="dxa"/>
            </w:tcMar>
            <w:vAlign w:val="center"/>
            <w:shd w:fill="EAF2F8"/>
          </w:tcPr>
          <w:p>
            <w:r>
              <w:rPr>
                <w:b/>
                <w:color w:val="1F4E79"/>
                <w:sz w:val="16"/>
              </w:rPr>
              <w:t>Date / range / number controls</w:t>
            </w:r>
          </w:p>
        </w:tc>
        <w:tc>
          <w:tcPr>
            <w:tcW w:type="dxa" w:w="2520"/>
            <w:tcMar>
              <w:top w:w="70" w:type="dxa"/>
              <w:start w:w="110" w:type="dxa"/>
              <w:bottom w:w="70" w:type="dxa"/>
              <w:end w:w="110" w:type="dxa"/>
            </w:tcMar>
            <w:vAlign w:val="center"/>
          </w:tcPr>
          <w:p>
            <w:r>
              <w:rPr>
                <w:sz w:val="16"/>
              </w:rPr>
              <w:t>Time filters, latency thresholds, budget caps, rollout percentages.</w:t>
            </w:r>
          </w:p>
        </w:tc>
        <w:tc>
          <w:tcPr>
            <w:tcW w:type="dxa" w:w="2520"/>
            <w:tcMar>
              <w:top w:w="70" w:type="dxa"/>
              <w:start w:w="110" w:type="dxa"/>
              <w:bottom w:w="70" w:type="dxa"/>
              <w:end w:w="110" w:type="dxa"/>
            </w:tcMar>
            <w:vAlign w:val="center"/>
          </w:tcPr>
          <w:p>
            <w:r>
              <w:rPr>
                <w:sz w:val="16"/>
              </w:rPr>
              <w:t>Single, range, stepper, slider-assisted.</w:t>
            </w:r>
          </w:p>
        </w:tc>
        <w:tc>
          <w:tcPr>
            <w:tcW w:type="dxa" w:w="2520"/>
            <w:tcMar>
              <w:top w:w="70" w:type="dxa"/>
              <w:start w:w="110" w:type="dxa"/>
              <w:bottom w:w="70" w:type="dxa"/>
              <w:end w:w="110" w:type="dxa"/>
            </w:tcMar>
            <w:vAlign w:val="center"/>
          </w:tcPr>
          <w:p>
            <w:r>
              <w:rPr>
                <w:sz w:val="16"/>
              </w:rPr>
              <w:t>These will matter heavily in Ops and Governance screens.</w:t>
            </w:r>
          </w:p>
        </w:tc>
      </w:tr>
    </w:tbl>
    <w:p/>
    <w:p>
      <w:pPr>
        <w:pStyle w:val="HeadingBlue2"/>
      </w:pPr>
      <w:r>
        <w:t>5.4 Content containers and data display</w:t>
      </w:r>
    </w:p>
    <w:p>
      <w:pPr/>
      <w:r>
        <w:t>This category supports dashboards, review screens, and dense information layouts.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2880"/>
        <w:gridCol w:w="2808"/>
        <w:gridCol w:w="2088"/>
      </w:tblGrid>
      <w:tr>
        <w:trPr>
          <w:tblHeader w:val="true"/>
        </w:trPr>
        <w:tc>
          <w:tcPr>
            <w:tcW w:type="dxa" w:w="2520"/>
            <w:shd w:fill="1F4E79"/>
            <w:tcMar>
              <w:top w:w="80" w:type="dxa"/>
              <w:start w:w="100" w:type="dxa"/>
              <w:bottom w:w="80" w:type="dxa"/>
              <w:end w:w="100" w:type="dxa"/>
            </w:tcMar>
            <w:vAlign w:val="center"/>
          </w:tcPr>
          <w:p>
            <w:pPr>
              <w:jc w:val="center"/>
            </w:pPr>
            <w:r>
              <w:rPr>
                <w:b/>
                <w:color w:val="FFFFFF"/>
                <w:sz w:val="17"/>
              </w:rPr>
              <w:t>Component</w:t>
            </w:r>
          </w:p>
        </w:tc>
        <w:tc>
          <w:tcPr>
            <w:tcW w:type="dxa" w:w="2520"/>
            <w:shd w:fill="1F4E79"/>
            <w:tcMar>
              <w:top w:w="80" w:type="dxa"/>
              <w:start w:w="100" w:type="dxa"/>
              <w:bottom w:w="80" w:type="dxa"/>
              <w:end w:w="100" w:type="dxa"/>
            </w:tcMar>
            <w:vAlign w:val="center"/>
          </w:tcPr>
          <w:p>
            <w:pPr>
              <w:jc w:val="center"/>
            </w:pPr>
            <w:r>
              <w:rPr>
                <w:b/>
                <w:color w:val="FFFFFF"/>
                <w:sz w:val="17"/>
              </w:rPr>
              <w:t>Purpose</w:t>
            </w:r>
          </w:p>
        </w:tc>
        <w:tc>
          <w:tcPr>
            <w:tcW w:type="dxa" w:w="2520"/>
            <w:shd w:fill="1F4E79"/>
            <w:tcMar>
              <w:top w:w="80" w:type="dxa"/>
              <w:start w:w="100" w:type="dxa"/>
              <w:bottom w:w="80" w:type="dxa"/>
              <w:end w:w="100" w:type="dxa"/>
            </w:tcMar>
            <w:vAlign w:val="center"/>
          </w:tcPr>
          <w:p>
            <w:pPr>
              <w:jc w:val="center"/>
            </w:pPr>
            <w:r>
              <w:rPr>
                <w:b/>
                <w:color w:val="FFFFFF"/>
                <w:sz w:val="17"/>
              </w:rPr>
              <w:t>Required variants / states</w:t>
            </w:r>
          </w:p>
        </w:tc>
        <w:tc>
          <w:tcPr>
            <w:tcW w:type="dxa" w:w="2520"/>
            <w:shd w:fill="1F4E79"/>
            <w:tcMar>
              <w:top w:w="80" w:type="dxa"/>
              <w:start w:w="100" w:type="dxa"/>
              <w:bottom w:w="80" w:type="dxa"/>
              <w:end w:w="100" w:type="dxa"/>
            </w:tcMar>
            <w:vAlign w:val="center"/>
          </w:tcPr>
          <w:p>
            <w:pPr>
              <w:jc w:val="center"/>
            </w:pPr>
            <w:r>
              <w:rPr>
                <w:b/>
                <w:color w:val="FFFFFF"/>
                <w:sz w:val="17"/>
              </w:rPr>
              <w:t>Figma construction guidance</w:t>
            </w:r>
          </w:p>
        </w:tc>
      </w:tr>
      <w:tr>
        <w:tc>
          <w:tcPr>
            <w:tcW w:type="dxa" w:w="2520"/>
            <w:tcMar>
              <w:top w:w="70" w:type="dxa"/>
              <w:start w:w="110" w:type="dxa"/>
              <w:bottom w:w="70" w:type="dxa"/>
              <w:end w:w="110" w:type="dxa"/>
            </w:tcMar>
            <w:vAlign w:val="center"/>
            <w:shd w:fill="EAF2F8"/>
          </w:tcPr>
          <w:p>
            <w:r>
              <w:rPr>
                <w:b/>
                <w:color w:val="1F4E79"/>
                <w:sz w:val="16"/>
              </w:rPr>
              <w:t>Card</w:t>
            </w:r>
          </w:p>
        </w:tc>
        <w:tc>
          <w:tcPr>
            <w:tcW w:type="dxa" w:w="2520"/>
            <w:tcMar>
              <w:top w:w="70" w:type="dxa"/>
              <w:start w:w="110" w:type="dxa"/>
              <w:bottom w:w="70" w:type="dxa"/>
              <w:end w:w="110" w:type="dxa"/>
            </w:tcMar>
            <w:vAlign w:val="center"/>
          </w:tcPr>
          <w:p>
            <w:r>
              <w:rPr>
                <w:sz w:val="16"/>
              </w:rPr>
              <w:t>Flexible container for summaries, modules, metrics, and actions.</w:t>
            </w:r>
          </w:p>
        </w:tc>
        <w:tc>
          <w:tcPr>
            <w:tcW w:type="dxa" w:w="2520"/>
            <w:tcMar>
              <w:top w:w="70" w:type="dxa"/>
              <w:start w:w="110" w:type="dxa"/>
              <w:bottom w:w="70" w:type="dxa"/>
              <w:end w:w="110" w:type="dxa"/>
            </w:tcMar>
            <w:vAlign w:val="center"/>
          </w:tcPr>
          <w:p>
            <w:r>
              <w:rPr>
                <w:sz w:val="16"/>
              </w:rPr>
              <w:t>Basic, elevated, selectable, actionable, split, with footer.</w:t>
            </w:r>
          </w:p>
        </w:tc>
        <w:tc>
          <w:tcPr>
            <w:tcW w:type="dxa" w:w="2520"/>
            <w:tcMar>
              <w:top w:w="70" w:type="dxa"/>
              <w:start w:w="110" w:type="dxa"/>
              <w:bottom w:w="70" w:type="dxa"/>
              <w:end w:w="110" w:type="dxa"/>
            </w:tcMar>
            <w:vAlign w:val="center"/>
          </w:tcPr>
          <w:p>
            <w:r>
              <w:rPr>
                <w:sz w:val="16"/>
              </w:rPr>
              <w:t>Design a card shell with slots instead of many one-off cards.</w:t>
            </w:r>
          </w:p>
        </w:tc>
      </w:tr>
      <w:tr>
        <w:tc>
          <w:tcPr>
            <w:tcW w:type="dxa" w:w="2520"/>
            <w:tcMar>
              <w:top w:w="70" w:type="dxa"/>
              <w:start w:w="110" w:type="dxa"/>
              <w:bottom w:w="70" w:type="dxa"/>
              <w:end w:w="110" w:type="dxa"/>
            </w:tcMar>
            <w:vAlign w:val="center"/>
            <w:shd w:fill="EAF2F8"/>
          </w:tcPr>
          <w:p>
            <w:r>
              <w:rPr>
                <w:b/>
                <w:color w:val="1F4E79"/>
                <w:sz w:val="16"/>
              </w:rPr>
              <w:t>Metric tile</w:t>
            </w:r>
          </w:p>
        </w:tc>
        <w:tc>
          <w:tcPr>
            <w:tcW w:type="dxa" w:w="2520"/>
            <w:tcMar>
              <w:top w:w="70" w:type="dxa"/>
              <w:start w:w="110" w:type="dxa"/>
              <w:bottom w:w="70" w:type="dxa"/>
              <w:end w:w="110" w:type="dxa"/>
            </w:tcMar>
            <w:vAlign w:val="center"/>
          </w:tcPr>
          <w:p>
            <w:r>
              <w:rPr>
                <w:sz w:val="16"/>
              </w:rPr>
              <w:t>Key health and quality numbers for Home, Runtime, Executive, and Release.</w:t>
            </w:r>
          </w:p>
        </w:tc>
        <w:tc>
          <w:tcPr>
            <w:tcW w:type="dxa" w:w="2520"/>
            <w:tcMar>
              <w:top w:w="70" w:type="dxa"/>
              <w:start w:w="110" w:type="dxa"/>
              <w:bottom w:w="70" w:type="dxa"/>
              <w:end w:w="110" w:type="dxa"/>
            </w:tcMar>
            <w:vAlign w:val="center"/>
          </w:tcPr>
          <w:p>
            <w:r>
              <w:rPr>
                <w:sz w:val="16"/>
              </w:rPr>
              <w:t>Small, large, trend-up/down, loading, warning state.</w:t>
            </w:r>
          </w:p>
        </w:tc>
        <w:tc>
          <w:tcPr>
            <w:tcW w:type="dxa" w:w="2520"/>
            <w:tcMar>
              <w:top w:w="70" w:type="dxa"/>
              <w:start w:w="110" w:type="dxa"/>
              <w:bottom w:w="70" w:type="dxa"/>
              <w:end w:w="110" w:type="dxa"/>
            </w:tcMar>
            <w:vAlign w:val="center"/>
          </w:tcPr>
          <w:p>
            <w:r>
              <w:rPr>
                <w:sz w:val="16"/>
              </w:rPr>
              <w:t>Include sparkline and delta-ready variants.</w:t>
            </w:r>
          </w:p>
        </w:tc>
      </w:tr>
      <w:tr>
        <w:tc>
          <w:tcPr>
            <w:tcW w:type="dxa" w:w="2520"/>
            <w:tcMar>
              <w:top w:w="70" w:type="dxa"/>
              <w:start w:w="110" w:type="dxa"/>
              <w:bottom w:w="70" w:type="dxa"/>
              <w:end w:w="110" w:type="dxa"/>
            </w:tcMar>
            <w:vAlign w:val="center"/>
            <w:shd w:fill="EAF2F8"/>
          </w:tcPr>
          <w:p>
            <w:r>
              <w:rPr>
                <w:b/>
                <w:color w:val="1F4E79"/>
                <w:sz w:val="16"/>
              </w:rPr>
              <w:t>Table</w:t>
            </w:r>
          </w:p>
        </w:tc>
        <w:tc>
          <w:tcPr>
            <w:tcW w:type="dxa" w:w="2520"/>
            <w:tcMar>
              <w:top w:w="70" w:type="dxa"/>
              <w:start w:w="110" w:type="dxa"/>
              <w:bottom w:w="70" w:type="dxa"/>
              <w:end w:w="110" w:type="dxa"/>
            </w:tcMar>
            <w:vAlign w:val="center"/>
          </w:tcPr>
          <w:p>
            <w:r>
              <w:rPr>
                <w:sz w:val="16"/>
              </w:rPr>
              <w:t>Runs, deployments, alerts, audit logs, evaluation cases.</w:t>
            </w:r>
          </w:p>
        </w:tc>
        <w:tc>
          <w:tcPr>
            <w:tcW w:type="dxa" w:w="2520"/>
            <w:tcMar>
              <w:top w:w="70" w:type="dxa"/>
              <w:start w:w="110" w:type="dxa"/>
              <w:bottom w:w="70" w:type="dxa"/>
              <w:end w:w="110" w:type="dxa"/>
            </w:tcMar>
            <w:vAlign w:val="center"/>
          </w:tcPr>
          <w:p>
            <w:r>
              <w:rPr>
                <w:sz w:val="16"/>
              </w:rPr>
              <w:t>Comfortable, compact, sortable, selectable, sticky header, row action.</w:t>
            </w:r>
          </w:p>
        </w:tc>
        <w:tc>
          <w:tcPr>
            <w:tcW w:type="dxa" w:w="2520"/>
            <w:tcMar>
              <w:top w:w="70" w:type="dxa"/>
              <w:start w:w="110" w:type="dxa"/>
              <w:bottom w:w="70" w:type="dxa"/>
              <w:end w:w="110" w:type="dxa"/>
            </w:tcMar>
            <w:vAlign w:val="center"/>
          </w:tcPr>
          <w:p>
            <w:r>
              <w:rPr>
                <w:sz w:val="16"/>
              </w:rPr>
              <w:t>Create a table pattern with subcomponents for header cell, row, cell, toolbar.</w:t>
            </w:r>
          </w:p>
        </w:tc>
      </w:tr>
      <w:tr>
        <w:tc>
          <w:tcPr>
            <w:tcW w:type="dxa" w:w="2520"/>
            <w:tcMar>
              <w:top w:w="70" w:type="dxa"/>
              <w:start w:w="110" w:type="dxa"/>
              <w:bottom w:w="70" w:type="dxa"/>
              <w:end w:w="110" w:type="dxa"/>
            </w:tcMar>
            <w:vAlign w:val="center"/>
            <w:shd w:fill="EAF2F8"/>
          </w:tcPr>
          <w:p>
            <w:r>
              <w:rPr>
                <w:b/>
                <w:color w:val="1F4E79"/>
                <w:sz w:val="16"/>
              </w:rPr>
              <w:t>List row</w:t>
            </w:r>
          </w:p>
        </w:tc>
        <w:tc>
          <w:tcPr>
            <w:tcW w:type="dxa" w:w="2520"/>
            <w:tcMar>
              <w:top w:w="70" w:type="dxa"/>
              <w:start w:w="110" w:type="dxa"/>
              <w:bottom w:w="70" w:type="dxa"/>
              <w:end w:w="110" w:type="dxa"/>
            </w:tcMar>
            <w:vAlign w:val="center"/>
          </w:tcPr>
          <w:p>
            <w:r>
              <w:rPr>
                <w:sz w:val="16"/>
              </w:rPr>
              <w:t>Lighter-weight alternative to tables for recents, queue items, and evidence links.</w:t>
            </w:r>
          </w:p>
        </w:tc>
        <w:tc>
          <w:tcPr>
            <w:tcW w:type="dxa" w:w="2520"/>
            <w:tcMar>
              <w:top w:w="70" w:type="dxa"/>
              <w:start w:w="110" w:type="dxa"/>
              <w:bottom w:w="70" w:type="dxa"/>
              <w:end w:w="110" w:type="dxa"/>
            </w:tcMar>
            <w:vAlign w:val="center"/>
          </w:tcPr>
          <w:p>
            <w:r>
              <w:rPr>
                <w:sz w:val="16"/>
              </w:rPr>
              <w:t>With avatar/icon, metadata, status, selection.</w:t>
            </w:r>
          </w:p>
        </w:tc>
        <w:tc>
          <w:tcPr>
            <w:tcW w:type="dxa" w:w="2520"/>
            <w:tcMar>
              <w:top w:w="70" w:type="dxa"/>
              <w:start w:w="110" w:type="dxa"/>
              <w:bottom w:w="70" w:type="dxa"/>
              <w:end w:w="110" w:type="dxa"/>
            </w:tcMar>
            <w:vAlign w:val="center"/>
          </w:tcPr>
          <w:p>
            <w:r>
              <w:rPr>
                <w:sz w:val="16"/>
              </w:rPr>
              <w:t>Should share spacing logic with the table row.</w:t>
            </w:r>
          </w:p>
        </w:tc>
      </w:tr>
      <w:tr>
        <w:tc>
          <w:tcPr>
            <w:tcW w:type="dxa" w:w="2520"/>
            <w:tcMar>
              <w:top w:w="70" w:type="dxa"/>
              <w:start w:w="110" w:type="dxa"/>
              <w:bottom w:w="70" w:type="dxa"/>
              <w:end w:w="110" w:type="dxa"/>
            </w:tcMar>
            <w:vAlign w:val="center"/>
            <w:shd w:fill="EAF2F8"/>
          </w:tcPr>
          <w:p>
            <w:r>
              <w:rPr>
                <w:b/>
                <w:color w:val="1F4E79"/>
                <w:sz w:val="16"/>
              </w:rPr>
              <w:t>Accordion</w:t>
            </w:r>
          </w:p>
        </w:tc>
        <w:tc>
          <w:tcPr>
            <w:tcW w:type="dxa" w:w="2520"/>
            <w:tcMar>
              <w:top w:w="70" w:type="dxa"/>
              <w:start w:w="110" w:type="dxa"/>
              <w:bottom w:w="70" w:type="dxa"/>
              <w:end w:w="110" w:type="dxa"/>
            </w:tcMar>
            <w:vAlign w:val="center"/>
          </w:tcPr>
          <w:p>
            <w:r>
              <w:rPr>
                <w:sz w:val="16"/>
              </w:rPr>
              <w:t>Expandable detail sections in evaluation and governance flows.</w:t>
            </w:r>
          </w:p>
        </w:tc>
        <w:tc>
          <w:tcPr>
            <w:tcW w:type="dxa" w:w="2520"/>
            <w:tcMar>
              <w:top w:w="70" w:type="dxa"/>
              <w:start w:w="110" w:type="dxa"/>
              <w:bottom w:w="70" w:type="dxa"/>
              <w:end w:w="110" w:type="dxa"/>
            </w:tcMar>
            <w:vAlign w:val="center"/>
          </w:tcPr>
          <w:p>
            <w:r>
              <w:rPr>
                <w:sz w:val="16"/>
              </w:rPr>
              <w:t>Collapsed, open, nested, with count or severity badge.</w:t>
            </w:r>
          </w:p>
        </w:tc>
        <w:tc>
          <w:tcPr>
            <w:tcW w:type="dxa" w:w="2520"/>
            <w:tcMar>
              <w:top w:w="70" w:type="dxa"/>
              <w:start w:w="110" w:type="dxa"/>
              <w:bottom w:w="70" w:type="dxa"/>
              <w:end w:w="110" w:type="dxa"/>
            </w:tcMar>
            <w:vAlign w:val="center"/>
          </w:tcPr>
          <w:p>
            <w:r>
              <w:rPr>
                <w:sz w:val="16"/>
              </w:rPr>
              <w:t>Good for progressive disclosure of evidence.</w:t>
            </w:r>
          </w:p>
        </w:tc>
      </w:tr>
      <w:tr>
        <w:tc>
          <w:tcPr>
            <w:tcW w:type="dxa" w:w="2520"/>
            <w:tcMar>
              <w:top w:w="70" w:type="dxa"/>
              <w:start w:w="110" w:type="dxa"/>
              <w:bottom w:w="70" w:type="dxa"/>
              <w:end w:w="110" w:type="dxa"/>
            </w:tcMar>
            <w:vAlign w:val="center"/>
            <w:shd w:fill="EAF2F8"/>
          </w:tcPr>
          <w:p>
            <w:r>
              <w:rPr>
                <w:b/>
                <w:color w:val="1F4E79"/>
                <w:sz w:val="16"/>
              </w:rPr>
              <w:t>Timeline</w:t>
            </w:r>
          </w:p>
        </w:tc>
        <w:tc>
          <w:tcPr>
            <w:tcW w:type="dxa" w:w="2520"/>
            <w:tcMar>
              <w:top w:w="70" w:type="dxa"/>
              <w:start w:w="110" w:type="dxa"/>
              <w:bottom w:w="70" w:type="dxa"/>
              <w:end w:w="110" w:type="dxa"/>
            </w:tcMar>
            <w:vAlign w:val="center"/>
          </w:tcPr>
          <w:p>
            <w:r>
              <w:rPr>
                <w:sz w:val="16"/>
              </w:rPr>
              <w:t>Events for runs, deployments, debate rounds, and incident review.</w:t>
            </w:r>
          </w:p>
        </w:tc>
        <w:tc>
          <w:tcPr>
            <w:tcW w:type="dxa" w:w="2520"/>
            <w:tcMar>
              <w:top w:w="70" w:type="dxa"/>
              <w:start w:w="110" w:type="dxa"/>
              <w:bottom w:w="70" w:type="dxa"/>
              <w:end w:w="110" w:type="dxa"/>
            </w:tcMar>
            <w:vAlign w:val="center"/>
          </w:tcPr>
          <w:p>
            <w:r>
              <w:rPr>
                <w:sz w:val="16"/>
              </w:rPr>
              <w:t>Dense, narrative, grouped-by-day, status-marked.</w:t>
            </w:r>
          </w:p>
        </w:tc>
        <w:tc>
          <w:tcPr>
            <w:tcW w:type="dxa" w:w="2520"/>
            <w:tcMar>
              <w:top w:w="70" w:type="dxa"/>
              <w:start w:w="110" w:type="dxa"/>
              <w:bottom w:w="70" w:type="dxa"/>
              <w:end w:w="110" w:type="dxa"/>
            </w:tcMar>
            <w:vAlign w:val="center"/>
          </w:tcPr>
          <w:p>
            <w:r>
              <w:rPr>
                <w:sz w:val="16"/>
              </w:rPr>
              <w:t>Pair with evidence drawers and filters.</w:t>
            </w:r>
          </w:p>
        </w:tc>
      </w:tr>
      <w:tr>
        <w:tc>
          <w:tcPr>
            <w:tcW w:type="dxa" w:w="2520"/>
            <w:tcMar>
              <w:top w:w="70" w:type="dxa"/>
              <w:start w:w="110" w:type="dxa"/>
              <w:bottom w:w="70" w:type="dxa"/>
              <w:end w:w="110" w:type="dxa"/>
            </w:tcMar>
            <w:vAlign w:val="center"/>
            <w:shd w:fill="EAF2F8"/>
          </w:tcPr>
          <w:p>
            <w:r>
              <w:rPr>
                <w:b/>
                <w:color w:val="1F4E79"/>
                <w:sz w:val="16"/>
              </w:rPr>
              <w:t>Empty state</w:t>
            </w:r>
          </w:p>
        </w:tc>
        <w:tc>
          <w:tcPr>
            <w:tcW w:type="dxa" w:w="2520"/>
            <w:tcMar>
              <w:top w:w="70" w:type="dxa"/>
              <w:start w:w="110" w:type="dxa"/>
              <w:bottom w:w="70" w:type="dxa"/>
              <w:end w:w="110" w:type="dxa"/>
            </w:tcMar>
            <w:vAlign w:val="center"/>
          </w:tcPr>
          <w:p>
            <w:r>
              <w:rPr>
                <w:sz w:val="16"/>
              </w:rPr>
              <w:t>Zero-data guidance for new workspaces, missing results, and filtered-out states.</w:t>
            </w:r>
          </w:p>
        </w:tc>
        <w:tc>
          <w:tcPr>
            <w:tcW w:type="dxa" w:w="2520"/>
            <w:tcMar>
              <w:top w:w="70" w:type="dxa"/>
              <w:start w:w="110" w:type="dxa"/>
              <w:bottom w:w="70" w:type="dxa"/>
              <w:end w:w="110" w:type="dxa"/>
            </w:tcMar>
            <w:vAlign w:val="center"/>
          </w:tcPr>
          <w:p>
            <w:r>
              <w:rPr>
                <w:sz w:val="16"/>
              </w:rPr>
              <w:t>First-use, no-results, blocked-by-permission, error recovery.</w:t>
            </w:r>
          </w:p>
        </w:tc>
        <w:tc>
          <w:tcPr>
            <w:tcW w:type="dxa" w:w="2520"/>
            <w:tcMar>
              <w:top w:w="70" w:type="dxa"/>
              <w:start w:w="110" w:type="dxa"/>
              <w:bottom w:w="70" w:type="dxa"/>
              <w:end w:w="110" w:type="dxa"/>
            </w:tcMar>
            <w:vAlign w:val="center"/>
          </w:tcPr>
          <w:p>
            <w:r>
              <w:rPr>
                <w:sz w:val="16"/>
              </w:rPr>
              <w:t>Use action-led copy, not decorative illustration-heavy layouts.</w:t>
            </w:r>
          </w:p>
        </w:tc>
      </w:tr>
    </w:tbl>
    <w:p/>
    <w:p>
      <w:pPr>
        <w:pStyle w:val="HeadingBlue2"/>
      </w:pPr>
      <w:r>
        <w:t>5.5 AI-native design and reasoning modules</w:t>
      </w:r>
    </w:p>
    <w:p>
      <w:pPr/>
      <w:r>
        <w:t>This is the category that differentiates Agent Architect Pro from a generic dashboard or cloud admin tool.</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2880"/>
        <w:gridCol w:w="2808"/>
        <w:gridCol w:w="2088"/>
      </w:tblGrid>
      <w:tr>
        <w:trPr>
          <w:tblHeader w:val="true"/>
        </w:trPr>
        <w:tc>
          <w:tcPr>
            <w:tcW w:type="dxa" w:w="2520"/>
            <w:shd w:fill="1F4E79"/>
            <w:tcMar>
              <w:top w:w="80" w:type="dxa"/>
              <w:start w:w="100" w:type="dxa"/>
              <w:bottom w:w="80" w:type="dxa"/>
              <w:end w:w="100" w:type="dxa"/>
            </w:tcMar>
            <w:vAlign w:val="center"/>
          </w:tcPr>
          <w:p>
            <w:pPr>
              <w:jc w:val="center"/>
            </w:pPr>
            <w:r>
              <w:rPr>
                <w:b/>
                <w:color w:val="FFFFFF"/>
                <w:sz w:val="17"/>
              </w:rPr>
              <w:t>Component</w:t>
            </w:r>
          </w:p>
        </w:tc>
        <w:tc>
          <w:tcPr>
            <w:tcW w:type="dxa" w:w="2520"/>
            <w:shd w:fill="1F4E79"/>
            <w:tcMar>
              <w:top w:w="80" w:type="dxa"/>
              <w:start w:w="100" w:type="dxa"/>
              <w:bottom w:w="80" w:type="dxa"/>
              <w:end w:w="100" w:type="dxa"/>
            </w:tcMar>
            <w:vAlign w:val="center"/>
          </w:tcPr>
          <w:p>
            <w:pPr>
              <w:jc w:val="center"/>
            </w:pPr>
            <w:r>
              <w:rPr>
                <w:b/>
                <w:color w:val="FFFFFF"/>
                <w:sz w:val="17"/>
              </w:rPr>
              <w:t>Purpose</w:t>
            </w:r>
          </w:p>
        </w:tc>
        <w:tc>
          <w:tcPr>
            <w:tcW w:type="dxa" w:w="2520"/>
            <w:shd w:fill="1F4E79"/>
            <w:tcMar>
              <w:top w:w="80" w:type="dxa"/>
              <w:start w:w="100" w:type="dxa"/>
              <w:bottom w:w="80" w:type="dxa"/>
              <w:end w:w="100" w:type="dxa"/>
            </w:tcMar>
            <w:vAlign w:val="center"/>
          </w:tcPr>
          <w:p>
            <w:pPr>
              <w:jc w:val="center"/>
            </w:pPr>
            <w:r>
              <w:rPr>
                <w:b/>
                <w:color w:val="FFFFFF"/>
                <w:sz w:val="17"/>
              </w:rPr>
              <w:t>Required variants / states</w:t>
            </w:r>
          </w:p>
        </w:tc>
        <w:tc>
          <w:tcPr>
            <w:tcW w:type="dxa" w:w="2520"/>
            <w:shd w:fill="1F4E79"/>
            <w:tcMar>
              <w:top w:w="80" w:type="dxa"/>
              <w:start w:w="100" w:type="dxa"/>
              <w:bottom w:w="80" w:type="dxa"/>
              <w:end w:w="100" w:type="dxa"/>
            </w:tcMar>
            <w:vAlign w:val="center"/>
          </w:tcPr>
          <w:p>
            <w:pPr>
              <w:jc w:val="center"/>
            </w:pPr>
            <w:r>
              <w:rPr>
                <w:b/>
                <w:color w:val="FFFFFF"/>
                <w:sz w:val="17"/>
              </w:rPr>
              <w:t>Figma construction guidance</w:t>
            </w:r>
          </w:p>
        </w:tc>
      </w:tr>
      <w:tr>
        <w:tc>
          <w:tcPr>
            <w:tcW w:type="dxa" w:w="2520"/>
            <w:tcMar>
              <w:top w:w="70" w:type="dxa"/>
              <w:start w:w="110" w:type="dxa"/>
              <w:bottom w:w="70" w:type="dxa"/>
              <w:end w:w="110" w:type="dxa"/>
            </w:tcMar>
            <w:vAlign w:val="center"/>
            <w:shd w:fill="EAF2F8"/>
          </w:tcPr>
          <w:p>
            <w:r>
              <w:rPr>
                <w:b/>
                <w:color w:val="1F4E79"/>
                <w:sz w:val="16"/>
              </w:rPr>
              <w:t>Architecture card</w:t>
            </w:r>
          </w:p>
        </w:tc>
        <w:tc>
          <w:tcPr>
            <w:tcW w:type="dxa" w:w="2520"/>
            <w:tcMar>
              <w:top w:w="70" w:type="dxa"/>
              <w:start w:w="110" w:type="dxa"/>
              <w:bottom w:w="70" w:type="dxa"/>
              <w:end w:w="110" w:type="dxa"/>
            </w:tcMar>
            <w:vAlign w:val="center"/>
          </w:tcPr>
          <w:p>
            <w:r>
              <w:rPr>
                <w:sz w:val="16"/>
              </w:rPr>
              <w:t>Represents one candidate architecture with summary, score, and rationale.</w:t>
            </w:r>
          </w:p>
        </w:tc>
        <w:tc>
          <w:tcPr>
            <w:tcW w:type="dxa" w:w="2520"/>
            <w:tcMar>
              <w:top w:w="70" w:type="dxa"/>
              <w:start w:w="110" w:type="dxa"/>
              <w:bottom w:w="70" w:type="dxa"/>
              <w:end w:w="110" w:type="dxa"/>
            </w:tcMar>
            <w:vAlign w:val="center"/>
          </w:tcPr>
          <w:p>
            <w:r>
              <w:rPr>
                <w:sz w:val="16"/>
              </w:rPr>
              <w:t>Selected, recommended, compared, risky, disabled.</w:t>
            </w:r>
          </w:p>
        </w:tc>
        <w:tc>
          <w:tcPr>
            <w:tcW w:type="dxa" w:w="2520"/>
            <w:tcMar>
              <w:top w:w="70" w:type="dxa"/>
              <w:start w:w="110" w:type="dxa"/>
              <w:bottom w:w="70" w:type="dxa"/>
              <w:end w:w="110" w:type="dxa"/>
            </w:tcMar>
            <w:vAlign w:val="center"/>
          </w:tcPr>
          <w:p>
            <w:r>
              <w:rPr>
                <w:sz w:val="16"/>
              </w:rPr>
              <w:t>Must support score bands, tags, and expandable assumptions.</w:t>
            </w:r>
          </w:p>
        </w:tc>
      </w:tr>
      <w:tr>
        <w:tc>
          <w:tcPr>
            <w:tcW w:type="dxa" w:w="2520"/>
            <w:tcMar>
              <w:top w:w="70" w:type="dxa"/>
              <w:start w:w="110" w:type="dxa"/>
              <w:bottom w:w="70" w:type="dxa"/>
              <w:end w:w="110" w:type="dxa"/>
            </w:tcMar>
            <w:vAlign w:val="center"/>
            <w:shd w:fill="EAF2F8"/>
          </w:tcPr>
          <w:p>
            <w:r>
              <w:rPr>
                <w:b/>
                <w:color w:val="1F4E79"/>
                <w:sz w:val="16"/>
              </w:rPr>
              <w:t>Comparison matrix</w:t>
            </w:r>
          </w:p>
        </w:tc>
        <w:tc>
          <w:tcPr>
            <w:tcW w:type="dxa" w:w="2520"/>
            <w:tcMar>
              <w:top w:w="70" w:type="dxa"/>
              <w:start w:w="110" w:type="dxa"/>
              <w:bottom w:w="70" w:type="dxa"/>
              <w:end w:w="110" w:type="dxa"/>
            </w:tcMar>
            <w:vAlign w:val="center"/>
          </w:tcPr>
          <w:p>
            <w:r>
              <w:rPr>
                <w:sz w:val="16"/>
              </w:rPr>
              <w:t>Structured side-by-side comparison of candidates or versions.</w:t>
            </w:r>
          </w:p>
        </w:tc>
        <w:tc>
          <w:tcPr>
            <w:tcW w:type="dxa" w:w="2520"/>
            <w:tcMar>
              <w:top w:w="70" w:type="dxa"/>
              <w:start w:w="110" w:type="dxa"/>
              <w:bottom w:w="70" w:type="dxa"/>
              <w:end w:w="110" w:type="dxa"/>
            </w:tcMar>
            <w:vAlign w:val="center"/>
          </w:tcPr>
          <w:p>
            <w:r>
              <w:rPr>
                <w:sz w:val="16"/>
              </w:rPr>
              <w:t>2-column, 3-column, diff-highlighted, weighted-score view.</w:t>
            </w:r>
          </w:p>
        </w:tc>
        <w:tc>
          <w:tcPr>
            <w:tcW w:type="dxa" w:w="2520"/>
            <w:tcMar>
              <w:top w:w="70" w:type="dxa"/>
              <w:start w:w="110" w:type="dxa"/>
              <w:bottom w:w="70" w:type="dxa"/>
              <w:end w:w="110" w:type="dxa"/>
            </w:tcMar>
            <w:vAlign w:val="center"/>
          </w:tcPr>
          <w:p>
            <w:r>
              <w:rPr>
                <w:sz w:val="16"/>
              </w:rPr>
              <w:t>Prioritize readability over squeezing too many columns.</w:t>
            </w:r>
          </w:p>
        </w:tc>
      </w:tr>
      <w:tr>
        <w:tc>
          <w:tcPr>
            <w:tcW w:type="dxa" w:w="2520"/>
            <w:tcMar>
              <w:top w:w="70" w:type="dxa"/>
              <w:start w:w="110" w:type="dxa"/>
              <w:bottom w:w="70" w:type="dxa"/>
              <w:end w:w="110" w:type="dxa"/>
            </w:tcMar>
            <w:vAlign w:val="center"/>
            <w:shd w:fill="EAF2F8"/>
          </w:tcPr>
          <w:p>
            <w:r>
              <w:rPr>
                <w:b/>
                <w:color w:val="1F4E79"/>
                <w:sz w:val="16"/>
              </w:rPr>
              <w:t>Debate panel</w:t>
            </w:r>
          </w:p>
        </w:tc>
        <w:tc>
          <w:tcPr>
            <w:tcW w:type="dxa" w:w="2520"/>
            <w:tcMar>
              <w:top w:w="70" w:type="dxa"/>
              <w:start w:w="110" w:type="dxa"/>
              <w:bottom w:w="70" w:type="dxa"/>
              <w:end w:w="110" w:type="dxa"/>
            </w:tcMar>
            <w:vAlign w:val="center"/>
          </w:tcPr>
          <w:p>
            <w:r>
              <w:rPr>
                <w:sz w:val="16"/>
              </w:rPr>
              <w:t>Proposal, critique, revision, and decision summary lanes.</w:t>
            </w:r>
          </w:p>
        </w:tc>
        <w:tc>
          <w:tcPr>
            <w:tcW w:type="dxa" w:w="2520"/>
            <w:tcMar>
              <w:top w:w="70" w:type="dxa"/>
              <w:start w:w="110" w:type="dxa"/>
              <w:bottom w:w="70" w:type="dxa"/>
              <w:end w:w="110" w:type="dxa"/>
            </w:tcMar>
            <w:vAlign w:val="center"/>
          </w:tcPr>
          <w:p>
            <w:r>
              <w:rPr>
                <w:sz w:val="16"/>
              </w:rPr>
              <w:t>Collapsed summary, expanded round, evidence-linked.</w:t>
            </w:r>
          </w:p>
        </w:tc>
        <w:tc>
          <w:tcPr>
            <w:tcW w:type="dxa" w:w="2520"/>
            <w:tcMar>
              <w:top w:w="70" w:type="dxa"/>
              <w:start w:w="110" w:type="dxa"/>
              <w:bottom w:w="70" w:type="dxa"/>
              <w:end w:w="110" w:type="dxa"/>
            </w:tcMar>
            <w:vAlign w:val="center"/>
          </w:tcPr>
          <w:p>
            <w:r>
              <w:rPr>
                <w:sz w:val="16"/>
              </w:rPr>
              <w:t>Show structured reasoning; do not default to chat transcript styling.</w:t>
            </w:r>
          </w:p>
        </w:tc>
      </w:tr>
      <w:tr>
        <w:tc>
          <w:tcPr>
            <w:tcW w:type="dxa" w:w="2520"/>
            <w:tcMar>
              <w:top w:w="70" w:type="dxa"/>
              <w:start w:w="110" w:type="dxa"/>
              <w:bottom w:w="70" w:type="dxa"/>
              <w:end w:w="110" w:type="dxa"/>
            </w:tcMar>
            <w:vAlign w:val="center"/>
            <w:shd w:fill="EAF2F8"/>
          </w:tcPr>
          <w:p>
            <w:r>
              <w:rPr>
                <w:b/>
                <w:color w:val="1F4E79"/>
                <w:sz w:val="16"/>
              </w:rPr>
              <w:t>Confidence meter</w:t>
            </w:r>
          </w:p>
        </w:tc>
        <w:tc>
          <w:tcPr>
            <w:tcW w:type="dxa" w:w="2520"/>
            <w:tcMar>
              <w:top w:w="70" w:type="dxa"/>
              <w:start w:w="110" w:type="dxa"/>
              <w:bottom w:w="70" w:type="dxa"/>
              <w:end w:w="110" w:type="dxa"/>
            </w:tcMar>
            <w:vAlign w:val="center"/>
          </w:tcPr>
          <w:p>
            <w:r>
              <w:rPr>
                <w:sz w:val="16"/>
              </w:rPr>
              <w:t>Communicates confidence, uncertainty, and evidence sufficiency.</w:t>
            </w:r>
          </w:p>
        </w:tc>
        <w:tc>
          <w:tcPr>
            <w:tcW w:type="dxa" w:w="2520"/>
            <w:tcMar>
              <w:top w:w="70" w:type="dxa"/>
              <w:start w:w="110" w:type="dxa"/>
              <w:bottom w:w="70" w:type="dxa"/>
              <w:end w:w="110" w:type="dxa"/>
            </w:tcMar>
            <w:vAlign w:val="center"/>
          </w:tcPr>
          <w:p>
            <w:r>
              <w:rPr>
                <w:sz w:val="16"/>
              </w:rPr>
              <w:t>Low/medium/high; evidence-sparse; contradictory-evidence.</w:t>
            </w:r>
          </w:p>
        </w:tc>
        <w:tc>
          <w:tcPr>
            <w:tcW w:type="dxa" w:w="2520"/>
            <w:tcMar>
              <w:top w:w="70" w:type="dxa"/>
              <w:start w:w="110" w:type="dxa"/>
              <w:bottom w:w="70" w:type="dxa"/>
              <w:end w:w="110" w:type="dxa"/>
            </w:tcMar>
            <w:vAlign w:val="center"/>
          </w:tcPr>
          <w:p>
            <w:r>
              <w:rPr>
                <w:sz w:val="16"/>
              </w:rPr>
              <w:t>Keep interpretation clear and non-sensational.</w:t>
            </w:r>
          </w:p>
        </w:tc>
      </w:tr>
      <w:tr>
        <w:tc>
          <w:tcPr>
            <w:tcW w:type="dxa" w:w="2520"/>
            <w:tcMar>
              <w:top w:w="70" w:type="dxa"/>
              <w:start w:w="110" w:type="dxa"/>
              <w:bottom w:w="70" w:type="dxa"/>
              <w:end w:w="110" w:type="dxa"/>
            </w:tcMar>
            <w:vAlign w:val="center"/>
            <w:shd w:fill="EAF2F8"/>
          </w:tcPr>
          <w:p>
            <w:r>
              <w:rPr>
                <w:b/>
                <w:color w:val="1F4E79"/>
                <w:sz w:val="16"/>
              </w:rPr>
              <w:t>Evidence drawer</w:t>
            </w:r>
          </w:p>
        </w:tc>
        <w:tc>
          <w:tcPr>
            <w:tcW w:type="dxa" w:w="2520"/>
            <w:tcMar>
              <w:top w:w="70" w:type="dxa"/>
              <w:start w:w="110" w:type="dxa"/>
              <w:bottom w:w="70" w:type="dxa"/>
              <w:end w:w="110" w:type="dxa"/>
            </w:tcMar>
            <w:vAlign w:val="center"/>
          </w:tcPr>
          <w:p>
            <w:r>
              <w:rPr>
                <w:sz w:val="16"/>
              </w:rPr>
              <w:t>Shows retrieved sources, references, and trace-linked evidence for a decision.</w:t>
            </w:r>
          </w:p>
        </w:tc>
        <w:tc>
          <w:tcPr>
            <w:tcW w:type="dxa" w:w="2520"/>
            <w:tcMar>
              <w:top w:w="70" w:type="dxa"/>
              <w:start w:w="110" w:type="dxa"/>
              <w:bottom w:w="70" w:type="dxa"/>
              <w:end w:w="110" w:type="dxa"/>
            </w:tcMar>
            <w:vAlign w:val="center"/>
          </w:tcPr>
          <w:p>
            <w:r>
              <w:rPr>
                <w:sz w:val="16"/>
              </w:rPr>
              <w:t>Inline, side drawer, filtered, highlighted source.</w:t>
            </w:r>
          </w:p>
        </w:tc>
        <w:tc>
          <w:tcPr>
            <w:tcW w:type="dxa" w:w="2520"/>
            <w:tcMar>
              <w:top w:w="70" w:type="dxa"/>
              <w:start w:w="110" w:type="dxa"/>
              <w:bottom w:w="70" w:type="dxa"/>
              <w:end w:w="110" w:type="dxa"/>
            </w:tcMar>
            <w:vAlign w:val="center"/>
          </w:tcPr>
          <w:p>
            <w:r>
              <w:rPr>
                <w:sz w:val="16"/>
              </w:rPr>
              <w:t>Must support provenance metadata and copy/export actions.</w:t>
            </w:r>
          </w:p>
        </w:tc>
      </w:tr>
      <w:tr>
        <w:tc>
          <w:tcPr>
            <w:tcW w:type="dxa" w:w="2520"/>
            <w:tcMar>
              <w:top w:w="70" w:type="dxa"/>
              <w:start w:w="110" w:type="dxa"/>
              <w:bottom w:w="70" w:type="dxa"/>
              <w:end w:w="110" w:type="dxa"/>
            </w:tcMar>
            <w:vAlign w:val="center"/>
            <w:shd w:fill="EAF2F8"/>
          </w:tcPr>
          <w:p>
            <w:r>
              <w:rPr>
                <w:b/>
                <w:color w:val="1F4E79"/>
                <w:sz w:val="16"/>
              </w:rPr>
              <w:t>Recommendation panel</w:t>
            </w:r>
          </w:p>
        </w:tc>
        <w:tc>
          <w:tcPr>
            <w:tcW w:type="dxa" w:w="2520"/>
            <w:tcMar>
              <w:top w:w="70" w:type="dxa"/>
              <w:start w:w="110" w:type="dxa"/>
              <w:bottom w:w="70" w:type="dxa"/>
              <w:end w:w="110" w:type="dxa"/>
            </w:tcMar>
            <w:vAlign w:val="center"/>
          </w:tcPr>
          <w:p>
            <w:r>
              <w:rPr>
                <w:sz w:val="16"/>
              </w:rPr>
              <w:t>Next best action and release recommendation module.</w:t>
            </w:r>
          </w:p>
        </w:tc>
        <w:tc>
          <w:tcPr>
            <w:tcW w:type="dxa" w:w="2520"/>
            <w:tcMar>
              <w:top w:w="70" w:type="dxa"/>
              <w:start w:w="110" w:type="dxa"/>
              <w:bottom w:w="70" w:type="dxa"/>
              <w:end w:w="110" w:type="dxa"/>
            </w:tcMar>
            <w:vAlign w:val="center"/>
          </w:tcPr>
          <w:p>
            <w:r>
              <w:rPr>
                <w:sz w:val="16"/>
              </w:rPr>
              <w:t>Approve, revise, block, review-needed, monitor.</w:t>
            </w:r>
          </w:p>
        </w:tc>
        <w:tc>
          <w:tcPr>
            <w:tcW w:type="dxa" w:w="2520"/>
            <w:tcMar>
              <w:top w:w="70" w:type="dxa"/>
              <w:start w:w="110" w:type="dxa"/>
              <w:bottom w:w="70" w:type="dxa"/>
              <w:end w:w="110" w:type="dxa"/>
            </w:tcMar>
            <w:vAlign w:val="center"/>
          </w:tcPr>
          <w:p>
            <w:r>
              <w:rPr>
                <w:sz w:val="16"/>
              </w:rPr>
              <w:t>Use plain-English reasoning and explicit criteria.</w:t>
            </w:r>
          </w:p>
        </w:tc>
      </w:tr>
    </w:tbl>
    <w:p/>
    <w:p>
      <w:pPr>
        <w:pStyle w:val="HeadingBlue2"/>
      </w:pPr>
      <w:r>
        <w:t>5.6 Evaluation, release, and governance modules</w:t>
      </w:r>
    </w:p>
    <w:p>
      <w:pPr/>
      <w:r>
        <w:t>These modules support the trust layer of the product. They should feel formal, clear, and defensible.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2880"/>
        <w:gridCol w:w="2808"/>
        <w:gridCol w:w="2088"/>
      </w:tblGrid>
      <w:tr>
        <w:trPr>
          <w:tblHeader w:val="true"/>
        </w:trPr>
        <w:tc>
          <w:tcPr>
            <w:tcW w:type="dxa" w:w="2520"/>
            <w:shd w:fill="1F4E79"/>
            <w:tcMar>
              <w:top w:w="80" w:type="dxa"/>
              <w:start w:w="100" w:type="dxa"/>
              <w:bottom w:w="80" w:type="dxa"/>
              <w:end w:w="100" w:type="dxa"/>
            </w:tcMar>
            <w:vAlign w:val="center"/>
          </w:tcPr>
          <w:p>
            <w:pPr>
              <w:jc w:val="center"/>
            </w:pPr>
            <w:r>
              <w:rPr>
                <w:b/>
                <w:color w:val="FFFFFF"/>
                <w:sz w:val="17"/>
              </w:rPr>
              <w:t>Component</w:t>
            </w:r>
          </w:p>
        </w:tc>
        <w:tc>
          <w:tcPr>
            <w:tcW w:type="dxa" w:w="2520"/>
            <w:shd w:fill="1F4E79"/>
            <w:tcMar>
              <w:top w:w="80" w:type="dxa"/>
              <w:start w:w="100" w:type="dxa"/>
              <w:bottom w:w="80" w:type="dxa"/>
              <w:end w:w="100" w:type="dxa"/>
            </w:tcMar>
            <w:vAlign w:val="center"/>
          </w:tcPr>
          <w:p>
            <w:pPr>
              <w:jc w:val="center"/>
            </w:pPr>
            <w:r>
              <w:rPr>
                <w:b/>
                <w:color w:val="FFFFFF"/>
                <w:sz w:val="17"/>
              </w:rPr>
              <w:t>Purpose</w:t>
            </w:r>
          </w:p>
        </w:tc>
        <w:tc>
          <w:tcPr>
            <w:tcW w:type="dxa" w:w="2520"/>
            <w:shd w:fill="1F4E79"/>
            <w:tcMar>
              <w:top w:w="80" w:type="dxa"/>
              <w:start w:w="100" w:type="dxa"/>
              <w:bottom w:w="80" w:type="dxa"/>
              <w:end w:w="100" w:type="dxa"/>
            </w:tcMar>
            <w:vAlign w:val="center"/>
          </w:tcPr>
          <w:p>
            <w:pPr>
              <w:jc w:val="center"/>
            </w:pPr>
            <w:r>
              <w:rPr>
                <w:b/>
                <w:color w:val="FFFFFF"/>
                <w:sz w:val="17"/>
              </w:rPr>
              <w:t>Required variants / states</w:t>
            </w:r>
          </w:p>
        </w:tc>
        <w:tc>
          <w:tcPr>
            <w:tcW w:type="dxa" w:w="2520"/>
            <w:shd w:fill="1F4E79"/>
            <w:tcMar>
              <w:top w:w="80" w:type="dxa"/>
              <w:start w:w="100" w:type="dxa"/>
              <w:bottom w:w="80" w:type="dxa"/>
              <w:end w:w="100" w:type="dxa"/>
            </w:tcMar>
            <w:vAlign w:val="center"/>
          </w:tcPr>
          <w:p>
            <w:pPr>
              <w:jc w:val="center"/>
            </w:pPr>
            <w:r>
              <w:rPr>
                <w:b/>
                <w:color w:val="FFFFFF"/>
                <w:sz w:val="17"/>
              </w:rPr>
              <w:t>Figma construction guidance</w:t>
            </w:r>
          </w:p>
        </w:tc>
      </w:tr>
      <w:tr>
        <w:tc>
          <w:tcPr>
            <w:tcW w:type="dxa" w:w="2520"/>
            <w:tcMar>
              <w:top w:w="70" w:type="dxa"/>
              <w:start w:w="110" w:type="dxa"/>
              <w:bottom w:w="70" w:type="dxa"/>
              <w:end w:w="110" w:type="dxa"/>
            </w:tcMar>
            <w:vAlign w:val="center"/>
            <w:shd w:fill="EAF2F8"/>
          </w:tcPr>
          <w:p>
            <w:r>
              <w:rPr>
                <w:b/>
                <w:color w:val="1F4E79"/>
                <w:sz w:val="16"/>
              </w:rPr>
              <w:t>Evaluation verdict</w:t>
            </w:r>
          </w:p>
        </w:tc>
        <w:tc>
          <w:tcPr>
            <w:tcW w:type="dxa" w:w="2520"/>
            <w:tcMar>
              <w:top w:w="70" w:type="dxa"/>
              <w:start w:w="110" w:type="dxa"/>
              <w:bottom w:w="70" w:type="dxa"/>
              <w:end w:w="110" w:type="dxa"/>
            </w:tcMar>
            <w:vAlign w:val="center"/>
          </w:tcPr>
          <w:p>
            <w:r>
              <w:rPr>
                <w:sz w:val="16"/>
              </w:rPr>
              <w:t>Top-line result for benchmark and simulation outcomes.</w:t>
            </w:r>
          </w:p>
        </w:tc>
        <w:tc>
          <w:tcPr>
            <w:tcW w:type="dxa" w:w="2520"/>
            <w:tcMar>
              <w:top w:w="70" w:type="dxa"/>
              <w:start w:w="110" w:type="dxa"/>
              <w:bottom w:w="70" w:type="dxa"/>
              <w:end w:w="110" w:type="dxa"/>
            </w:tcMar>
            <w:vAlign w:val="center"/>
          </w:tcPr>
          <w:p>
            <w:r>
              <w:rPr>
                <w:sz w:val="16"/>
              </w:rPr>
              <w:t>Pass, caution, fail, blocked, rerun-needed.</w:t>
            </w:r>
          </w:p>
        </w:tc>
        <w:tc>
          <w:tcPr>
            <w:tcW w:type="dxa" w:w="2520"/>
            <w:tcMar>
              <w:top w:w="70" w:type="dxa"/>
              <w:start w:w="110" w:type="dxa"/>
              <w:bottom w:w="70" w:type="dxa"/>
              <w:end w:w="110" w:type="dxa"/>
            </w:tcMar>
            <w:vAlign w:val="center"/>
          </w:tcPr>
          <w:p>
            <w:r>
              <w:rPr>
                <w:sz w:val="16"/>
              </w:rPr>
              <w:t>Combine verdict, rationale, severity, and CTA.</w:t>
            </w:r>
          </w:p>
        </w:tc>
      </w:tr>
      <w:tr>
        <w:tc>
          <w:tcPr>
            <w:tcW w:type="dxa" w:w="2520"/>
            <w:tcMar>
              <w:top w:w="70" w:type="dxa"/>
              <w:start w:w="110" w:type="dxa"/>
              <w:bottom w:w="70" w:type="dxa"/>
              <w:end w:w="110" w:type="dxa"/>
            </w:tcMar>
            <w:vAlign w:val="center"/>
            <w:shd w:fill="EAF2F8"/>
          </w:tcPr>
          <w:p>
            <w:r>
              <w:rPr>
                <w:b/>
                <w:color w:val="1F4E79"/>
                <w:sz w:val="16"/>
              </w:rPr>
              <w:t>Scenario heatmap</w:t>
            </w:r>
          </w:p>
        </w:tc>
        <w:tc>
          <w:tcPr>
            <w:tcW w:type="dxa" w:w="2520"/>
            <w:tcMar>
              <w:top w:w="70" w:type="dxa"/>
              <w:start w:w="110" w:type="dxa"/>
              <w:bottom w:w="70" w:type="dxa"/>
              <w:end w:w="110" w:type="dxa"/>
            </w:tcMar>
            <w:vAlign w:val="center"/>
          </w:tcPr>
          <w:p>
            <w:r>
              <w:rPr>
                <w:sz w:val="16"/>
              </w:rPr>
              <w:t>Shows clusters of failures or weak performance areas.</w:t>
            </w:r>
          </w:p>
        </w:tc>
        <w:tc>
          <w:tcPr>
            <w:tcW w:type="dxa" w:w="2520"/>
            <w:tcMar>
              <w:top w:w="70" w:type="dxa"/>
              <w:start w:w="110" w:type="dxa"/>
              <w:bottom w:w="70" w:type="dxa"/>
              <w:end w:w="110" w:type="dxa"/>
            </w:tcMar>
            <w:vAlign w:val="center"/>
          </w:tcPr>
          <w:p>
            <w:r>
              <w:rPr>
                <w:sz w:val="16"/>
              </w:rPr>
              <w:t>Compact summary, detailed matrix, filtered by severity.</w:t>
            </w:r>
          </w:p>
        </w:tc>
        <w:tc>
          <w:tcPr>
            <w:tcW w:type="dxa" w:w="2520"/>
            <w:tcMar>
              <w:top w:w="70" w:type="dxa"/>
              <w:start w:w="110" w:type="dxa"/>
              <w:bottom w:w="70" w:type="dxa"/>
              <w:end w:w="110" w:type="dxa"/>
            </w:tcMar>
            <w:vAlign w:val="center"/>
          </w:tcPr>
          <w:p>
            <w:r>
              <w:rPr>
                <w:sz w:val="16"/>
              </w:rPr>
              <w:t>Keep labels legible; avoid visual noise.</w:t>
            </w:r>
          </w:p>
        </w:tc>
      </w:tr>
      <w:tr>
        <w:tc>
          <w:tcPr>
            <w:tcW w:type="dxa" w:w="2520"/>
            <w:tcMar>
              <w:top w:w="70" w:type="dxa"/>
              <w:start w:w="110" w:type="dxa"/>
              <w:bottom w:w="70" w:type="dxa"/>
              <w:end w:w="110" w:type="dxa"/>
            </w:tcMar>
            <w:vAlign w:val="center"/>
            <w:shd w:fill="EAF2F8"/>
          </w:tcPr>
          <w:p>
            <w:r>
              <w:rPr>
                <w:b/>
                <w:color w:val="1F4E79"/>
                <w:sz w:val="16"/>
              </w:rPr>
              <w:t>Release diff viewer</w:t>
            </w:r>
          </w:p>
        </w:tc>
        <w:tc>
          <w:tcPr>
            <w:tcW w:type="dxa" w:w="2520"/>
            <w:tcMar>
              <w:top w:w="70" w:type="dxa"/>
              <w:start w:w="110" w:type="dxa"/>
              <w:bottom w:w="70" w:type="dxa"/>
              <w:end w:w="110" w:type="dxa"/>
            </w:tcMar>
            <w:vAlign w:val="center"/>
          </w:tcPr>
          <w:p>
            <w:r>
              <w:rPr>
                <w:sz w:val="16"/>
              </w:rPr>
              <w:t>Summarizes what changed between candidate and baseline.</w:t>
            </w:r>
          </w:p>
        </w:tc>
        <w:tc>
          <w:tcPr>
            <w:tcW w:type="dxa" w:w="2520"/>
            <w:tcMar>
              <w:top w:w="70" w:type="dxa"/>
              <w:start w:w="110" w:type="dxa"/>
              <w:bottom w:w="70" w:type="dxa"/>
              <w:end w:w="110" w:type="dxa"/>
            </w:tcMar>
            <w:vAlign w:val="center"/>
          </w:tcPr>
          <w:p>
            <w:r>
              <w:rPr>
                <w:sz w:val="16"/>
              </w:rPr>
              <w:t>Prompt/tool/memory/policy/runtime tabs; summary-only mode.</w:t>
            </w:r>
          </w:p>
        </w:tc>
        <w:tc>
          <w:tcPr>
            <w:tcW w:type="dxa" w:w="2520"/>
            <w:tcMar>
              <w:top w:w="70" w:type="dxa"/>
              <w:start w:w="110" w:type="dxa"/>
              <w:bottom w:w="70" w:type="dxa"/>
              <w:end w:w="110" w:type="dxa"/>
            </w:tcMar>
            <w:vAlign w:val="center"/>
          </w:tcPr>
          <w:p>
            <w:r>
              <w:rPr>
                <w:sz w:val="16"/>
              </w:rPr>
              <w:t>Show risk-affecting changes first.</w:t>
            </w:r>
          </w:p>
        </w:tc>
      </w:tr>
      <w:tr>
        <w:tc>
          <w:tcPr>
            <w:tcW w:type="dxa" w:w="2520"/>
            <w:tcMar>
              <w:top w:w="70" w:type="dxa"/>
              <w:start w:w="110" w:type="dxa"/>
              <w:bottom w:w="70" w:type="dxa"/>
              <w:end w:w="110" w:type="dxa"/>
            </w:tcMar>
            <w:vAlign w:val="center"/>
            <w:shd w:fill="EAF2F8"/>
          </w:tcPr>
          <w:p>
            <w:r>
              <w:rPr>
                <w:b/>
                <w:color w:val="1F4E79"/>
                <w:sz w:val="16"/>
              </w:rPr>
              <w:t>Approval checklist</w:t>
            </w:r>
          </w:p>
        </w:tc>
        <w:tc>
          <w:tcPr>
            <w:tcW w:type="dxa" w:w="2520"/>
            <w:tcMar>
              <w:top w:w="70" w:type="dxa"/>
              <w:start w:w="110" w:type="dxa"/>
              <w:bottom w:w="70" w:type="dxa"/>
              <w:end w:w="110" w:type="dxa"/>
            </w:tcMar>
            <w:vAlign w:val="center"/>
          </w:tcPr>
          <w:p>
            <w:r>
              <w:rPr>
                <w:sz w:val="16"/>
              </w:rPr>
              <w:t>Tracks sign-off requirements before canary or release.</w:t>
            </w:r>
          </w:p>
        </w:tc>
        <w:tc>
          <w:tcPr>
            <w:tcW w:type="dxa" w:w="2520"/>
            <w:tcMar>
              <w:top w:w="70" w:type="dxa"/>
              <w:start w:w="110" w:type="dxa"/>
              <w:bottom w:w="70" w:type="dxa"/>
              <w:end w:w="110" w:type="dxa"/>
            </w:tcMar>
            <w:vAlign w:val="center"/>
          </w:tcPr>
          <w:p>
            <w:r>
              <w:rPr>
                <w:sz w:val="16"/>
              </w:rPr>
              <w:t>Unchecked, in-progress, completed, blocked.</w:t>
            </w:r>
          </w:p>
        </w:tc>
        <w:tc>
          <w:tcPr>
            <w:tcW w:type="dxa" w:w="2520"/>
            <w:tcMar>
              <w:top w:w="70" w:type="dxa"/>
              <w:start w:w="110" w:type="dxa"/>
              <w:bottom w:w="70" w:type="dxa"/>
              <w:end w:w="110" w:type="dxa"/>
            </w:tcMar>
            <w:vAlign w:val="center"/>
          </w:tcPr>
          <w:p>
            <w:r>
              <w:rPr>
                <w:sz w:val="16"/>
              </w:rPr>
              <w:t>Should integrate ownership, due date, and notes.</w:t>
            </w:r>
          </w:p>
        </w:tc>
      </w:tr>
      <w:tr>
        <w:tc>
          <w:tcPr>
            <w:tcW w:type="dxa" w:w="2520"/>
            <w:tcMar>
              <w:top w:w="70" w:type="dxa"/>
              <w:start w:w="110" w:type="dxa"/>
              <w:bottom w:w="70" w:type="dxa"/>
              <w:end w:w="110" w:type="dxa"/>
            </w:tcMar>
            <w:vAlign w:val="center"/>
            <w:shd w:fill="EAF2F8"/>
          </w:tcPr>
          <w:p>
            <w:r>
              <w:rPr>
                <w:b/>
                <w:color w:val="1F4E79"/>
                <w:sz w:val="16"/>
              </w:rPr>
              <w:t>Policy matrix</w:t>
            </w:r>
          </w:p>
        </w:tc>
        <w:tc>
          <w:tcPr>
            <w:tcW w:type="dxa" w:w="2520"/>
            <w:tcMar>
              <w:top w:w="70" w:type="dxa"/>
              <w:start w:w="110" w:type="dxa"/>
              <w:bottom w:w="70" w:type="dxa"/>
              <w:end w:w="110" w:type="dxa"/>
            </w:tcMar>
            <w:vAlign w:val="center"/>
          </w:tcPr>
          <w:p>
            <w:r>
              <w:rPr>
                <w:sz w:val="16"/>
              </w:rPr>
              <w:t>Shows allowed tools, permissions, and escalation rules.</w:t>
            </w:r>
          </w:p>
        </w:tc>
        <w:tc>
          <w:tcPr>
            <w:tcW w:type="dxa" w:w="2520"/>
            <w:tcMar>
              <w:top w:w="70" w:type="dxa"/>
              <w:start w:w="110" w:type="dxa"/>
              <w:bottom w:w="70" w:type="dxa"/>
              <w:end w:w="110" w:type="dxa"/>
            </w:tcMar>
            <w:vAlign w:val="center"/>
          </w:tcPr>
          <w:p>
            <w:r>
              <w:rPr>
                <w:sz w:val="16"/>
              </w:rPr>
              <w:t>Role-based, environment-based, change-tracked.</w:t>
            </w:r>
          </w:p>
        </w:tc>
        <w:tc>
          <w:tcPr>
            <w:tcW w:type="dxa" w:w="2520"/>
            <w:tcMar>
              <w:top w:w="70" w:type="dxa"/>
              <w:start w:w="110" w:type="dxa"/>
              <w:bottom w:w="70" w:type="dxa"/>
              <w:end w:w="110" w:type="dxa"/>
            </w:tcMar>
            <w:vAlign w:val="center"/>
          </w:tcPr>
          <w:p>
            <w:r>
              <w:rPr>
                <w:sz w:val="16"/>
              </w:rPr>
              <w:t>Make sensitive changes visually explicit.</w:t>
            </w:r>
          </w:p>
        </w:tc>
      </w:tr>
      <w:tr>
        <w:tc>
          <w:tcPr>
            <w:tcW w:type="dxa" w:w="2520"/>
            <w:tcMar>
              <w:top w:w="70" w:type="dxa"/>
              <w:start w:w="110" w:type="dxa"/>
              <w:bottom w:w="70" w:type="dxa"/>
              <w:end w:w="110" w:type="dxa"/>
            </w:tcMar>
            <w:vAlign w:val="center"/>
            <w:shd w:fill="EAF2F8"/>
          </w:tcPr>
          <w:p>
            <w:r>
              <w:rPr>
                <w:b/>
                <w:color w:val="1F4E79"/>
                <w:sz w:val="16"/>
              </w:rPr>
              <w:t>Audit event row</w:t>
            </w:r>
          </w:p>
        </w:tc>
        <w:tc>
          <w:tcPr>
            <w:tcW w:type="dxa" w:w="2520"/>
            <w:tcMar>
              <w:top w:w="70" w:type="dxa"/>
              <w:start w:w="110" w:type="dxa"/>
              <w:bottom w:w="70" w:type="dxa"/>
              <w:end w:w="110" w:type="dxa"/>
            </w:tcMar>
            <w:vAlign w:val="center"/>
          </w:tcPr>
          <w:p>
            <w:r>
              <w:rPr>
                <w:sz w:val="16"/>
              </w:rPr>
              <w:t>Represents one immutable event or review action.</w:t>
            </w:r>
          </w:p>
        </w:tc>
        <w:tc>
          <w:tcPr>
            <w:tcW w:type="dxa" w:w="2520"/>
            <w:tcMar>
              <w:top w:w="70" w:type="dxa"/>
              <w:start w:w="110" w:type="dxa"/>
              <w:bottom w:w="70" w:type="dxa"/>
              <w:end w:w="110" w:type="dxa"/>
            </w:tcMar>
            <w:vAlign w:val="center"/>
          </w:tcPr>
          <w:p>
            <w:r>
              <w:rPr>
                <w:sz w:val="16"/>
              </w:rPr>
              <w:t>Normal, warning, critical, linked-to-run.</w:t>
            </w:r>
          </w:p>
        </w:tc>
        <w:tc>
          <w:tcPr>
            <w:tcW w:type="dxa" w:w="2520"/>
            <w:tcMar>
              <w:top w:w="70" w:type="dxa"/>
              <w:start w:w="110" w:type="dxa"/>
              <w:bottom w:w="70" w:type="dxa"/>
              <w:end w:w="110" w:type="dxa"/>
            </w:tcMar>
            <w:vAlign w:val="center"/>
          </w:tcPr>
          <w:p>
            <w:r>
              <w:rPr>
                <w:sz w:val="16"/>
              </w:rPr>
              <w:t>Needs compact density and strong scanability.</w:t>
            </w:r>
          </w:p>
        </w:tc>
      </w:tr>
    </w:tbl>
    <w:p/>
    <w:p>
      <w:pPr>
        <w:pStyle w:val="HeadingBlue2"/>
      </w:pPr>
      <w:r>
        <w:t>5.7 Deployment and runtime modules</w:t>
      </w:r>
    </w:p>
    <w:p>
      <w:pPr/>
      <w:r>
        <w:t>These modules let the product shift from design studio into operating system mode without changing visual language.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2880"/>
        <w:gridCol w:w="2808"/>
        <w:gridCol w:w="2088"/>
      </w:tblGrid>
      <w:tr>
        <w:trPr>
          <w:tblHeader w:val="true"/>
        </w:trPr>
        <w:tc>
          <w:tcPr>
            <w:tcW w:type="dxa" w:w="2520"/>
            <w:shd w:fill="1F4E79"/>
            <w:tcMar>
              <w:top w:w="80" w:type="dxa"/>
              <w:start w:w="100" w:type="dxa"/>
              <w:bottom w:w="80" w:type="dxa"/>
              <w:end w:w="100" w:type="dxa"/>
            </w:tcMar>
            <w:vAlign w:val="center"/>
          </w:tcPr>
          <w:p>
            <w:pPr>
              <w:jc w:val="center"/>
            </w:pPr>
            <w:r>
              <w:rPr>
                <w:b/>
                <w:color w:val="FFFFFF"/>
                <w:sz w:val="17"/>
              </w:rPr>
              <w:t>Component</w:t>
            </w:r>
          </w:p>
        </w:tc>
        <w:tc>
          <w:tcPr>
            <w:tcW w:type="dxa" w:w="2520"/>
            <w:shd w:fill="1F4E79"/>
            <w:tcMar>
              <w:top w:w="80" w:type="dxa"/>
              <w:start w:w="100" w:type="dxa"/>
              <w:bottom w:w="80" w:type="dxa"/>
              <w:end w:w="100" w:type="dxa"/>
            </w:tcMar>
            <w:vAlign w:val="center"/>
          </w:tcPr>
          <w:p>
            <w:pPr>
              <w:jc w:val="center"/>
            </w:pPr>
            <w:r>
              <w:rPr>
                <w:b/>
                <w:color w:val="FFFFFF"/>
                <w:sz w:val="17"/>
              </w:rPr>
              <w:t>Purpose</w:t>
            </w:r>
          </w:p>
        </w:tc>
        <w:tc>
          <w:tcPr>
            <w:tcW w:type="dxa" w:w="2520"/>
            <w:shd w:fill="1F4E79"/>
            <w:tcMar>
              <w:top w:w="80" w:type="dxa"/>
              <w:start w:w="100" w:type="dxa"/>
              <w:bottom w:w="80" w:type="dxa"/>
              <w:end w:w="100" w:type="dxa"/>
            </w:tcMar>
            <w:vAlign w:val="center"/>
          </w:tcPr>
          <w:p>
            <w:pPr>
              <w:jc w:val="center"/>
            </w:pPr>
            <w:r>
              <w:rPr>
                <w:b/>
                <w:color w:val="FFFFFF"/>
                <w:sz w:val="17"/>
              </w:rPr>
              <w:t>Required variants / states</w:t>
            </w:r>
          </w:p>
        </w:tc>
        <w:tc>
          <w:tcPr>
            <w:tcW w:type="dxa" w:w="2520"/>
            <w:shd w:fill="1F4E79"/>
            <w:tcMar>
              <w:top w:w="80" w:type="dxa"/>
              <w:start w:w="100" w:type="dxa"/>
              <w:bottom w:w="80" w:type="dxa"/>
              <w:end w:w="100" w:type="dxa"/>
            </w:tcMar>
            <w:vAlign w:val="center"/>
          </w:tcPr>
          <w:p>
            <w:pPr>
              <w:jc w:val="center"/>
            </w:pPr>
            <w:r>
              <w:rPr>
                <w:b/>
                <w:color w:val="FFFFFF"/>
                <w:sz w:val="17"/>
              </w:rPr>
              <w:t>Figma construction guidance</w:t>
            </w:r>
          </w:p>
        </w:tc>
      </w:tr>
      <w:tr>
        <w:tc>
          <w:tcPr>
            <w:tcW w:type="dxa" w:w="2520"/>
            <w:tcMar>
              <w:top w:w="70" w:type="dxa"/>
              <w:start w:w="110" w:type="dxa"/>
              <w:bottom w:w="70" w:type="dxa"/>
              <w:end w:w="110" w:type="dxa"/>
            </w:tcMar>
            <w:vAlign w:val="center"/>
            <w:shd w:fill="EAF2F8"/>
          </w:tcPr>
          <w:p>
            <w:r>
              <w:rPr>
                <w:b/>
                <w:color w:val="1F4E79"/>
                <w:sz w:val="16"/>
              </w:rPr>
              <w:t>Environment switcher</w:t>
            </w:r>
          </w:p>
        </w:tc>
        <w:tc>
          <w:tcPr>
            <w:tcW w:type="dxa" w:w="2520"/>
            <w:tcMar>
              <w:top w:w="70" w:type="dxa"/>
              <w:start w:w="110" w:type="dxa"/>
              <w:bottom w:w="70" w:type="dxa"/>
              <w:end w:w="110" w:type="dxa"/>
            </w:tcMar>
            <w:vAlign w:val="center"/>
          </w:tcPr>
          <w:p>
            <w:r>
              <w:rPr>
                <w:sz w:val="16"/>
              </w:rPr>
              <w:t>Switches staging, canary, and production contexts.</w:t>
            </w:r>
          </w:p>
        </w:tc>
        <w:tc>
          <w:tcPr>
            <w:tcW w:type="dxa" w:w="2520"/>
            <w:tcMar>
              <w:top w:w="70" w:type="dxa"/>
              <w:start w:w="110" w:type="dxa"/>
              <w:bottom w:w="70" w:type="dxa"/>
              <w:end w:w="110" w:type="dxa"/>
            </w:tcMar>
            <w:vAlign w:val="center"/>
          </w:tcPr>
          <w:p>
            <w:r>
              <w:rPr>
                <w:sz w:val="16"/>
              </w:rPr>
              <w:t>Single-select, permission-limited, status-badged.</w:t>
            </w:r>
          </w:p>
        </w:tc>
        <w:tc>
          <w:tcPr>
            <w:tcW w:type="dxa" w:w="2520"/>
            <w:tcMar>
              <w:top w:w="70" w:type="dxa"/>
              <w:start w:w="110" w:type="dxa"/>
              <w:bottom w:w="70" w:type="dxa"/>
              <w:end w:w="110" w:type="dxa"/>
            </w:tcMar>
            <w:vAlign w:val="center"/>
          </w:tcPr>
          <w:p>
            <w:r>
              <w:rPr>
                <w:sz w:val="16"/>
              </w:rPr>
              <w:t>Must be visible and hard to misuse.</w:t>
            </w:r>
          </w:p>
        </w:tc>
      </w:tr>
      <w:tr>
        <w:tc>
          <w:tcPr>
            <w:tcW w:type="dxa" w:w="2520"/>
            <w:tcMar>
              <w:top w:w="70" w:type="dxa"/>
              <w:start w:w="110" w:type="dxa"/>
              <w:bottom w:w="70" w:type="dxa"/>
              <w:end w:w="110" w:type="dxa"/>
            </w:tcMar>
            <w:vAlign w:val="center"/>
            <w:shd w:fill="EAF2F8"/>
          </w:tcPr>
          <w:p>
            <w:r>
              <w:rPr>
                <w:b/>
                <w:color w:val="1F4E79"/>
                <w:sz w:val="16"/>
              </w:rPr>
              <w:t>Rollout progress</w:t>
            </w:r>
          </w:p>
        </w:tc>
        <w:tc>
          <w:tcPr>
            <w:tcW w:type="dxa" w:w="2520"/>
            <w:tcMar>
              <w:top w:w="70" w:type="dxa"/>
              <w:start w:w="110" w:type="dxa"/>
              <w:bottom w:w="70" w:type="dxa"/>
              <w:end w:w="110" w:type="dxa"/>
            </w:tcMar>
            <w:vAlign w:val="center"/>
          </w:tcPr>
          <w:p>
            <w:r>
              <w:rPr>
                <w:sz w:val="16"/>
              </w:rPr>
              <w:t>Shows canary percentage, healthy/degraded status, and rollout phase.</w:t>
            </w:r>
          </w:p>
        </w:tc>
        <w:tc>
          <w:tcPr>
            <w:tcW w:type="dxa" w:w="2520"/>
            <w:tcMar>
              <w:top w:w="70" w:type="dxa"/>
              <w:start w:w="110" w:type="dxa"/>
              <w:bottom w:w="70" w:type="dxa"/>
              <w:end w:w="110" w:type="dxa"/>
            </w:tcMar>
            <w:vAlign w:val="center"/>
          </w:tcPr>
          <w:p>
            <w:r>
              <w:rPr>
                <w:sz w:val="16"/>
              </w:rPr>
              <w:t>Linear, step-based, with rollback action.</w:t>
            </w:r>
          </w:p>
        </w:tc>
        <w:tc>
          <w:tcPr>
            <w:tcW w:type="dxa" w:w="2520"/>
            <w:tcMar>
              <w:top w:w="70" w:type="dxa"/>
              <w:start w:w="110" w:type="dxa"/>
              <w:bottom w:w="70" w:type="dxa"/>
              <w:end w:w="110" w:type="dxa"/>
            </w:tcMar>
            <w:vAlign w:val="center"/>
          </w:tcPr>
          <w:p>
            <w:r>
              <w:rPr>
                <w:sz w:val="16"/>
              </w:rPr>
              <w:t>Support longitudinal monitoring states.</w:t>
            </w:r>
          </w:p>
        </w:tc>
      </w:tr>
      <w:tr>
        <w:tc>
          <w:tcPr>
            <w:tcW w:type="dxa" w:w="2520"/>
            <w:tcMar>
              <w:top w:w="70" w:type="dxa"/>
              <w:start w:w="110" w:type="dxa"/>
              <w:bottom w:w="70" w:type="dxa"/>
              <w:end w:w="110" w:type="dxa"/>
            </w:tcMar>
            <w:vAlign w:val="center"/>
            <w:shd w:fill="EAF2F8"/>
          </w:tcPr>
          <w:p>
            <w:r>
              <w:rPr>
                <w:b/>
                <w:color w:val="1F4E79"/>
                <w:sz w:val="16"/>
              </w:rPr>
              <w:t>Runtime health card</w:t>
            </w:r>
          </w:p>
        </w:tc>
        <w:tc>
          <w:tcPr>
            <w:tcW w:type="dxa" w:w="2520"/>
            <w:tcMar>
              <w:top w:w="70" w:type="dxa"/>
              <w:start w:w="110" w:type="dxa"/>
              <w:bottom w:w="70" w:type="dxa"/>
              <w:end w:w="110" w:type="dxa"/>
            </w:tcMar>
            <w:vAlign w:val="center"/>
          </w:tcPr>
          <w:p>
            <w:r>
              <w:rPr>
                <w:sz w:val="16"/>
              </w:rPr>
              <w:t>Summarizes throughput, latency, errors, cost, and tool health.</w:t>
            </w:r>
          </w:p>
        </w:tc>
        <w:tc>
          <w:tcPr>
            <w:tcW w:type="dxa" w:w="2520"/>
            <w:tcMar>
              <w:top w:w="70" w:type="dxa"/>
              <w:start w:w="110" w:type="dxa"/>
              <w:bottom w:w="70" w:type="dxa"/>
              <w:end w:w="110" w:type="dxa"/>
            </w:tcMar>
            <w:vAlign w:val="center"/>
          </w:tcPr>
          <w:p>
            <w:r>
              <w:rPr>
                <w:sz w:val="16"/>
              </w:rPr>
              <w:t>Healthy, degraded, incident, loading.</w:t>
            </w:r>
          </w:p>
        </w:tc>
        <w:tc>
          <w:tcPr>
            <w:tcW w:type="dxa" w:w="2520"/>
            <w:tcMar>
              <w:top w:w="70" w:type="dxa"/>
              <w:start w:w="110" w:type="dxa"/>
              <w:bottom w:w="70" w:type="dxa"/>
              <w:end w:w="110" w:type="dxa"/>
            </w:tcMar>
            <w:vAlign w:val="center"/>
          </w:tcPr>
          <w:p>
            <w:r>
              <w:rPr>
                <w:sz w:val="16"/>
              </w:rPr>
              <w:t>Card should link into traces and detailed diagnostics.</w:t>
            </w:r>
          </w:p>
        </w:tc>
      </w:tr>
      <w:tr>
        <w:tc>
          <w:tcPr>
            <w:tcW w:type="dxa" w:w="2520"/>
            <w:tcMar>
              <w:top w:w="70" w:type="dxa"/>
              <w:start w:w="110" w:type="dxa"/>
              <w:bottom w:w="70" w:type="dxa"/>
              <w:end w:w="110" w:type="dxa"/>
            </w:tcMar>
            <w:vAlign w:val="center"/>
            <w:shd w:fill="EAF2F8"/>
          </w:tcPr>
          <w:p>
            <w:r>
              <w:rPr>
                <w:b/>
                <w:color w:val="1F4E79"/>
                <w:sz w:val="16"/>
              </w:rPr>
              <w:t>Incident summary</w:t>
            </w:r>
          </w:p>
        </w:tc>
        <w:tc>
          <w:tcPr>
            <w:tcW w:type="dxa" w:w="2520"/>
            <w:tcMar>
              <w:top w:w="70" w:type="dxa"/>
              <w:start w:w="110" w:type="dxa"/>
              <w:bottom w:w="70" w:type="dxa"/>
              <w:end w:w="110" w:type="dxa"/>
            </w:tcMar>
            <w:vAlign w:val="center"/>
          </w:tcPr>
          <w:p>
            <w:r>
              <w:rPr>
                <w:sz w:val="16"/>
              </w:rPr>
              <w:t>Compact issue module for runtime failures and risk events.</w:t>
            </w:r>
          </w:p>
        </w:tc>
        <w:tc>
          <w:tcPr>
            <w:tcW w:type="dxa" w:w="2520"/>
            <w:tcMar>
              <w:top w:w="70" w:type="dxa"/>
              <w:start w:w="110" w:type="dxa"/>
              <w:bottom w:w="70" w:type="dxa"/>
              <w:end w:w="110" w:type="dxa"/>
            </w:tcMar>
            <w:vAlign w:val="center"/>
          </w:tcPr>
          <w:p>
            <w:r>
              <w:rPr>
                <w:sz w:val="16"/>
              </w:rPr>
              <w:t>Open, acknowledged, mitigated, resolved.</w:t>
            </w:r>
          </w:p>
        </w:tc>
        <w:tc>
          <w:tcPr>
            <w:tcW w:type="dxa" w:w="2520"/>
            <w:tcMar>
              <w:top w:w="70" w:type="dxa"/>
              <w:start w:w="110" w:type="dxa"/>
              <w:bottom w:w="70" w:type="dxa"/>
              <w:end w:w="110" w:type="dxa"/>
            </w:tcMar>
            <w:vAlign w:val="center"/>
          </w:tcPr>
          <w:p>
            <w:r>
              <w:rPr>
                <w:sz w:val="16"/>
              </w:rPr>
              <w:t>Pair severity with ownership and timestamp.</w:t>
            </w:r>
          </w:p>
        </w:tc>
      </w:tr>
      <w:tr>
        <w:tc>
          <w:tcPr>
            <w:tcW w:type="dxa" w:w="2520"/>
            <w:tcMar>
              <w:top w:w="70" w:type="dxa"/>
              <w:start w:w="110" w:type="dxa"/>
              <w:bottom w:w="70" w:type="dxa"/>
              <w:end w:w="110" w:type="dxa"/>
            </w:tcMar>
            <w:vAlign w:val="center"/>
            <w:shd w:fill="EAF2F8"/>
          </w:tcPr>
          <w:p>
            <w:r>
              <w:rPr>
                <w:b/>
                <w:color w:val="1F4E79"/>
                <w:sz w:val="16"/>
              </w:rPr>
              <w:t>Trace waterfall</w:t>
            </w:r>
          </w:p>
        </w:tc>
        <w:tc>
          <w:tcPr>
            <w:tcW w:type="dxa" w:w="2520"/>
            <w:tcMar>
              <w:top w:w="70" w:type="dxa"/>
              <w:start w:w="110" w:type="dxa"/>
              <w:bottom w:w="70" w:type="dxa"/>
              <w:end w:w="110" w:type="dxa"/>
            </w:tcMar>
            <w:vAlign w:val="center"/>
          </w:tcPr>
          <w:p>
            <w:r>
              <w:rPr>
                <w:sz w:val="16"/>
              </w:rPr>
              <w:t>Visualizes step-by-step run timing and dependencies.</w:t>
            </w:r>
          </w:p>
        </w:tc>
        <w:tc>
          <w:tcPr>
            <w:tcW w:type="dxa" w:w="2520"/>
            <w:tcMar>
              <w:top w:w="70" w:type="dxa"/>
              <w:start w:w="110" w:type="dxa"/>
              <w:bottom w:w="70" w:type="dxa"/>
              <w:end w:w="110" w:type="dxa"/>
            </w:tcMar>
            <w:vAlign w:val="center"/>
          </w:tcPr>
          <w:p>
            <w:r>
              <w:rPr>
                <w:sz w:val="16"/>
              </w:rPr>
              <w:t>Collapsed summary, expanded technical view.</w:t>
            </w:r>
          </w:p>
        </w:tc>
        <w:tc>
          <w:tcPr>
            <w:tcW w:type="dxa" w:w="2520"/>
            <w:tcMar>
              <w:top w:w="70" w:type="dxa"/>
              <w:start w:w="110" w:type="dxa"/>
              <w:bottom w:w="70" w:type="dxa"/>
              <w:end w:w="110" w:type="dxa"/>
            </w:tcMar>
            <w:vAlign w:val="center"/>
          </w:tcPr>
          <w:p>
            <w:r>
              <w:rPr>
                <w:sz w:val="16"/>
              </w:rPr>
              <w:t>Can begin as a simplified pattern before full observability polish.</w:t>
            </w:r>
          </w:p>
        </w:tc>
      </w:tr>
    </w:tbl>
    <w:p/>
    <w:p>
      <w:pPr>
        <w:pStyle w:val="HeadingBlue2"/>
      </w:pPr>
      <w:r>
        <w:t>5.8 Overlay and utility components</w:t>
      </w:r>
    </w:p>
    <w:p>
      <w:pPr/>
      <w:r>
        <w:t>These support usability, but they must not become the main way users understand the product.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16"/>
        <w:gridCol w:w="2880"/>
        <w:gridCol w:w="2808"/>
        <w:gridCol w:w="2088"/>
      </w:tblGrid>
      <w:tr>
        <w:trPr>
          <w:tblHeader w:val="true"/>
        </w:trPr>
        <w:tc>
          <w:tcPr>
            <w:tcW w:type="dxa" w:w="2520"/>
            <w:shd w:fill="1F4E79"/>
            <w:tcMar>
              <w:top w:w="80" w:type="dxa"/>
              <w:start w:w="100" w:type="dxa"/>
              <w:bottom w:w="80" w:type="dxa"/>
              <w:end w:w="100" w:type="dxa"/>
            </w:tcMar>
            <w:vAlign w:val="center"/>
          </w:tcPr>
          <w:p>
            <w:pPr>
              <w:jc w:val="center"/>
            </w:pPr>
            <w:r>
              <w:rPr>
                <w:b/>
                <w:color w:val="FFFFFF"/>
                <w:sz w:val="17"/>
              </w:rPr>
              <w:t>Component</w:t>
            </w:r>
          </w:p>
        </w:tc>
        <w:tc>
          <w:tcPr>
            <w:tcW w:type="dxa" w:w="2520"/>
            <w:shd w:fill="1F4E79"/>
            <w:tcMar>
              <w:top w:w="80" w:type="dxa"/>
              <w:start w:w="100" w:type="dxa"/>
              <w:bottom w:w="80" w:type="dxa"/>
              <w:end w:w="100" w:type="dxa"/>
            </w:tcMar>
            <w:vAlign w:val="center"/>
          </w:tcPr>
          <w:p>
            <w:pPr>
              <w:jc w:val="center"/>
            </w:pPr>
            <w:r>
              <w:rPr>
                <w:b/>
                <w:color w:val="FFFFFF"/>
                <w:sz w:val="17"/>
              </w:rPr>
              <w:t>Purpose</w:t>
            </w:r>
          </w:p>
        </w:tc>
        <w:tc>
          <w:tcPr>
            <w:tcW w:type="dxa" w:w="2520"/>
            <w:shd w:fill="1F4E79"/>
            <w:tcMar>
              <w:top w:w="80" w:type="dxa"/>
              <w:start w:w="100" w:type="dxa"/>
              <w:bottom w:w="80" w:type="dxa"/>
              <w:end w:w="100" w:type="dxa"/>
            </w:tcMar>
            <w:vAlign w:val="center"/>
          </w:tcPr>
          <w:p>
            <w:pPr>
              <w:jc w:val="center"/>
            </w:pPr>
            <w:r>
              <w:rPr>
                <w:b/>
                <w:color w:val="FFFFFF"/>
                <w:sz w:val="17"/>
              </w:rPr>
              <w:t>Required variants / states</w:t>
            </w:r>
          </w:p>
        </w:tc>
        <w:tc>
          <w:tcPr>
            <w:tcW w:type="dxa" w:w="2520"/>
            <w:shd w:fill="1F4E79"/>
            <w:tcMar>
              <w:top w:w="80" w:type="dxa"/>
              <w:start w:w="100" w:type="dxa"/>
              <w:bottom w:w="80" w:type="dxa"/>
              <w:end w:w="100" w:type="dxa"/>
            </w:tcMar>
            <w:vAlign w:val="center"/>
          </w:tcPr>
          <w:p>
            <w:pPr>
              <w:jc w:val="center"/>
            </w:pPr>
            <w:r>
              <w:rPr>
                <w:b/>
                <w:color w:val="FFFFFF"/>
                <w:sz w:val="17"/>
              </w:rPr>
              <w:t>Figma construction guidance</w:t>
            </w:r>
          </w:p>
        </w:tc>
      </w:tr>
      <w:tr>
        <w:tc>
          <w:tcPr>
            <w:tcW w:type="dxa" w:w="2520"/>
            <w:tcMar>
              <w:top w:w="70" w:type="dxa"/>
              <w:start w:w="110" w:type="dxa"/>
              <w:bottom w:w="70" w:type="dxa"/>
              <w:end w:w="110" w:type="dxa"/>
            </w:tcMar>
            <w:vAlign w:val="center"/>
            <w:shd w:fill="EAF2F8"/>
          </w:tcPr>
          <w:p>
            <w:r>
              <w:rPr>
                <w:b/>
                <w:color w:val="1F4E79"/>
                <w:sz w:val="16"/>
              </w:rPr>
              <w:t>Modal / side sheet</w:t>
            </w:r>
          </w:p>
        </w:tc>
        <w:tc>
          <w:tcPr>
            <w:tcW w:type="dxa" w:w="2520"/>
            <w:tcMar>
              <w:top w:w="70" w:type="dxa"/>
              <w:start w:w="110" w:type="dxa"/>
              <w:bottom w:w="70" w:type="dxa"/>
              <w:end w:w="110" w:type="dxa"/>
            </w:tcMar>
            <w:vAlign w:val="center"/>
          </w:tcPr>
          <w:p>
            <w:r>
              <w:rPr>
                <w:sz w:val="16"/>
              </w:rPr>
              <w:t>Confirmation, focused editing, approval, and detail views.</w:t>
            </w:r>
          </w:p>
        </w:tc>
        <w:tc>
          <w:tcPr>
            <w:tcW w:type="dxa" w:w="2520"/>
            <w:tcMar>
              <w:top w:w="70" w:type="dxa"/>
              <w:start w:w="110" w:type="dxa"/>
              <w:bottom w:w="70" w:type="dxa"/>
              <w:end w:w="110" w:type="dxa"/>
            </w:tcMar>
            <w:vAlign w:val="center"/>
          </w:tcPr>
          <w:p>
            <w:r>
              <w:rPr>
                <w:sz w:val="16"/>
              </w:rPr>
              <w:t>Small, medium, large, full-height side sheet.</w:t>
            </w:r>
          </w:p>
        </w:tc>
        <w:tc>
          <w:tcPr>
            <w:tcW w:type="dxa" w:w="2520"/>
            <w:tcMar>
              <w:top w:w="70" w:type="dxa"/>
              <w:start w:w="110" w:type="dxa"/>
              <w:bottom w:w="70" w:type="dxa"/>
              <w:end w:w="110" w:type="dxa"/>
            </w:tcMar>
            <w:vAlign w:val="center"/>
          </w:tcPr>
          <w:p>
            <w:r>
              <w:rPr>
                <w:sz w:val="16"/>
              </w:rPr>
              <w:t>Prefer side sheets for review-heavy workflows.</w:t>
            </w:r>
          </w:p>
        </w:tc>
      </w:tr>
      <w:tr>
        <w:tc>
          <w:tcPr>
            <w:tcW w:type="dxa" w:w="2520"/>
            <w:tcMar>
              <w:top w:w="70" w:type="dxa"/>
              <w:start w:w="110" w:type="dxa"/>
              <w:bottom w:w="70" w:type="dxa"/>
              <w:end w:w="110" w:type="dxa"/>
            </w:tcMar>
            <w:vAlign w:val="center"/>
            <w:shd w:fill="EAF2F8"/>
          </w:tcPr>
          <w:p>
            <w:r>
              <w:rPr>
                <w:b/>
                <w:color w:val="1F4E79"/>
                <w:sz w:val="16"/>
              </w:rPr>
              <w:t>Dropdown / context menu</w:t>
            </w:r>
          </w:p>
        </w:tc>
        <w:tc>
          <w:tcPr>
            <w:tcW w:type="dxa" w:w="2520"/>
            <w:tcMar>
              <w:top w:w="70" w:type="dxa"/>
              <w:start w:w="110" w:type="dxa"/>
              <w:bottom w:w="70" w:type="dxa"/>
              <w:end w:w="110" w:type="dxa"/>
            </w:tcMar>
            <w:vAlign w:val="center"/>
          </w:tcPr>
          <w:p>
            <w:r>
              <w:rPr>
                <w:sz w:val="16"/>
              </w:rPr>
              <w:t>Secondary actions, quick filters, row actions.</w:t>
            </w:r>
          </w:p>
        </w:tc>
        <w:tc>
          <w:tcPr>
            <w:tcW w:type="dxa" w:w="2520"/>
            <w:tcMar>
              <w:top w:w="70" w:type="dxa"/>
              <w:start w:w="110" w:type="dxa"/>
              <w:bottom w:w="70" w:type="dxa"/>
              <w:end w:w="110" w:type="dxa"/>
            </w:tcMar>
            <w:vAlign w:val="center"/>
          </w:tcPr>
          <w:p>
            <w:r>
              <w:rPr>
                <w:sz w:val="16"/>
              </w:rPr>
              <w:t>Standard, destructive item, grouped sections.</w:t>
            </w:r>
          </w:p>
        </w:tc>
        <w:tc>
          <w:tcPr>
            <w:tcW w:type="dxa" w:w="2520"/>
            <w:tcMar>
              <w:top w:w="70" w:type="dxa"/>
              <w:start w:w="110" w:type="dxa"/>
              <w:bottom w:w="70" w:type="dxa"/>
              <w:end w:w="110" w:type="dxa"/>
            </w:tcMar>
            <w:vAlign w:val="center"/>
          </w:tcPr>
          <w:p>
            <w:r>
              <w:rPr>
                <w:sz w:val="16"/>
              </w:rPr>
              <w:t>Use consistently; avoid burying core actions here.</w:t>
            </w:r>
          </w:p>
        </w:tc>
      </w:tr>
      <w:tr>
        <w:tc>
          <w:tcPr>
            <w:tcW w:type="dxa" w:w="2520"/>
            <w:tcMar>
              <w:top w:w="70" w:type="dxa"/>
              <w:start w:w="110" w:type="dxa"/>
              <w:bottom w:w="70" w:type="dxa"/>
              <w:end w:w="110" w:type="dxa"/>
            </w:tcMar>
            <w:vAlign w:val="center"/>
            <w:shd w:fill="EAF2F8"/>
          </w:tcPr>
          <w:p>
            <w:r>
              <w:rPr>
                <w:b/>
                <w:color w:val="1F4E79"/>
                <w:sz w:val="16"/>
              </w:rPr>
              <w:t>Popover</w:t>
            </w:r>
          </w:p>
        </w:tc>
        <w:tc>
          <w:tcPr>
            <w:tcW w:type="dxa" w:w="2520"/>
            <w:tcMar>
              <w:top w:w="70" w:type="dxa"/>
              <w:start w:w="110" w:type="dxa"/>
              <w:bottom w:w="70" w:type="dxa"/>
              <w:end w:w="110" w:type="dxa"/>
            </w:tcMar>
            <w:vAlign w:val="center"/>
          </w:tcPr>
          <w:p>
            <w:r>
              <w:rPr>
                <w:sz w:val="16"/>
              </w:rPr>
              <w:t>Contextual lightweight detail such as metric definition or source preview.</w:t>
            </w:r>
          </w:p>
        </w:tc>
        <w:tc>
          <w:tcPr>
            <w:tcW w:type="dxa" w:w="2520"/>
            <w:tcMar>
              <w:top w:w="70" w:type="dxa"/>
              <w:start w:w="110" w:type="dxa"/>
              <w:bottom w:w="70" w:type="dxa"/>
              <w:end w:w="110" w:type="dxa"/>
            </w:tcMar>
            <w:vAlign w:val="center"/>
          </w:tcPr>
          <w:p>
            <w:r>
              <w:rPr>
                <w:sz w:val="16"/>
              </w:rPr>
              <w:t>Info, action-enabled, hover-safe.</w:t>
            </w:r>
          </w:p>
        </w:tc>
        <w:tc>
          <w:tcPr>
            <w:tcW w:type="dxa" w:w="2520"/>
            <w:tcMar>
              <w:top w:w="70" w:type="dxa"/>
              <w:start w:w="110" w:type="dxa"/>
              <w:bottom w:w="70" w:type="dxa"/>
              <w:end w:w="110" w:type="dxa"/>
            </w:tcMar>
            <w:vAlign w:val="center"/>
          </w:tcPr>
          <w:p>
            <w:r>
              <w:rPr>
                <w:sz w:val="16"/>
              </w:rPr>
              <w:t>Do not overload with long-form content.</w:t>
            </w:r>
          </w:p>
        </w:tc>
      </w:tr>
      <w:tr>
        <w:tc>
          <w:tcPr>
            <w:tcW w:type="dxa" w:w="2520"/>
            <w:tcMar>
              <w:top w:w="70" w:type="dxa"/>
              <w:start w:w="110" w:type="dxa"/>
              <w:bottom w:w="70" w:type="dxa"/>
              <w:end w:w="110" w:type="dxa"/>
            </w:tcMar>
            <w:vAlign w:val="center"/>
            <w:shd w:fill="EAF2F8"/>
          </w:tcPr>
          <w:p>
            <w:r>
              <w:rPr>
                <w:b/>
                <w:color w:val="1F4E79"/>
                <w:sz w:val="16"/>
              </w:rPr>
              <w:t>Pagination / infinite load</w:t>
            </w:r>
          </w:p>
        </w:tc>
        <w:tc>
          <w:tcPr>
            <w:tcW w:type="dxa" w:w="2520"/>
            <w:tcMar>
              <w:top w:w="70" w:type="dxa"/>
              <w:start w:w="110" w:type="dxa"/>
              <w:bottom w:w="70" w:type="dxa"/>
              <w:end w:w="110" w:type="dxa"/>
            </w:tcMar>
            <w:vAlign w:val="center"/>
          </w:tcPr>
          <w:p>
            <w:r>
              <w:rPr>
                <w:sz w:val="16"/>
              </w:rPr>
              <w:t>Large result sets in logs, runs, and audit views.</w:t>
            </w:r>
          </w:p>
        </w:tc>
        <w:tc>
          <w:tcPr>
            <w:tcW w:type="dxa" w:w="2520"/>
            <w:tcMar>
              <w:top w:w="70" w:type="dxa"/>
              <w:start w:w="110" w:type="dxa"/>
              <w:bottom w:w="70" w:type="dxa"/>
              <w:end w:w="110" w:type="dxa"/>
            </w:tcMar>
            <w:vAlign w:val="center"/>
          </w:tcPr>
          <w:p>
            <w:r>
              <w:rPr>
                <w:sz w:val="16"/>
              </w:rPr>
              <w:t>Paged, load-more, cursor-based.</w:t>
            </w:r>
          </w:p>
        </w:tc>
        <w:tc>
          <w:tcPr>
            <w:tcW w:type="dxa" w:w="2520"/>
            <w:tcMar>
              <w:top w:w="70" w:type="dxa"/>
              <w:start w:w="110" w:type="dxa"/>
              <w:bottom w:w="70" w:type="dxa"/>
              <w:end w:w="110" w:type="dxa"/>
            </w:tcMar>
            <w:vAlign w:val="center"/>
          </w:tcPr>
          <w:p>
            <w:r>
              <w:rPr>
                <w:sz w:val="16"/>
              </w:rPr>
              <w:t>Choose one pattern per view family for consistency.</w:t>
            </w:r>
          </w:p>
        </w:tc>
      </w:tr>
      <w:tr>
        <w:tc>
          <w:tcPr>
            <w:tcW w:type="dxa" w:w="2520"/>
            <w:tcMar>
              <w:top w:w="70" w:type="dxa"/>
              <w:start w:w="110" w:type="dxa"/>
              <w:bottom w:w="70" w:type="dxa"/>
              <w:end w:w="110" w:type="dxa"/>
            </w:tcMar>
            <w:vAlign w:val="center"/>
            <w:shd w:fill="EAF2F8"/>
          </w:tcPr>
          <w:p>
            <w:r>
              <w:rPr>
                <w:b/>
                <w:color w:val="1F4E79"/>
                <w:sz w:val="16"/>
              </w:rPr>
              <w:t>Breadcrumbs</w:t>
            </w:r>
          </w:p>
        </w:tc>
        <w:tc>
          <w:tcPr>
            <w:tcW w:type="dxa" w:w="2520"/>
            <w:tcMar>
              <w:top w:w="70" w:type="dxa"/>
              <w:start w:w="110" w:type="dxa"/>
              <w:bottom w:w="70" w:type="dxa"/>
              <w:end w:w="110" w:type="dxa"/>
            </w:tcMar>
            <w:vAlign w:val="center"/>
          </w:tcPr>
          <w:p>
            <w:r>
              <w:rPr>
                <w:sz w:val="16"/>
              </w:rPr>
              <w:t>Product and in-agent navigation context.</w:t>
            </w:r>
          </w:p>
        </w:tc>
        <w:tc>
          <w:tcPr>
            <w:tcW w:type="dxa" w:w="2520"/>
            <w:tcMar>
              <w:top w:w="70" w:type="dxa"/>
              <w:start w:w="110" w:type="dxa"/>
              <w:bottom w:w="70" w:type="dxa"/>
              <w:end w:w="110" w:type="dxa"/>
            </w:tcMar>
            <w:vAlign w:val="center"/>
          </w:tcPr>
          <w:p>
            <w:r>
              <w:rPr>
                <w:sz w:val="16"/>
              </w:rPr>
              <w:t>Simple, truncated, action-embedded.</w:t>
            </w:r>
          </w:p>
        </w:tc>
        <w:tc>
          <w:tcPr>
            <w:tcW w:type="dxa" w:w="2520"/>
            <w:tcMar>
              <w:top w:w="70" w:type="dxa"/>
              <w:start w:w="110" w:type="dxa"/>
              <w:bottom w:w="70" w:type="dxa"/>
              <w:end w:w="110" w:type="dxa"/>
            </w:tcMar>
            <w:vAlign w:val="center"/>
          </w:tcPr>
          <w:p>
            <w:r>
              <w:rPr>
                <w:sz w:val="16"/>
              </w:rPr>
              <w:t>Use sparingly when titles alone do not orient the user.</w:t>
            </w:r>
          </w:p>
        </w:tc>
      </w:tr>
    </w:tbl>
    <w:p/>
    <w:p>
      <w:pPr>
        <w:pStyle w:val="HeadingBlue"/>
      </w:pPr>
      <w:r>
        <w:t>6. Pattern layer and screen recipes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04"/>
        <w:gridCol w:w="3168"/>
        <w:gridCol w:w="4320"/>
      </w:tblGrid>
      <w:tr>
        <w:trPr>
          <w:tblHeader w:val="true"/>
        </w:trPr>
        <w:tc>
          <w:tcPr>
            <w:tcW w:type="dxa" w:w="3360"/>
            <w:shd w:fill="1F4E79"/>
            <w:tcMar>
              <w:top w:w="80" w:type="dxa"/>
              <w:start w:w="100" w:type="dxa"/>
              <w:bottom w:w="80" w:type="dxa"/>
              <w:end w:w="100" w:type="dxa"/>
            </w:tcMar>
            <w:vAlign w:val="center"/>
          </w:tcPr>
          <w:p>
            <w:pPr>
              <w:jc w:val="center"/>
            </w:pPr>
            <w:r>
              <w:rPr>
                <w:b/>
                <w:color w:val="FFFFFF"/>
                <w:sz w:val="17"/>
              </w:rPr>
              <w:t>Pattern</w:t>
            </w:r>
          </w:p>
        </w:tc>
        <w:tc>
          <w:tcPr>
            <w:tcW w:type="dxa" w:w="3360"/>
            <w:shd w:fill="1F4E79"/>
            <w:tcMar>
              <w:top w:w="80" w:type="dxa"/>
              <w:start w:w="100" w:type="dxa"/>
              <w:bottom w:w="80" w:type="dxa"/>
              <w:end w:w="100" w:type="dxa"/>
            </w:tcMar>
            <w:vAlign w:val="center"/>
          </w:tcPr>
          <w:p>
            <w:pPr>
              <w:jc w:val="center"/>
            </w:pPr>
            <w:r>
              <w:rPr>
                <w:b/>
                <w:color w:val="FFFFFF"/>
                <w:sz w:val="17"/>
              </w:rPr>
              <w:t>Used in</w:t>
            </w:r>
          </w:p>
        </w:tc>
        <w:tc>
          <w:tcPr>
            <w:tcW w:type="dxa" w:w="3360"/>
            <w:shd w:fill="1F4E79"/>
            <w:tcMar>
              <w:top w:w="80" w:type="dxa"/>
              <w:start w:w="100" w:type="dxa"/>
              <w:bottom w:w="80" w:type="dxa"/>
              <w:end w:w="100" w:type="dxa"/>
            </w:tcMar>
            <w:vAlign w:val="center"/>
          </w:tcPr>
          <w:p>
            <w:pPr>
              <w:jc w:val="center"/>
            </w:pPr>
            <w:r>
              <w:rPr>
                <w:b/>
                <w:color w:val="FFFFFF"/>
                <w:sz w:val="17"/>
              </w:rPr>
              <w:t>Recipe guidance</w:t>
            </w:r>
          </w:p>
        </w:tc>
      </w:tr>
      <w:tr>
        <w:tc>
          <w:tcPr>
            <w:tcW w:type="dxa" w:w="3360"/>
            <w:tcMar>
              <w:top w:w="70" w:type="dxa"/>
              <w:start w:w="110" w:type="dxa"/>
              <w:bottom w:w="70" w:type="dxa"/>
              <w:end w:w="110" w:type="dxa"/>
            </w:tcMar>
            <w:vAlign w:val="center"/>
            <w:shd w:fill="EAF2F8"/>
          </w:tcPr>
          <w:p>
            <w:r>
              <w:rPr>
                <w:b/>
                <w:color w:val="1F4E79"/>
                <w:sz w:val="16"/>
              </w:rPr>
              <w:t>Three-panel Studio layout</w:t>
            </w:r>
          </w:p>
        </w:tc>
        <w:tc>
          <w:tcPr>
            <w:tcW w:type="dxa" w:w="3360"/>
            <w:tcMar>
              <w:top w:w="70" w:type="dxa"/>
              <w:start w:w="110" w:type="dxa"/>
              <w:bottom w:w="70" w:type="dxa"/>
              <w:end w:w="110" w:type="dxa"/>
            </w:tcMar>
            <w:vAlign w:val="center"/>
          </w:tcPr>
          <w:p>
            <w:r>
              <w:rPr>
                <w:sz w:val="16"/>
              </w:rPr>
              <w:t>Brief Builder, Agent Studio, Memory/Tools config</w:t>
            </w:r>
          </w:p>
        </w:tc>
        <w:tc>
          <w:tcPr>
            <w:tcW w:type="dxa" w:w="3360"/>
            <w:tcMar>
              <w:top w:w="70" w:type="dxa"/>
              <w:start w:w="110" w:type="dxa"/>
              <w:bottom w:w="70" w:type="dxa"/>
              <w:end w:w="110" w:type="dxa"/>
            </w:tcMar>
            <w:vAlign w:val="center"/>
          </w:tcPr>
          <w:p>
            <w:r>
              <w:rPr>
                <w:sz w:val="16"/>
              </w:rPr>
              <w:t>Left rail for steps, center for primary artifact, right rail for suggestions and validation.</w:t>
            </w:r>
          </w:p>
        </w:tc>
      </w:tr>
      <w:tr>
        <w:tc>
          <w:tcPr>
            <w:tcW w:type="dxa" w:w="3360"/>
            <w:tcMar>
              <w:top w:w="70" w:type="dxa"/>
              <w:start w:w="110" w:type="dxa"/>
              <w:bottom w:w="70" w:type="dxa"/>
              <w:end w:w="110" w:type="dxa"/>
            </w:tcMar>
            <w:vAlign w:val="center"/>
            <w:shd w:fill="EAF2F8"/>
          </w:tcPr>
          <w:p>
            <w:r>
              <w:rPr>
                <w:b/>
                <w:color w:val="1F4E79"/>
                <w:sz w:val="16"/>
              </w:rPr>
              <w:t>Compare workspace</w:t>
            </w:r>
          </w:p>
        </w:tc>
        <w:tc>
          <w:tcPr>
            <w:tcW w:type="dxa" w:w="3360"/>
            <w:tcMar>
              <w:top w:w="70" w:type="dxa"/>
              <w:start w:w="110" w:type="dxa"/>
              <w:bottom w:w="70" w:type="dxa"/>
              <w:end w:w="110" w:type="dxa"/>
            </w:tcMar>
            <w:vAlign w:val="center"/>
          </w:tcPr>
          <w:p>
            <w:r>
              <w:rPr>
                <w:sz w:val="16"/>
              </w:rPr>
              <w:t>Architecture Comparison, version compare, canary compare</w:t>
            </w:r>
          </w:p>
        </w:tc>
        <w:tc>
          <w:tcPr>
            <w:tcW w:type="dxa" w:w="3360"/>
            <w:tcMar>
              <w:top w:w="70" w:type="dxa"/>
              <w:start w:w="110" w:type="dxa"/>
              <w:bottom w:w="70" w:type="dxa"/>
              <w:end w:w="110" w:type="dxa"/>
            </w:tcMar>
            <w:vAlign w:val="center"/>
          </w:tcPr>
          <w:p>
            <w:r>
              <w:rPr>
                <w:sz w:val="16"/>
              </w:rPr>
              <w:t>Top summary strip, center comparison columns, bottom diff details or evidence.</w:t>
            </w:r>
          </w:p>
        </w:tc>
      </w:tr>
      <w:tr>
        <w:tc>
          <w:tcPr>
            <w:tcW w:type="dxa" w:w="3360"/>
            <w:tcMar>
              <w:top w:w="70" w:type="dxa"/>
              <w:start w:w="110" w:type="dxa"/>
              <w:bottom w:w="70" w:type="dxa"/>
              <w:end w:w="110" w:type="dxa"/>
            </w:tcMar>
            <w:vAlign w:val="center"/>
            <w:shd w:fill="EAF2F8"/>
          </w:tcPr>
          <w:p>
            <w:r>
              <w:rPr>
                <w:b/>
                <w:color w:val="1F4E79"/>
                <w:sz w:val="16"/>
              </w:rPr>
              <w:t>Review stack</w:t>
            </w:r>
          </w:p>
        </w:tc>
        <w:tc>
          <w:tcPr>
            <w:tcW w:type="dxa" w:w="3360"/>
            <w:tcMar>
              <w:top w:w="70" w:type="dxa"/>
              <w:start w:w="110" w:type="dxa"/>
              <w:bottom w:w="70" w:type="dxa"/>
              <w:end w:w="110" w:type="dxa"/>
            </w:tcMar>
            <w:vAlign w:val="center"/>
          </w:tcPr>
          <w:p>
            <w:r>
              <w:rPr>
                <w:sz w:val="16"/>
              </w:rPr>
              <w:t>Evaluation Lab, Governance approval, incident review</w:t>
            </w:r>
          </w:p>
        </w:tc>
        <w:tc>
          <w:tcPr>
            <w:tcW w:type="dxa" w:w="3360"/>
            <w:tcMar>
              <w:top w:w="70" w:type="dxa"/>
              <w:start w:w="110" w:type="dxa"/>
              <w:bottom w:w="70" w:type="dxa"/>
              <w:end w:w="110" w:type="dxa"/>
            </w:tcMar>
            <w:vAlign w:val="center"/>
          </w:tcPr>
          <w:p>
            <w:r>
              <w:rPr>
                <w:sz w:val="16"/>
              </w:rPr>
              <w:t>Verdict header, grouped sections, expandable evidence, explicit next-step actions.</w:t>
            </w:r>
          </w:p>
        </w:tc>
      </w:tr>
      <w:tr>
        <w:tc>
          <w:tcPr>
            <w:tcW w:type="dxa" w:w="3360"/>
            <w:tcMar>
              <w:top w:w="70" w:type="dxa"/>
              <w:start w:w="110" w:type="dxa"/>
              <w:bottom w:w="70" w:type="dxa"/>
              <w:end w:w="110" w:type="dxa"/>
            </w:tcMar>
            <w:vAlign w:val="center"/>
            <w:shd w:fill="EAF2F8"/>
          </w:tcPr>
          <w:p>
            <w:r>
              <w:rPr>
                <w:b/>
                <w:color w:val="1F4E79"/>
                <w:sz w:val="16"/>
              </w:rPr>
              <w:t>Ops dashboard canvas</w:t>
            </w:r>
          </w:p>
        </w:tc>
        <w:tc>
          <w:tcPr>
            <w:tcW w:type="dxa" w:w="3360"/>
            <w:tcMar>
              <w:top w:w="70" w:type="dxa"/>
              <w:start w:w="110" w:type="dxa"/>
              <w:bottom w:w="70" w:type="dxa"/>
              <w:end w:w="110" w:type="dxa"/>
            </w:tcMar>
            <w:vAlign w:val="center"/>
          </w:tcPr>
          <w:p>
            <w:r>
              <w:rPr>
                <w:sz w:val="16"/>
              </w:rPr>
              <w:t>Runtime Overview, Deployments, Observability</w:t>
            </w:r>
          </w:p>
        </w:tc>
        <w:tc>
          <w:tcPr>
            <w:tcW w:type="dxa" w:w="3360"/>
            <w:tcMar>
              <w:top w:w="70" w:type="dxa"/>
              <w:start w:w="110" w:type="dxa"/>
              <w:bottom w:w="70" w:type="dxa"/>
              <w:end w:w="110" w:type="dxa"/>
            </w:tcMar>
            <w:vAlign w:val="center"/>
          </w:tcPr>
          <w:p>
            <w:r>
              <w:rPr>
                <w:sz w:val="16"/>
              </w:rPr>
              <w:t>Metric strip, dense data views below, persistent filters, drill-down-safe right drawer.</w:t>
            </w:r>
          </w:p>
        </w:tc>
      </w:tr>
      <w:tr>
        <w:tc>
          <w:tcPr>
            <w:tcW w:type="dxa" w:w="3360"/>
            <w:tcMar>
              <w:top w:w="70" w:type="dxa"/>
              <w:start w:w="110" w:type="dxa"/>
              <w:bottom w:w="70" w:type="dxa"/>
              <w:end w:w="110" w:type="dxa"/>
            </w:tcMar>
            <w:vAlign w:val="center"/>
            <w:shd w:fill="EAF2F8"/>
          </w:tcPr>
          <w:p>
            <w:r>
              <w:rPr>
                <w:b/>
                <w:color w:val="1F4E79"/>
                <w:sz w:val="16"/>
              </w:rPr>
              <w:t>Portfolio dashboard</w:t>
            </w:r>
          </w:p>
        </w:tc>
        <w:tc>
          <w:tcPr>
            <w:tcW w:type="dxa" w:w="3360"/>
            <w:tcMar>
              <w:top w:w="70" w:type="dxa"/>
              <w:start w:w="110" w:type="dxa"/>
              <w:bottom w:w="70" w:type="dxa"/>
              <w:end w:w="110" w:type="dxa"/>
            </w:tcMar>
            <w:vAlign w:val="center"/>
          </w:tcPr>
          <w:p>
            <w:r>
              <w:rPr>
                <w:sz w:val="16"/>
              </w:rPr>
              <w:t>Home, Executive</w:t>
            </w:r>
          </w:p>
        </w:tc>
        <w:tc>
          <w:tcPr>
            <w:tcW w:type="dxa" w:w="3360"/>
            <w:tcMar>
              <w:top w:w="70" w:type="dxa"/>
              <w:start w:w="110" w:type="dxa"/>
              <w:bottom w:w="70" w:type="dxa"/>
              <w:end w:w="110" w:type="dxa"/>
            </w:tcMar>
            <w:vAlign w:val="center"/>
          </w:tcPr>
          <w:p>
            <w:r>
              <w:rPr>
                <w:sz w:val="16"/>
              </w:rPr>
              <w:t>Cards and trends first, deep data second; plain-English labels always visible.</w:t>
            </w:r>
          </w:p>
        </w:tc>
      </w:tr>
    </w:tbl>
    <w:p/>
    <w:p>
      <w:pPr>
        <w:pStyle w:val="HeadingBlue"/>
      </w:pPr>
      <w:r>
        <w:t>7. Build sequence for the Figma library</w:t>
      </w:r>
    </w:p>
    <w:p>
      <w:pPr>
        <w:spacing w:after="20"/>
        <w:ind w:left="259" w:hanging="173"/>
      </w:pPr>
      <w:r>
        <w:rPr>
          <w:sz w:val="20"/>
        </w:rPr>
        <w:t>• Phase 1 — Foundations: variables, typography, spacing, elevation, grid, icons, and semantic colors.</w:t>
      </w:r>
    </w:p>
    <w:p>
      <w:pPr>
        <w:spacing w:after="20"/>
        <w:ind w:left="259" w:hanging="173"/>
      </w:pPr>
      <w:r>
        <w:rPr>
          <w:sz w:val="20"/>
        </w:rPr>
        <w:t>• Phase 2 — Primitives: buttons, inputs, chips, badges, tabs, toggles, alert patterns, loaders, and tables.</w:t>
      </w:r>
    </w:p>
    <w:p>
      <w:pPr>
        <w:spacing w:after="20"/>
        <w:ind w:left="259" w:hanging="173"/>
      </w:pPr>
      <w:r>
        <w:rPr>
          <w:sz w:val="20"/>
        </w:rPr>
        <w:t>• Phase 3 — App shell: side nav, top bar, page header, command bar, filter bar, and right context panel.</w:t>
      </w:r>
    </w:p>
    <w:p>
      <w:pPr>
        <w:spacing w:after="20"/>
        <w:ind w:left="259" w:hanging="173"/>
      </w:pPr>
      <w:r>
        <w:rPr>
          <w:sz w:val="20"/>
        </w:rPr>
        <w:t>• Phase 4 — Domain modules: architecture card, comparison matrix, debate panel, evidence drawer, evaluation verdict, release diff, approval checklist.</w:t>
      </w:r>
    </w:p>
    <w:p>
      <w:pPr>
        <w:spacing w:after="20"/>
        <w:ind w:left="259" w:hanging="173"/>
      </w:pPr>
      <w:r>
        <w:rPr>
          <w:sz w:val="20"/>
        </w:rPr>
        <w:t>• Phase 5 — Patterns and screen recipes: Studio layout, compare workspace, review stack, ops dashboard, and executive dashboard compositions.</w:t>
      </w:r>
    </w:p>
    <w:p>
      <w:pPr>
        <w:spacing w:after="20"/>
        <w:ind w:left="259" w:hanging="173"/>
      </w:pPr>
      <w:r>
        <w:rPr>
          <w:sz w:val="20"/>
        </w:rPr>
        <w:t>• Phase 6 — Prototype blocks and QA: interactions, edge-case states, accessibility checks, and handoff annotations.</w:t>
      </w:r>
    </w:p>
    <w:tbl>
      <w:tblPr>
        <w:tblW w:type="auto" w:w="0"/>
        <w:jc w:val="left"/>
        <w:tblLayout w:type="fixed"/>
        <w:tblLook w:firstColumn="1" w:firstRow="1" w:lastColumn="0" w:lastRow="0" w:noHBand="0" w:noVBand="1" w:val="04A0"/>
      </w:tblPr>
      <w:tblGrid>
        <w:gridCol w:w="9792"/>
      </w:tblGrid>
      <w:tr>
        <w:tc>
          <w:tcPr>
            <w:tcW w:type="dxa" w:w="10080"/>
            <w:shd w:fill="FFF2CC"/>
            <w:tcMar>
              <w:top w:w="85" w:type="dxa"/>
              <w:start w:w="120" w:type="dxa"/>
              <w:bottom w:w="85" w:type="dxa"/>
              <w:end w:w="120" w:type="dxa"/>
            </w:tcMar>
          </w:tcPr>
          <w:p>
            <w:pPr>
              <w:pStyle w:val="Callout"/>
            </w:pPr>
            <w:r>
              <w:t>Do not start with bespoke screens. Start with the smallest stable building blocks that will appear across Home, Studio, Evaluation, Release, Runtime, and Governance. This prevents the library from becoming a screenshot archive instead of a real design system.</w:t>
            </w:r>
          </w:p>
        </w:tc>
      </w:tr>
    </w:tbl>
    <w:p/>
    <w:p>
      <w:pPr>
        <w:pStyle w:val="HeadingBlue"/>
      </w:pPr>
      <w:r>
        <w:t>8. Component documentation standard</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168"/>
        <w:gridCol w:w="6624"/>
      </w:tblGrid>
      <w:tr>
        <w:trPr>
          <w:tblHeader w:val="true"/>
        </w:trPr>
        <w:tc>
          <w:tcPr>
            <w:tcW w:type="dxa" w:w="5040"/>
            <w:shd w:fill="1F4E79"/>
            <w:tcMar>
              <w:top w:w="80" w:type="dxa"/>
              <w:start w:w="100" w:type="dxa"/>
              <w:bottom w:w="80" w:type="dxa"/>
              <w:end w:w="100" w:type="dxa"/>
            </w:tcMar>
            <w:vAlign w:val="center"/>
          </w:tcPr>
          <w:p>
            <w:pPr>
              <w:jc w:val="center"/>
            </w:pPr>
            <w:r>
              <w:rPr>
                <w:b/>
                <w:color w:val="FFFFFF"/>
                <w:sz w:val="17"/>
              </w:rPr>
              <w:t>For every published component, document</w:t>
            </w:r>
          </w:p>
        </w:tc>
        <w:tc>
          <w:tcPr>
            <w:tcW w:type="dxa" w:w="5040"/>
            <w:shd w:fill="1F4E79"/>
            <w:tcMar>
              <w:top w:w="80" w:type="dxa"/>
              <w:start w:w="100" w:type="dxa"/>
              <w:bottom w:w="80" w:type="dxa"/>
              <w:end w:w="100" w:type="dxa"/>
            </w:tcMar>
            <w:vAlign w:val="center"/>
          </w:tcPr>
          <w:p>
            <w:pPr>
              <w:jc w:val="center"/>
            </w:pPr>
            <w:r>
              <w:rPr>
                <w:b/>
                <w:color w:val="FFFFFF"/>
                <w:sz w:val="17"/>
              </w:rPr>
              <w:t>Minimum expectation</w:t>
            </w:r>
          </w:p>
        </w:tc>
      </w:tr>
      <w:tr>
        <w:tc>
          <w:tcPr>
            <w:tcW w:type="dxa" w:w="5040"/>
            <w:tcMar>
              <w:top w:w="70" w:type="dxa"/>
              <w:start w:w="110" w:type="dxa"/>
              <w:bottom w:w="70" w:type="dxa"/>
              <w:end w:w="110" w:type="dxa"/>
            </w:tcMar>
            <w:vAlign w:val="center"/>
            <w:shd w:fill="EAF2F8"/>
          </w:tcPr>
          <w:p>
            <w:r>
              <w:rPr>
                <w:b/>
                <w:color w:val="1F4E79"/>
                <w:sz w:val="16"/>
              </w:rPr>
              <w:t>Purpose</w:t>
            </w:r>
          </w:p>
        </w:tc>
        <w:tc>
          <w:tcPr>
            <w:tcW w:type="dxa" w:w="5040"/>
            <w:tcMar>
              <w:top w:w="70" w:type="dxa"/>
              <w:start w:w="110" w:type="dxa"/>
              <w:bottom w:w="70" w:type="dxa"/>
              <w:end w:w="110" w:type="dxa"/>
            </w:tcMar>
            <w:vAlign w:val="center"/>
          </w:tcPr>
          <w:p>
            <w:r>
              <w:rPr>
                <w:sz w:val="16"/>
              </w:rPr>
              <w:t>One sentence describing why the component exists and where it should be used.</w:t>
            </w:r>
          </w:p>
        </w:tc>
      </w:tr>
      <w:tr>
        <w:tc>
          <w:tcPr>
            <w:tcW w:type="dxa" w:w="5040"/>
            <w:tcMar>
              <w:top w:w="70" w:type="dxa"/>
              <w:start w:w="110" w:type="dxa"/>
              <w:bottom w:w="70" w:type="dxa"/>
              <w:end w:w="110" w:type="dxa"/>
            </w:tcMar>
            <w:vAlign w:val="center"/>
            <w:shd w:fill="EAF2F8"/>
          </w:tcPr>
          <w:p>
            <w:r>
              <w:rPr>
                <w:b/>
                <w:color w:val="1F4E79"/>
                <w:sz w:val="16"/>
              </w:rPr>
              <w:t>Anatomy</w:t>
            </w:r>
          </w:p>
        </w:tc>
        <w:tc>
          <w:tcPr>
            <w:tcW w:type="dxa" w:w="5040"/>
            <w:tcMar>
              <w:top w:w="70" w:type="dxa"/>
              <w:start w:w="110" w:type="dxa"/>
              <w:bottom w:w="70" w:type="dxa"/>
              <w:end w:w="110" w:type="dxa"/>
            </w:tcMar>
            <w:vAlign w:val="center"/>
          </w:tcPr>
          <w:p>
            <w:r>
              <w:rPr>
                <w:sz w:val="16"/>
              </w:rPr>
              <w:t>Named parts and slots, with content limits when relevant.</w:t>
            </w:r>
          </w:p>
        </w:tc>
      </w:tr>
      <w:tr>
        <w:tc>
          <w:tcPr>
            <w:tcW w:type="dxa" w:w="5040"/>
            <w:tcMar>
              <w:top w:w="70" w:type="dxa"/>
              <w:start w:w="110" w:type="dxa"/>
              <w:bottom w:w="70" w:type="dxa"/>
              <w:end w:w="110" w:type="dxa"/>
            </w:tcMar>
            <w:vAlign w:val="center"/>
            <w:shd w:fill="EAF2F8"/>
          </w:tcPr>
          <w:p>
            <w:r>
              <w:rPr>
                <w:b/>
                <w:color w:val="1F4E79"/>
                <w:sz w:val="16"/>
              </w:rPr>
              <w:t>Variants and states</w:t>
            </w:r>
          </w:p>
        </w:tc>
        <w:tc>
          <w:tcPr>
            <w:tcW w:type="dxa" w:w="5040"/>
            <w:tcMar>
              <w:top w:w="70" w:type="dxa"/>
              <w:start w:w="110" w:type="dxa"/>
              <w:bottom w:w="70" w:type="dxa"/>
              <w:end w:w="110" w:type="dxa"/>
            </w:tcMar>
            <w:vAlign w:val="center"/>
          </w:tcPr>
          <w:p>
            <w:r>
              <w:rPr>
                <w:sz w:val="16"/>
              </w:rPr>
              <w:t>All supported properties, interaction states, disabled/loading/error states.</w:t>
            </w:r>
          </w:p>
        </w:tc>
      </w:tr>
      <w:tr>
        <w:tc>
          <w:tcPr>
            <w:tcW w:type="dxa" w:w="5040"/>
            <w:tcMar>
              <w:top w:w="70" w:type="dxa"/>
              <w:start w:w="110" w:type="dxa"/>
              <w:bottom w:w="70" w:type="dxa"/>
              <w:end w:w="110" w:type="dxa"/>
            </w:tcMar>
            <w:vAlign w:val="center"/>
            <w:shd w:fill="EAF2F8"/>
          </w:tcPr>
          <w:p>
            <w:r>
              <w:rPr>
                <w:b/>
                <w:color w:val="1F4E79"/>
                <w:sz w:val="16"/>
              </w:rPr>
              <w:t>Accessibility</w:t>
            </w:r>
          </w:p>
        </w:tc>
        <w:tc>
          <w:tcPr>
            <w:tcW w:type="dxa" w:w="5040"/>
            <w:tcMar>
              <w:top w:w="70" w:type="dxa"/>
              <w:start w:w="110" w:type="dxa"/>
              <w:bottom w:w="70" w:type="dxa"/>
              <w:end w:w="110" w:type="dxa"/>
            </w:tcMar>
            <w:vAlign w:val="center"/>
          </w:tcPr>
          <w:p>
            <w:r>
              <w:rPr>
                <w:sz w:val="16"/>
              </w:rPr>
              <w:t>Keyboard, focus, contrast, semantics, and touch/click target rules.</w:t>
            </w:r>
          </w:p>
        </w:tc>
      </w:tr>
      <w:tr>
        <w:tc>
          <w:tcPr>
            <w:tcW w:type="dxa" w:w="5040"/>
            <w:tcMar>
              <w:top w:w="70" w:type="dxa"/>
              <w:start w:w="110" w:type="dxa"/>
              <w:bottom w:w="70" w:type="dxa"/>
              <w:end w:w="110" w:type="dxa"/>
            </w:tcMar>
            <w:vAlign w:val="center"/>
            <w:shd w:fill="EAF2F8"/>
          </w:tcPr>
          <w:p>
            <w:r>
              <w:rPr>
                <w:b/>
                <w:color w:val="1F4E79"/>
                <w:sz w:val="16"/>
              </w:rPr>
              <w:t>Usage notes</w:t>
            </w:r>
          </w:p>
        </w:tc>
        <w:tc>
          <w:tcPr>
            <w:tcW w:type="dxa" w:w="5040"/>
            <w:tcMar>
              <w:top w:w="70" w:type="dxa"/>
              <w:start w:w="110" w:type="dxa"/>
              <w:bottom w:w="70" w:type="dxa"/>
              <w:end w:w="110" w:type="dxa"/>
            </w:tcMar>
            <w:vAlign w:val="center"/>
          </w:tcPr>
          <w:p>
            <w:r>
              <w:rPr>
                <w:sz w:val="16"/>
              </w:rPr>
              <w:t>Do / do not guidance and common anti-patterns.</w:t>
            </w:r>
          </w:p>
        </w:tc>
      </w:tr>
      <w:tr>
        <w:tc>
          <w:tcPr>
            <w:tcW w:type="dxa" w:w="5040"/>
            <w:tcMar>
              <w:top w:w="70" w:type="dxa"/>
              <w:start w:w="110" w:type="dxa"/>
              <w:bottom w:w="70" w:type="dxa"/>
              <w:end w:w="110" w:type="dxa"/>
            </w:tcMar>
            <w:vAlign w:val="center"/>
            <w:shd w:fill="EAF2F8"/>
          </w:tcPr>
          <w:p>
            <w:r>
              <w:rPr>
                <w:b/>
                <w:color w:val="1F4E79"/>
                <w:sz w:val="16"/>
              </w:rPr>
              <w:t>Prototype behavior</w:t>
            </w:r>
          </w:p>
        </w:tc>
        <w:tc>
          <w:tcPr>
            <w:tcW w:type="dxa" w:w="5040"/>
            <w:tcMar>
              <w:top w:w="70" w:type="dxa"/>
              <w:start w:w="110" w:type="dxa"/>
              <w:bottom w:w="70" w:type="dxa"/>
              <w:end w:w="110" w:type="dxa"/>
            </w:tcMar>
            <w:vAlign w:val="center"/>
          </w:tcPr>
          <w:p>
            <w:r>
              <w:rPr>
                <w:sz w:val="16"/>
              </w:rPr>
              <w:t>Expected click behavior, overlay pattern, and transition notes when relevant.</w:t>
            </w:r>
          </w:p>
        </w:tc>
      </w:tr>
      <w:tr>
        <w:tc>
          <w:tcPr>
            <w:tcW w:type="dxa" w:w="5040"/>
            <w:tcMar>
              <w:top w:w="70" w:type="dxa"/>
              <w:start w:w="110" w:type="dxa"/>
              <w:bottom w:w="70" w:type="dxa"/>
              <w:end w:w="110" w:type="dxa"/>
            </w:tcMar>
            <w:vAlign w:val="center"/>
            <w:shd w:fill="EAF2F8"/>
          </w:tcPr>
          <w:p>
            <w:r>
              <w:rPr>
                <w:b/>
                <w:color w:val="1F4E79"/>
                <w:sz w:val="16"/>
              </w:rPr>
              <w:t>Engineering handoff note</w:t>
            </w:r>
          </w:p>
        </w:tc>
        <w:tc>
          <w:tcPr>
            <w:tcW w:type="dxa" w:w="5040"/>
            <w:tcMar>
              <w:top w:w="70" w:type="dxa"/>
              <w:start w:w="110" w:type="dxa"/>
              <w:bottom w:w="70" w:type="dxa"/>
              <w:end w:w="110" w:type="dxa"/>
            </w:tcMar>
            <w:vAlign w:val="center"/>
          </w:tcPr>
          <w:p>
            <w:r>
              <w:rPr>
                <w:sz w:val="16"/>
              </w:rPr>
              <w:t>Important implementation details, responsive behavior, or token dependencies.</w:t>
            </w:r>
          </w:p>
        </w:tc>
      </w:tr>
    </w:tbl>
    <w:p/>
    <w:p>
      <w:pPr>
        <w:pStyle w:val="HeadingBlue"/>
      </w:pPr>
      <w:r>
        <w:t>9. Quality gate for publishing library components</w:t>
      </w:r>
    </w:p>
    <w:p>
      <w:pPr>
        <w:spacing w:after="20"/>
        <w:ind w:left="259" w:hanging="173"/>
      </w:pPr>
      <w:r>
        <w:rPr>
          <w:sz w:val="20"/>
        </w:rPr>
        <w:t>• Every component must have idle, hover, focus, pressed, disabled, and loading/error states where applicable.</w:t>
      </w:r>
    </w:p>
    <w:p>
      <w:pPr>
        <w:spacing w:after="20"/>
        <w:ind w:left="259" w:hanging="173"/>
      </w:pPr>
      <w:r>
        <w:rPr>
          <w:sz w:val="20"/>
        </w:rPr>
        <w:t>• Every state change must preserve layout stability unless the pattern intentionally expands or collapses.</w:t>
      </w:r>
    </w:p>
    <w:p>
      <w:pPr>
        <w:spacing w:after="20"/>
        <w:ind w:left="259" w:hanging="173"/>
      </w:pPr>
      <w:r>
        <w:rPr>
          <w:sz w:val="20"/>
        </w:rPr>
        <w:t>• Components used in governance and deployment flows must support explicit status language and not rely on color alone.</w:t>
      </w:r>
    </w:p>
    <w:p>
      <w:pPr>
        <w:spacing w:after="20"/>
        <w:ind w:left="259" w:hanging="173"/>
      </w:pPr>
      <w:r>
        <w:rPr>
          <w:sz w:val="20"/>
        </w:rPr>
        <w:t>• Table, timeline, and audit components must be legible in compact density, because Ops use cases demand high information density.</w:t>
      </w:r>
    </w:p>
    <w:p>
      <w:pPr>
        <w:spacing w:after="20"/>
        <w:ind w:left="259" w:hanging="173"/>
      </w:pPr>
      <w:r>
        <w:rPr>
          <w:sz w:val="20"/>
        </w:rPr>
        <w:t>• Domain modules must include rationale and evidence affordances if they represent an AI-generated recommendation or verdict.</w:t>
      </w:r>
    </w:p>
    <w:p>
      <w:pPr>
        <w:spacing w:after="20"/>
        <w:ind w:left="259" w:hanging="173"/>
      </w:pPr>
      <w:r>
        <w:rPr>
          <w:sz w:val="20"/>
        </w:rPr>
        <w:t>• Before publishing, verify component naming, property cleanliness, auto layout, resizing logic, and consistent token usage.</w:t>
      </w:r>
    </w:p>
    <w:p>
      <w:pPr>
        <w:pStyle w:val="HeadingBlue"/>
      </w:pPr>
      <w:r>
        <w:t>10. Final recommendation</w:t>
      </w:r>
    </w:p>
    <w:p>
      <w:pPr/>
      <w:r>
        <w:t>The strongest library strategy for Agent Architect Pro is a disciplined shared system with a small number of genuinely product-specific modules. The product should not be built entirely from generic SaaS components, because comparison, evidence, evaluation, approval, and runtime trust are central to the experience. At the same time, it should not become an undisciplined collection of one-off cards. A good Figma library here is opinionated, sparse where the product can stay standard, and highly intentional where AI governance and lifecycle workflows need custom interaction patterns.</w:t>
      </w:r>
    </w:p>
    <w:sectPr w:rsidR="00FC693F" w:rsidRPr="0006063C" w:rsidSect="00034616">
      <w:footerReference w:type="default" r:id="rId9"/>
      <w:pgSz w:w="12240" w:h="15840"/>
      <w:pgMar w:top="936" w:right="1080" w:bottom="864"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60"/>
    </w:pPr>
    <w:rPr>
      <w:rFonts w:ascii="Aptos Display" w:hAnsi="Aptos Display"/>
      <w:b/>
      <w:color w:val="1F4E79"/>
      <w:sz w:val="42"/>
    </w:rPr>
  </w:style>
  <w:style w:type="paragraph" w:customStyle="1" w:styleId="SubtitleCustom">
    <w:name w:val="SubtitleCustom"/>
    <w:basedOn w:val="Normal"/>
    <w:pPr>
      <w:spacing w:before="0" w:after="120"/>
    </w:pPr>
    <w:rPr>
      <w:rFonts w:ascii="Aptos" w:hAnsi="Aptos"/>
      <w:b w:val="0"/>
      <w:color w:val="5A5A5A"/>
      <w:sz w:val="21"/>
    </w:rPr>
  </w:style>
  <w:style w:type="paragraph" w:customStyle="1" w:styleId="HeadingBlue">
    <w:name w:val="HeadingBlue"/>
    <w:basedOn w:val="Heading1"/>
    <w:pPr>
      <w:spacing w:before="160" w:after="60"/>
    </w:pPr>
    <w:rPr>
      <w:rFonts w:ascii="Aptos Display" w:hAnsi="Aptos Display"/>
      <w:b/>
      <w:color w:val="1F4E79"/>
      <w:sz w:val="28"/>
    </w:rPr>
  </w:style>
  <w:style w:type="paragraph" w:customStyle="1" w:styleId="HeadingBlue2">
    <w:name w:val="HeadingBlue2"/>
    <w:basedOn w:val="Heading2"/>
    <w:pPr>
      <w:spacing w:before="120" w:after="40"/>
    </w:pPr>
    <w:rPr>
      <w:rFonts w:ascii="Aptos Display" w:hAnsi="Aptos Display"/>
      <w:b/>
      <w:color w:val="1F4E79"/>
      <w:sz w:val="23"/>
    </w:rPr>
  </w:style>
  <w:style w:type="paragraph" w:customStyle="1" w:styleId="SmallText">
    <w:name w:val="SmallText"/>
    <w:basedOn w:val="Normal"/>
    <w:pPr>
      <w:spacing w:before="0" w:after="40"/>
    </w:pPr>
    <w:rPr>
      <w:rFonts w:ascii="Aptos" w:hAnsi="Aptos"/>
      <w:b w:val="0"/>
      <w:color w:val="5A5A5A"/>
      <w:sz w:val="17"/>
    </w:rPr>
  </w:style>
  <w:style w:type="paragraph" w:customStyle="1" w:styleId="Callout">
    <w:name w:val="Callout"/>
    <w:basedOn w:val="Normal"/>
    <w:pPr>
      <w:spacing w:before="0" w:after="20"/>
    </w:pPr>
    <w:rPr>
      <w:rFonts w:ascii="Aptos" w:hAnsi="Aptos"/>
      <w:b w:val="0"/>
      <w:color w:val="28282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