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t>Agent Architect Pro — Detailed Phase-by-Phase TO-DO Playbook</w:t>
      </w:r>
    </w:p>
    <w:p>
      <w:pPr>
        <w:pStyle w:val="SubtitleCustom"/>
      </w:pPr>
      <w:r>
        <w:t>Specific instructed to-do list for best understanding, faster execution, and less project drift.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720"/>
      </w:tblGrid>
      <w:tr>
        <w:tc>
          <w:tcPr>
            <w:tcW w:type="dxa" w:w="1008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F4E79"/>
                <w:sz w:val="19"/>
              </w:rPr>
              <w:t>This playbook converts the roadmap into specific team checklists. Use it as the working implementation companion to the SRS, solution architecture, roadmap, API contract pack, and UX build docs.</w:t>
            </w:r>
          </w:p>
        </w:tc>
      </w:tr>
    </w:tbl>
    <w:p/>
    <w:p>
      <w:pPr>
        <w:pStyle w:val="HeadingBlue"/>
      </w:pPr>
      <w:r>
        <w:t>1. How to use this playbook</w:t>
      </w:r>
    </w:p>
    <w:p>
      <w:pPr>
        <w:spacing w:after="30"/>
        <w:ind w:left="259" w:hanging="173"/>
      </w:pPr>
      <w:r>
        <w:t>• Read each phase from top to bottom. Complete the checklist items in order unless a dependency explicitly allows parallel execution.</w:t>
      </w:r>
    </w:p>
    <w:p>
      <w:pPr>
        <w:spacing w:after="30"/>
        <w:ind w:left="259" w:hanging="173"/>
      </w:pPr>
      <w:r>
        <w:t>• Do not mark an item done unless the output exists in a reviewable artifact, repository branch, environment, or tested endpoint.</w:t>
      </w:r>
    </w:p>
    <w:p>
      <w:pPr>
        <w:spacing w:after="30"/>
        <w:ind w:left="259" w:hanging="173"/>
      </w:pPr>
      <w:r>
        <w:t>• Where an item says “publish,” it means the output must be visible and linked for the team, not only discussed verbally.</w:t>
      </w:r>
    </w:p>
    <w:p>
      <w:pPr>
        <w:spacing w:after="30"/>
        <w:ind w:left="259" w:hanging="173"/>
      </w:pPr>
      <w:r>
        <w:t>• Where an item says “demo,” it means someone outside the implementer role must be able to observe the result.</w:t>
      </w:r>
    </w:p>
    <w:p>
      <w:pPr>
        <w:pStyle w:val="HeadingBlue"/>
      </w:pPr>
      <w:r>
        <w:t>Phase 0 — Program setup and scope lock</w:t>
      </w:r>
    </w:p>
    <w:p>
      <w:pPr>
        <w:spacing w:after="30"/>
        <w:ind w:left="259" w:hanging="173"/>
      </w:pPr>
      <w:r>
        <w:t>• ☐ Confirm v1 scope boundary: include brief intake, planning, controlled runtime, retrieval, model gateway, evaluation summary, release center, canary rollout, runtime monitoring, and audit trail.</w:t>
      </w:r>
    </w:p>
    <w:p>
      <w:pPr>
        <w:spacing w:after="30"/>
        <w:ind w:left="259" w:hanging="173"/>
      </w:pPr>
      <w:r>
        <w:t>• ☐ Explicitly defer advanced self-evolution, autonomous architecture search, agent economy, and broad cross-tenant analytics from the v1 critical path.</w:t>
      </w:r>
    </w:p>
    <w:p>
      <w:pPr>
        <w:spacing w:after="30"/>
        <w:ind w:left="259" w:hanging="173"/>
      </w:pPr>
      <w:r>
        <w:t>• ☐ Publish the six-plane architecture summary for the whole team.</w:t>
      </w:r>
    </w:p>
    <w:p>
      <w:pPr>
        <w:spacing w:after="30"/>
        <w:ind w:left="259" w:hanging="173"/>
      </w:pPr>
      <w:r>
        <w:t>• ☐ Publish the role model: builder, engineer/operator, governance owner, executive sponsor.</w:t>
      </w:r>
    </w:p>
    <w:p>
      <w:pPr>
        <w:spacing w:after="30"/>
        <w:ind w:left="259" w:hanging="173"/>
      </w:pPr>
      <w:r>
        <w:t>• ☐ Create a single source-of-truth document index linking SRS, solution architecture, roadmap, API pack, UX spec, wireframes, and design build briefs.</w:t>
      </w:r>
    </w:p>
    <w:p>
      <w:pPr>
        <w:spacing w:after="30"/>
        <w:ind w:left="259" w:hanging="173"/>
      </w:pPr>
      <w:r>
        <w:t>• ☐ Set a 12-sprint calendar with milestone reviews at sprint 2, 5, 8, 10, and 12.</w:t>
      </w:r>
    </w:p>
    <w:p>
      <w:pPr>
        <w:pStyle w:val="HeadingBlue"/>
      </w:pPr>
      <w:r>
        <w:t>Phase 1 — Foundations and DevEx (Sprint 0–2)</w:t>
      </w:r>
    </w:p>
    <w:p>
      <w:pPr>
        <w:spacing w:after="30"/>
        <w:ind w:left="259" w:hanging="173"/>
      </w:pPr>
      <w:r>
        <w:t>• ☐ Create monorepo or modular repo structure with folders for control plane, execution plane, knowledge plane, trust plane, improvement plane, operations tooling, and frontend.</w:t>
      </w:r>
    </w:p>
    <w:p>
      <w:pPr>
        <w:spacing w:after="30"/>
        <w:ind w:left="259" w:hanging="173"/>
      </w:pPr>
      <w:r>
        <w:t>• ☐ Add CI checks: lint, type checks, test placeholders, dependency scanning, and image build verification.</w:t>
      </w:r>
    </w:p>
    <w:p>
      <w:pPr>
        <w:spacing w:after="30"/>
        <w:ind w:left="259" w:hanging="173"/>
      </w:pPr>
      <w:r>
        <w:t>• ☐ Define OpenAPI-first or schema-first workflow for contracts.</w:t>
      </w:r>
    </w:p>
    <w:p>
      <w:pPr>
        <w:spacing w:after="30"/>
        <w:ind w:left="259" w:hanging="173"/>
      </w:pPr>
      <w:r>
        <w:t>• ☐ Publish RunSpec, PlanSpec, TaskSpec, TaskResult, EvaluationReport, and AuditEvent schemas.</w:t>
      </w:r>
    </w:p>
    <w:p>
      <w:pPr>
        <w:spacing w:after="30"/>
        <w:ind w:left="259" w:hanging="173"/>
      </w:pPr>
      <w:r>
        <w:t>• ☐ Stand up local development stack with PostgreSQL, Redis, Kafka-compatible queue, object storage emulator, and mock auth.</w:t>
      </w:r>
    </w:p>
    <w:p>
      <w:pPr>
        <w:spacing w:after="30"/>
        <w:ind w:left="259" w:hanging="173"/>
      </w:pPr>
      <w:r>
        <w:t>• ☐ Stand up observability bootstrap: tracing, structured logs, metrics naming convention, dashboard starter, shared correlation ID rules.</w:t>
      </w:r>
    </w:p>
    <w:p>
      <w:pPr>
        <w:spacing w:after="30"/>
        <w:ind w:left="259" w:hanging="173"/>
      </w:pPr>
      <w:r>
        <w:t>• ☐ Implement user authentication shell and role claims.</w:t>
      </w:r>
    </w:p>
    <w:p>
      <w:pPr>
        <w:spacing w:after="30"/>
        <w:ind w:left="259" w:hanging="173"/>
      </w:pPr>
      <w:r>
        <w:t>• ☐ Start Figma foundations: tokens, navigation shell, status semantics, table/timeline/banner patterns.</w:t>
      </w:r>
    </w:p>
    <w:p>
      <w:pPr>
        <w:pStyle w:val="HeadingBlue"/>
      </w:pPr>
      <w:r>
        <w:t>Phase 2 — Identity and trust foundation (Sprint 1–3)</w:t>
      </w:r>
    </w:p>
    <w:p>
      <w:pPr>
        <w:spacing w:after="30"/>
        <w:ind w:left="259" w:hanging="173"/>
      </w:pPr>
      <w:r>
        <w:t>• ☐ Implement OIDC login and role mapping for builder, operator, governance, and executive routes.</w:t>
      </w:r>
    </w:p>
    <w:p>
      <w:pPr>
        <w:spacing w:after="30"/>
        <w:ind w:left="259" w:hanging="173"/>
      </w:pPr>
      <w:r>
        <w:t>• ☐ Implement workload token issuance for runtime and tool calls.</w:t>
      </w:r>
    </w:p>
    <w:p>
      <w:pPr>
        <w:spacing w:after="30"/>
        <w:ind w:left="259" w:hanging="173"/>
      </w:pPr>
      <w:r>
        <w:t>• ☐ Define policy bundle format and rule loading mechanism.</w:t>
      </w:r>
    </w:p>
    <w:p>
      <w:pPr>
        <w:spacing w:after="30"/>
        <w:ind w:left="259" w:hanging="173"/>
      </w:pPr>
      <w:r>
        <w:t>• ☐ Implement append-only AuditEvent ingestion pipeline.</w:t>
      </w:r>
    </w:p>
    <w:p>
      <w:pPr>
        <w:spacing w:after="30"/>
        <w:ind w:left="259" w:hanging="173"/>
      </w:pPr>
      <w:r>
        <w:t>• ☐ Publish release approval matrix for staging, canary, and production.</w:t>
      </w:r>
    </w:p>
    <w:p>
      <w:pPr>
        <w:spacing w:after="30"/>
        <w:ind w:left="259" w:hanging="173"/>
      </w:pPr>
      <w:r>
        <w:t>• ☐ Implement blocked/allowed tool call audit behavior.</w:t>
      </w:r>
    </w:p>
    <w:p>
      <w:pPr>
        <w:spacing w:after="30"/>
        <w:ind w:left="259" w:hanging="173"/>
      </w:pPr>
      <w:r>
        <w:t>• ☐ Create threat model for identity, tool execution, release control, and audit integrity.</w:t>
      </w:r>
    </w:p>
    <w:p>
      <w:pPr>
        <w:pStyle w:val="HeadingBlue"/>
      </w:pPr>
      <w:r>
        <w:t>Phase 3 — Control-plane alpha (Sprint 2–4)</w:t>
      </w:r>
    </w:p>
    <w:p>
      <w:pPr>
        <w:spacing w:after="30"/>
        <w:ind w:left="259" w:hanging="173"/>
      </w:pPr>
      <w:r>
        <w:t>• ☐ Implement POST /v1/runs with validation, idempotency, and tenant context.</w:t>
      </w:r>
    </w:p>
    <w:p>
      <w:pPr>
        <w:spacing w:after="30"/>
        <w:ind w:left="259" w:hanging="173"/>
      </w:pPr>
      <w:r>
        <w:t>• ☐ Implement GET /v1/runs/{run_id} and cancellation endpoint.</w:t>
      </w:r>
    </w:p>
    <w:p>
      <w:pPr>
        <w:spacing w:after="30"/>
        <w:ind w:left="259" w:hanging="173"/>
      </w:pPr>
      <w:r>
        <w:t>• ☐ Implement Planner service and POST /v1/plans.</w:t>
      </w:r>
    </w:p>
    <w:p>
      <w:pPr>
        <w:spacing w:after="30"/>
        <w:ind w:left="259" w:hanging="173"/>
      </w:pPr>
      <w:r>
        <w:t>• ☐ Persist run state, plan state, deadlines, and retry history in PostgreSQL.</w:t>
      </w:r>
    </w:p>
    <w:p>
      <w:pPr>
        <w:spacing w:after="30"/>
        <w:ind w:left="259" w:hanging="173"/>
      </w:pPr>
      <w:r>
        <w:t>• ☐ Emit run.created, plan.ready, and task.submitted events.</w:t>
      </w:r>
    </w:p>
    <w:p>
      <w:pPr>
        <w:spacing w:after="30"/>
        <w:ind w:left="259" w:hanging="173"/>
      </w:pPr>
      <w:r>
        <w:t>• ☐ Demonstrate a brief-to-plan flow with stored state and correlated telemetry.</w:t>
      </w:r>
    </w:p>
    <w:p>
      <w:pPr>
        <w:pStyle w:val="HeadingBlue"/>
      </w:pPr>
      <w:r>
        <w:t>Phase 4 — Execution-plane alpha (Sprint 3–5)</w:t>
      </w:r>
    </w:p>
    <w:p>
      <w:pPr>
        <w:spacing w:after="30"/>
        <w:ind w:left="259" w:hanging="173"/>
      </w:pPr>
      <w:r>
        <w:t>• ☐ Implement Swarm/queue scheduling flow for runnable tasks.</w:t>
      </w:r>
    </w:p>
    <w:p>
      <w:pPr>
        <w:spacing w:after="30"/>
        <w:ind w:left="259" w:hanging="173"/>
      </w:pPr>
      <w:r>
        <w:t>• ☐ Implement runtime manager with worker registration, heartbeat, and assignment.</w:t>
      </w:r>
    </w:p>
    <w:p>
      <w:pPr>
        <w:spacing w:after="30"/>
        <w:ind w:left="259" w:hanging="173"/>
      </w:pPr>
      <w:r>
        <w:t>• ☐ Implement sandbox policy skeleton and resource limits for workers.</w:t>
      </w:r>
    </w:p>
    <w:p>
      <w:pPr>
        <w:spacing w:after="30"/>
        <w:ind w:left="259" w:hanging="173"/>
      </w:pPr>
      <w:r>
        <w:t>• ☐ Implement Tool Broker MVP and enforce all external actions through it.</w:t>
      </w:r>
    </w:p>
    <w:p>
      <w:pPr>
        <w:spacing w:after="30"/>
        <w:ind w:left="259" w:hanging="173"/>
      </w:pPr>
      <w:r>
        <w:t>• ☐ Implement Result Aggregator MVP.</w:t>
      </w:r>
    </w:p>
    <w:p>
      <w:pPr>
        <w:spacing w:after="30"/>
        <w:ind w:left="259" w:hanging="173"/>
      </w:pPr>
      <w:r>
        <w:t>• ☐ Demonstrate one controlled task execution with worker identity, tool mediation, logs, traces, and audit events.</w:t>
      </w:r>
    </w:p>
    <w:p>
      <w:pPr>
        <w:pStyle w:val="HeadingBlue"/>
      </w:pPr>
      <w:r>
        <w:t>Phase 5 — Knowledge and model path alpha (Sprint 4–6)</w:t>
      </w:r>
    </w:p>
    <w:p>
      <w:pPr>
        <w:spacing w:after="30"/>
        <w:ind w:left="259" w:hanging="173"/>
      </w:pPr>
      <w:r>
        <w:t>• ☐ Implement Retrieval search API with filters and scope support.</w:t>
      </w:r>
    </w:p>
    <w:p>
      <w:pPr>
        <w:spacing w:after="30"/>
        <w:ind w:left="259" w:hanging="173"/>
      </w:pPr>
      <w:r>
        <w:t>• ☐ Stand up pgvector-backed vector indexing and source metadata tables.</w:t>
      </w:r>
    </w:p>
    <w:p>
      <w:pPr>
        <w:spacing w:after="30"/>
        <w:ind w:left="259" w:hanging="173"/>
      </w:pPr>
      <w:r>
        <w:t>• ☐ Implement artifact catalog MVP for manifests, build records, and evaluation outputs.</w:t>
      </w:r>
    </w:p>
    <w:p>
      <w:pPr>
        <w:spacing w:after="30"/>
        <w:ind w:left="259" w:hanging="173"/>
      </w:pPr>
      <w:r>
        <w:t>• ☐ Implement Model Gateway alpha with provider abstraction and routing policy.</w:t>
      </w:r>
    </w:p>
    <w:p>
      <w:pPr>
        <w:spacing w:after="30"/>
        <w:ind w:left="259" w:hanging="173"/>
      </w:pPr>
      <w:r>
        <w:t>• ☐ Connect retrieval and model gateway into one vertical slice run.</w:t>
      </w:r>
    </w:p>
    <w:p>
      <w:pPr>
        <w:spacing w:after="30"/>
        <w:ind w:left="259" w:hanging="173"/>
      </w:pPr>
      <w:r>
        <w:t>• ☐ Store source references used for a candidate and expose them for review.</w:t>
      </w:r>
    </w:p>
    <w:p>
      <w:pPr>
        <w:pStyle w:val="HeadingBlue"/>
      </w:pPr>
      <w:r>
        <w:t>Phase 6 — Vertical-slice proof (by Sprint 5)</w:t>
      </w:r>
    </w:p>
    <w:p>
      <w:pPr>
        <w:spacing w:after="30"/>
        <w:ind w:left="259" w:hanging="173"/>
      </w:pPr>
      <w:r>
        <w:t>• ☐ Demonstrate end-to-end: goal intake → run creation → planning → retrieval → execution → response → audit query.</w:t>
      </w:r>
    </w:p>
    <w:p>
      <w:pPr>
        <w:spacing w:after="30"/>
        <w:ind w:left="259" w:hanging="173"/>
      </w:pPr>
      <w:r>
        <w:t>• ☐ Show one trace across all participating services using shared correlation IDs.</w:t>
      </w:r>
    </w:p>
    <w:p>
      <w:pPr>
        <w:spacing w:after="30"/>
        <w:ind w:left="259" w:hanging="173"/>
      </w:pPr>
      <w:r>
        <w:t>• ☐ Show blocked tool behavior with policy denial and audit trail.</w:t>
      </w:r>
    </w:p>
    <w:p>
      <w:pPr>
        <w:spacing w:after="30"/>
        <w:ind w:left="259" w:hanging="173"/>
      </w:pPr>
      <w:r>
        <w:t>• ☐ Publish alpha demo checklist and defects list.</w:t>
      </w:r>
    </w:p>
    <w:p>
      <w:pPr>
        <w:pStyle w:val="HeadingBlue"/>
      </w:pPr>
      <w:r>
        <w:t>Phase 7 — Product UI core (Sprint 4–8)</w:t>
      </w:r>
    </w:p>
    <w:p>
      <w:pPr>
        <w:spacing w:after="30"/>
        <w:ind w:left="259" w:hanging="173"/>
      </w:pPr>
      <w:r>
        <w:t>• ☐ Build Home dashboard default state and role-aware variations.</w:t>
      </w:r>
    </w:p>
    <w:p>
      <w:pPr>
        <w:spacing w:after="30"/>
        <w:ind w:left="259" w:hanging="173"/>
      </w:pPr>
      <w:r>
        <w:t>• ☐ Build command palette and notifications center.</w:t>
      </w:r>
    </w:p>
    <w:p>
      <w:pPr>
        <w:spacing w:after="30"/>
        <w:ind w:left="259" w:hanging="173"/>
      </w:pPr>
      <w:r>
        <w:t>• ☐ Build Goal Intake and Brief Builder.</w:t>
      </w:r>
    </w:p>
    <w:p>
      <w:pPr>
        <w:spacing w:after="30"/>
        <w:ind w:left="259" w:hanging="173"/>
      </w:pPr>
      <w:r>
        <w:t>• ☐ Build Architecture Comparison Board and Architecture Canvas.</w:t>
      </w:r>
    </w:p>
    <w:p>
      <w:pPr>
        <w:spacing w:after="30"/>
        <w:ind w:left="259" w:hanging="173"/>
      </w:pPr>
      <w:r>
        <w:t>• ☐ Build Tools &amp; Permissions config and Memory &amp; Retrieval config.</w:t>
      </w:r>
    </w:p>
    <w:p>
      <w:pPr>
        <w:spacing w:after="30"/>
        <w:ind w:left="259" w:hanging="173"/>
      </w:pPr>
      <w:r>
        <w:t>• ☐ Build Evaluation Lab summary views and Release Readiness view.</w:t>
      </w:r>
    </w:p>
    <w:p>
      <w:pPr>
        <w:spacing w:after="30"/>
        <w:ind w:left="259" w:hanging="173"/>
      </w:pPr>
      <w:r>
        <w:t>• ☐ Ensure right-side context panel exists with advice, warnings, and next actions.</w:t>
      </w:r>
    </w:p>
    <w:p>
      <w:pPr>
        <w:spacing w:after="30"/>
        <w:ind w:left="259" w:hanging="173"/>
      </w:pPr>
      <w:r>
        <w:t>• ☐ Connect these screens to stable contracts or approved mocks only.</w:t>
      </w:r>
    </w:p>
    <w:p>
      <w:pPr>
        <w:pStyle w:val="HeadingBlue"/>
      </w:pPr>
      <w:r>
        <w:t>Phase 8 — Evaluation, governance, and release surfaces (Sprint 6–9)</w:t>
      </w:r>
    </w:p>
    <w:p>
      <w:pPr>
        <w:spacing w:after="30"/>
        <w:ind w:left="259" w:hanging="173"/>
      </w:pPr>
      <w:r>
        <w:t>• ☐ Build Evaluation failure detail and simulation review screens.</w:t>
      </w:r>
    </w:p>
    <w:p>
      <w:pPr>
        <w:spacing w:after="30"/>
        <w:ind w:left="259" w:hanging="173"/>
      </w:pPr>
      <w:r>
        <w:t>• ☐ Implement EvaluationReport production path and candidate comparison evidence.</w:t>
      </w:r>
    </w:p>
    <w:p>
      <w:pPr>
        <w:spacing w:after="30"/>
        <w:ind w:left="259" w:hanging="173"/>
      </w:pPr>
      <w:r>
        <w:t>• ☐ Build Governance Queue and Approval Packet.</w:t>
      </w:r>
    </w:p>
    <w:p>
      <w:pPr>
        <w:spacing w:after="30"/>
        <w:ind w:left="259" w:hanging="173"/>
      </w:pPr>
      <w:r>
        <w:t>• ☐ Build Release Center, Deployment Center, Canary Monitor, and Version Diff.</w:t>
      </w:r>
    </w:p>
    <w:p>
      <w:pPr>
        <w:spacing w:after="30"/>
        <w:ind w:left="259" w:hanging="173"/>
      </w:pPr>
      <w:r>
        <w:t>• ☐ Block release without signed artifact, evaluation report, and required approval evidence.</w:t>
      </w:r>
    </w:p>
    <w:p>
      <w:pPr>
        <w:spacing w:after="30"/>
        <w:ind w:left="259" w:hanging="173"/>
      </w:pPr>
      <w:r>
        <w:t>• ☐ Show explicit rollback controls and change summaries.</w:t>
      </w:r>
    </w:p>
    <w:p>
      <w:pPr>
        <w:pStyle w:val="HeadingBlue"/>
      </w:pPr>
      <w:r>
        <w:t>Phase 9 — Runtime and observability surfaces (Sprint 7–10)</w:t>
      </w:r>
    </w:p>
    <w:p>
      <w:pPr>
        <w:spacing w:after="30"/>
        <w:ind w:left="259" w:hanging="173"/>
      </w:pPr>
      <w:r>
        <w:t>• ☐ Build Runs Explorer, Run Detail Timeline, Trace &amp; Tool Inspector, and Observability Console.</w:t>
      </w:r>
    </w:p>
    <w:p>
      <w:pPr>
        <w:spacing w:after="30"/>
        <w:ind w:left="259" w:hanging="173"/>
      </w:pPr>
      <w:r>
        <w:t>• ☐ Implement dashboards for API latency, task completion, model/tool usage, queue health, and release status.</w:t>
      </w:r>
    </w:p>
    <w:p>
      <w:pPr>
        <w:spacing w:after="30"/>
        <w:ind w:left="259" w:hanging="173"/>
      </w:pPr>
      <w:r>
        <w:t>• ☐ Implement alert rules for degraded health, queue growth, canary failure, and missing telemetry.</w:t>
      </w:r>
    </w:p>
    <w:p>
      <w:pPr>
        <w:spacing w:after="30"/>
        <w:ind w:left="259" w:hanging="173"/>
      </w:pPr>
      <w:r>
        <w:t>• ☐ Ensure runtime views remain readable in high-volume conditions.</w:t>
      </w:r>
    </w:p>
    <w:p>
      <w:pPr>
        <w:spacing w:after="30"/>
        <w:ind w:left="259" w:hanging="173"/>
      </w:pPr>
      <w:r>
        <w:t>• ☐ Run at least one incident drill and trace a failure from deployment to run to tool/model activity.</w:t>
      </w:r>
    </w:p>
    <w:p>
      <w:pPr>
        <w:pStyle w:val="HeadingBlue"/>
      </w:pPr>
      <w:r>
        <w:t>Phase 10 — Production readiness (Sprint 9–11)</w:t>
      </w:r>
    </w:p>
    <w:p>
      <w:pPr>
        <w:spacing w:after="30"/>
        <w:ind w:left="259" w:hanging="173"/>
      </w:pPr>
      <w:r>
        <w:t>• ☐ Implement artifact signing and signature verification in the release path.</w:t>
      </w:r>
    </w:p>
    <w:p>
      <w:pPr>
        <w:spacing w:after="30"/>
        <w:ind w:left="259" w:hanging="173"/>
      </w:pPr>
      <w:r>
        <w:t>• ☐ Implement canary rollout automation and rollback automation.</w:t>
      </w:r>
    </w:p>
    <w:p>
      <w:pPr>
        <w:spacing w:after="30"/>
        <w:ind w:left="259" w:hanging="173"/>
      </w:pPr>
      <w:r>
        <w:t>• ☐ Finalize runbooks for canary, rollback, degraded model route, queue overload, and tool broker outage.</w:t>
      </w:r>
    </w:p>
    <w:p>
      <w:pPr>
        <w:spacing w:after="30"/>
        <w:ind w:left="259" w:hanging="173"/>
      </w:pPr>
      <w:r>
        <w:t>• ☐ Execute performance test plan for API, queue, worker scale, retrieval latency, and release flow.</w:t>
      </w:r>
    </w:p>
    <w:p>
      <w:pPr>
        <w:spacing w:after="30"/>
        <w:ind w:left="259" w:hanging="173"/>
      </w:pPr>
      <w:r>
        <w:t>• ☐ Close threat-model remediation items that block launch.</w:t>
      </w:r>
    </w:p>
    <w:p>
      <w:pPr>
        <w:spacing w:after="30"/>
        <w:ind w:left="259" w:hanging="173"/>
      </w:pPr>
      <w:r>
        <w:t>• ☐ Freeze beta scope and move non-v1 features to the phase-2 backlog.</w:t>
      </w:r>
    </w:p>
    <w:p>
      <w:pPr>
        <w:pStyle w:val="HeadingBlue"/>
      </w:pPr>
      <w:r>
        <w:t>Phase 11 — Pilot launch and stabilization (Sprint 11–12)</w:t>
      </w:r>
    </w:p>
    <w:p>
      <w:pPr>
        <w:spacing w:after="30"/>
        <w:ind w:left="259" w:hanging="173"/>
      </w:pPr>
      <w:r>
        <w:t>• ☐ Configure pilot tenants and data policies.</w:t>
      </w:r>
    </w:p>
    <w:p>
      <w:pPr>
        <w:spacing w:after="30"/>
        <w:ind w:left="259" w:hanging="173"/>
      </w:pPr>
      <w:r>
        <w:t>• ☐ Complete UAT across builder, operator, governance, and executive journeys.</w:t>
      </w:r>
    </w:p>
    <w:p>
      <w:pPr>
        <w:spacing w:after="30"/>
        <w:ind w:left="259" w:hanging="173"/>
      </w:pPr>
      <w:r>
        <w:t>• ☐ Publish launch dashboard with success metrics and on-call ownership.</w:t>
      </w:r>
    </w:p>
    <w:p>
      <w:pPr>
        <w:spacing w:after="30"/>
        <w:ind w:left="259" w:hanging="173"/>
      </w:pPr>
      <w:r>
        <w:t>• ☐ Execute pilot release and hypercare plan.</w:t>
      </w:r>
    </w:p>
    <w:p>
      <w:pPr>
        <w:spacing w:after="30"/>
        <w:ind w:left="259" w:hanging="173"/>
      </w:pPr>
      <w:r>
        <w:t>• ☐ Record launch defects, triage them, and publish the phase-2 backlog with clear priorities.</w:t>
      </w:r>
    </w:p>
    <w:p>
      <w:pPr>
        <w:pStyle w:val="HeadingBlue"/>
      </w:pPr>
      <w:r>
        <w:t>2. Daily command checklist by role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160"/>
        <w:gridCol w:w="7488"/>
      </w:tblGrid>
      <w:tr>
        <w:tc>
          <w:tcPr>
            <w:tcW w:type="dxa" w:w="504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5040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Daily checklist</w:t>
            </w:r>
          </w:p>
        </w:tc>
      </w:tr>
      <w:t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7"/>
              </w:rPr>
              <w:t>Chief architect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Review one architectural risk, one dependency risk, one scope risk, and one contract change request every day.</w:t>
            </w:r>
          </w:p>
        </w:tc>
      </w:tr>
      <w:t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7"/>
              </w:rPr>
              <w:t>Tech lead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Confirm every in-progress story has owner, dependency, acceptance criteria, and demo path.</w:t>
            </w:r>
          </w:p>
        </w:tc>
      </w:tr>
      <w:t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7"/>
              </w:rPr>
              <w:t>Backend/platform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Verify new endpoints emit standard envelopes, audit hooks, and telemetry before merge.</w:t>
            </w:r>
          </w:p>
        </w:tc>
      </w:tr>
      <w:t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7"/>
              </w:rPr>
              <w:t>Frontend/design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Verify each screen or component has default, loading, empty, error, and permission-limited states where relevant.</w:t>
            </w:r>
          </w:p>
        </w:tc>
      </w:tr>
      <w:t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7"/>
              </w:rPr>
              <w:t>ML/platform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Verify retrieval evidence, evaluation evidence, and model-route telemetry exist for changed flows.</w:t>
            </w:r>
          </w:p>
        </w:tc>
      </w:tr>
      <w:tr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2F8"/>
          </w:tcPr>
          <w:p>
            <w:r>
              <w:rPr>
                <w:b/>
                <w:color w:val="1F4E79"/>
                <w:sz w:val="17"/>
              </w:rPr>
              <w:t>SRE/DevOps</w:t>
            </w:r>
          </w:p>
        </w:tc>
        <w:tc>
          <w:tcPr>
            <w:tcW w:type="dxa" w:w="50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Verify dashboard freshness, alert noise, environment drift, and release automation health.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720"/>
      </w:tblGrid>
      <w:tr>
        <w:tc>
          <w:tcPr>
            <w:tcW w:type="dxa" w:w="10080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F4E79"/>
                <w:sz w:val="20"/>
              </w:rPr>
              <w:t>Fastest way to save time</w:t>
              <w:br/>
            </w:r>
            <w:r>
              <w:rPr>
                <w:sz w:val="18"/>
              </w:rPr>
              <w:t>Do not let unresolved ambiguity survive a sprint boundary. If something is unclear at the end of a sprint, convert it into a specific ticket, ADR, contract change, or design note before the next sprint starts.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864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right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before="0" w:after="60"/>
    </w:pPr>
    <w:rPr>
      <w:rFonts w:ascii="Aptos Display" w:hAnsi="Aptos Display"/>
      <w:b/>
      <w:color w:val="1F4E79"/>
      <w:sz w:val="44"/>
    </w:rPr>
  </w:style>
  <w:style w:type="paragraph" w:customStyle="1" w:styleId="SubtitleCustom">
    <w:name w:val="SubtitleCustom"/>
    <w:basedOn w:val="Normal"/>
    <w:pPr>
      <w:spacing w:before="0" w:after="160"/>
    </w:pPr>
    <w:rPr>
      <w:rFonts w:ascii="Aptos" w:hAnsi="Aptos"/>
      <w:b w:val="0"/>
      <w:color w:val="5F5F5F"/>
      <w:sz w:val="21"/>
    </w:rPr>
  </w:style>
  <w:style w:type="paragraph" w:customStyle="1" w:styleId="HeadingBlue">
    <w:name w:val="HeadingBlue"/>
    <w:basedOn w:val="Heading1"/>
    <w:pPr>
      <w:spacing w:before="160" w:after="60"/>
    </w:pPr>
    <w:rPr>
      <w:rFonts w:ascii="Aptos Display" w:hAnsi="Aptos Display"/>
      <w:b/>
      <w:color w:val="1F4E79"/>
      <w:sz w:val="28"/>
    </w:rPr>
  </w:style>
  <w:style w:type="paragraph" w:customStyle="1" w:styleId="HeadingBlue2">
    <w:name w:val="HeadingBlue2"/>
    <w:basedOn w:val="Heading2"/>
    <w:pPr>
      <w:spacing w:before="100" w:after="40"/>
    </w:pPr>
    <w:rPr>
      <w:rFonts w:ascii="Aptos Display" w:hAnsi="Aptos Display"/>
      <w:b/>
      <w:color w:val="1F4E79"/>
      <w:sz w:val="23"/>
    </w:rPr>
  </w:style>
  <w:style w:type="paragraph" w:customStyle="1" w:styleId="SmallText">
    <w:name w:val="SmallText"/>
    <w:basedOn w:val="Normal"/>
    <w:pPr>
      <w:spacing w:before="0" w:after="40"/>
    </w:pPr>
    <w:rPr>
      <w:rFonts w:ascii="Aptos" w:hAnsi="Aptos"/>
      <w:b w:val="0"/>
      <w:color w:val="5F5F5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