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Agent Architect Pro — Implementation Roadmap</w:t>
      </w:r>
    </w:p>
    <w:p>
      <w:pPr>
        <w:pStyle w:val="SubtitleCustom"/>
      </w:pPr>
      <w:r>
        <w:t>Epics, sprint breakdown, dependencies, and delivery gates aligned to the solution architecture and SRS.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18"/>
              </w:rPr>
              <w:t>Planning basis: 2-week sprints, one cross-functional platform squad plus shared design/ML support, first production-ready release targeted in 24 weeks.</w:t>
            </w:r>
          </w:p>
        </w:tc>
      </w:tr>
    </w:tbl>
    <w:p/>
    <w:p>
      <w:pPr>
        <w:pStyle w:val="HeadingBlue"/>
      </w:pPr>
      <w:r>
        <w:t>1. Delivery framing</w:t>
      </w:r>
    </w:p>
    <w:p>
      <w:pPr>
        <w:pStyle w:val="BodyTight"/>
        <w:spacing w:after="30"/>
        <w:ind w:left="259" w:hanging="173"/>
      </w:pPr>
      <w:r>
        <w:rPr>
          <w:sz w:val="20"/>
        </w:rPr>
        <w:t>• Roadmap horizon: 12 sprints over approximately 24 weeks.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Delivery objective: ship a stable v1 that supports agent creation, governed execution, evaluation, deployment, and runtime monitoring.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Method: architecture-first scaffolding in early sprints, product workflows in the middle, hardening and controlled rollout in the final phase.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Planning assumption: high-risk research features such as advanced debate search, self-evolution, or agent economy remain outside the v1 critical path.</w:t>
      </w:r>
    </w:p>
    <w:p>
      <w:pPr>
        <w:pStyle w:val="HeadingBlue"/>
      </w:pPr>
      <w:r>
        <w:t>2. Epic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152"/>
        <w:gridCol w:w="2736"/>
        <w:gridCol w:w="3744"/>
        <w:gridCol w:w="1944"/>
      </w:tblGrid>
      <w:tr>
        <w:trPr>
          <w:tblHeader w:val="true"/>
        </w:trP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Epic ID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Epic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Primary owners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E1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Foundations and DevEx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Working monorepo, environments, CI/CD, secrets, baseline observability, coding standards.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Platform engineering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E2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Identity, Auth, and Governance Base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auth, RBAC, workload identity, policy store, audit foundation.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Platform + security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E3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Control Plane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Supervisor, Planner, core contracts, run lifecycle, plan compilation.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Backend / AI platform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E4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Execution Plane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Swarm orchestration, runtime manager, sandbox, tool broker, task execution path.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Backend / infrastructure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E5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Knowledge Plane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Retrieval, vector indexing, artifact catalog, episodic memory foundations.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AI platform / data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E6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Model Gateway and AI Services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Model routing, quotas, provider abstraction, inference telemetry.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ML platform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E7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Product UI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Home, Studio, Evaluation, Release, Runtime surfaces.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Frontend / design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E8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Evaluation and Improvement Plane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Replay, benchmark runs, simulation harness, evaluation reports.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ML platform / QA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E9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Release, Hardening, and Production Readiness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Canary, rollback, SLOs, incident readiness, security hardening.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All squads</w:t>
            </w:r>
          </w:p>
        </w:tc>
      </w:tr>
    </w:tbl>
    <w:p/>
    <w:p>
      <w:pPr>
        <w:pStyle w:val="HeadingBlue"/>
      </w:pPr>
      <w:r>
        <w:t>3. Release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304"/>
        <w:gridCol w:w="1656"/>
        <w:gridCol w:w="5760"/>
      </w:tblGrid>
      <w:tr>
        <w:trPr>
          <w:tblHeader w:val="true"/>
        </w:trP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Target sprint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M1 — Architecture skeleton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Sprint 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Repos, environments, CI/CD, auth shell, contracts, telemetry bootstrap, architectural decisions locked.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M2 — End-to-end alpha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Sprint 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One agent workflow works from intake to execution with retrieval, model gateway, and audit trail.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M3 — Product beta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Sprint 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UI flows function; evaluation and release center exist; staging environment active.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M4 — Production candidate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Sprint 10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Canary release, rollback, hardening, and observability complete; acceptance tests passing.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M5 — v1 launch gate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Sprint 12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Pilot tenants onboarded, operational runbooks signed off, backlog for phase 2 prioritized.</w:t>
            </w:r>
          </w:p>
        </w:tc>
      </w:tr>
    </w:tbl>
    <w:p/>
    <w:p>
      <w:pPr>
        <w:pStyle w:val="HeadingBlue"/>
      </w:pPr>
      <w:r>
        <w:t>4. Dependency notes</w:t>
      </w:r>
    </w:p>
    <w:p>
      <w:pPr>
        <w:pStyle w:val="BodyTight"/>
        <w:spacing w:after="30"/>
        <w:ind w:left="259" w:hanging="173"/>
      </w:pPr>
      <w:r>
        <w:rPr>
          <w:sz w:val="20"/>
        </w:rPr>
        <w:t>• UI work can begin in parallel using mocks, but production UI cannot complete until contracts stabilize in E3 and E4.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Evaluation and replay depend on artifacts, telemetry, and a functioning run lifecycle.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Release controls depend on signed artifacts, audit events, and staging deployment pipelines.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Observability should be embedded from sprint 1; retrofitting it later is high-cost and high-risk.</w:t>
      </w:r>
    </w:p>
    <w:p>
      <w:pPr>
        <w:sectPr>
          <w:footerReference w:type="default" r:id="rId9"/>
          <w:pgSz w:w="12240" w:h="15840"/>
          <w:pgMar w:top="936" w:right="1152" w:bottom="936" w:left="1152" w:header="360" w:footer="432" w:gutter="0"/>
          <w:cols w:space="720"/>
          <w:docGrid w:linePitch="360"/>
        </w:sectPr>
      </w:pPr>
    </w:p>
    <w:p>
      <w:pPr>
        <w:pStyle w:val="HeadingBlue"/>
      </w:pPr>
      <w:r>
        <w:t>5. Sprint-by-sprint breakdown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936"/>
        <w:gridCol w:w="2088"/>
        <w:gridCol w:w="6120"/>
        <w:gridCol w:w="1512"/>
        <w:gridCol w:w="3168"/>
      </w:tblGrid>
      <w:tr>
        <w:trPr>
          <w:tblHeader w:val="true"/>
        </w:trP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Key deliverables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Primary epics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Exit criteria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S1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Platform bootstrap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Monorepo, branching strategy, CI templates, container base images, local dev stack, OpenTelemetry bootstrap, design-system shell.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E1, E7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Repos live; CI green; local stack runs; initial UI shell in place.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S2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Contracts and identity base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RunSpec/PlanSpec/TaskSpec schemas, API gateway shell, user auth, RBAC roles, secrets flow, architecture ADR set.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E1, E2, E3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Versioned contracts approved; auth works; secrets path validated.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S3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Supervisor + Planner alpha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Supervisor state machine, Planner stub, PostgreSQL schema, run tracking, mocked model gateway, first brief-to-plan flow.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E3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run can be created and planned with persisted state.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S4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Runtime and tool mediation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Swarm queueing, runtime manager, sandbox policy skeleton, Tool Broker MVP, audit event emission, worker heartbeats.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E4, E2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 task can execute in a controlled runtime and record audit events.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S5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Retrieval and end-to-end alpha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Retrieval service, pgvector indexing, artifact catalog MVP, model gateway MVP, end-to-end request flow in staging-lite.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E5, E6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One vertical slice works from intake to response with retrieval and telemetry.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S6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Studio and runtime UI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Home, Studio shell, run list, runtime overview, API integration, design tokens finalized, basic approval state in UI.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E7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Users can create and inspect runs through the product UI.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S7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Evaluation foundations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Benchmark harness, EvaluationReport schema, replay harness, basic canary packaging, release diff UI.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E8, E9, E7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Candidates can be evaluated and compared against baseline artifacts.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S8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Beta workflow complete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Evaluation Lab UI, Release Center, staging environment hardening, policy checks, episodic memory MVP.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E5, E7, E8, E9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Primary v1 workflow complete in staging with approval checkpoints.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S9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Security and resilience hardening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Vault integration, signed artifacts, network policies, rate limits, retry policies, queue backpressure tuning.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E2, E4, E9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Threat model actions closed; runtime and release controls hardened.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S10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Observability and canary readiness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Dashboards, alert rules, SLOs, canary/rollback automation, on-call runbooks, incident drills.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E9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Production candidate canary can be executed safely in pre-prod.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S11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Pilot launch preparation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Pilot tenant config, support playbooks, UAT, data retention policies, cost dashboards, defect burn-down.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E7, E9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Pilot tenants ready; no sev-1 launch blockers remain.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S12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Launch and stabilization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Pilot release, hypercare, post-launch backlog capture, phase-2 prioritization, final architecture review.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All epics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Pilot is live, monitored, and governed with agreed success KPIs.</w:t>
            </w:r>
          </w:p>
        </w:tc>
      </w:tr>
    </w:tbl>
    <w:p/>
    <w:p>
      <w:pPr>
        <w:pStyle w:val="HeadingBlue"/>
      </w:pPr>
      <w:r>
        <w:t>6. Backlog framing inside each epic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88"/>
        <w:gridCol w:w="7992"/>
      </w:tblGrid>
      <w:tr>
        <w:trPr>
          <w:tblHeader w:val="true"/>
        </w:trP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Epic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Suggested stories / work packages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E1 Foundations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Repo templates; IaC baselines; CI checks; dependency scanning; local developer stack; contract testing harness.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E2 Identity/Governance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OIDC login; RBAC model; policy store; secrets integration; audit record shape; approval workflow primitives.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E3 Control Plane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 creation API; Supervisor lifecycle; Planner logic; budget enforcement; release-state transitions.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E4 Execution Plane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Queue model; runtime instance API; sandbox controls; Tool Broker adapters; result aggregator.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E5 Knowledge Plane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Vector ingestion; retrieval/rerank API; artifact catalog; episode writer; source evidence packaging.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E6 Model Gateway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Provider abstraction; caching; quota rules; telemetry envelopes; fallback policy.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E7 Product UI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Navigation shell; Studio; Evaluation Lab; Release Center; Runtime Overview; design system buildout.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E8 Evaluation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Benchmark packs; replay jobs; simulation harness; verdict service; candidate comparison reports.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E9 Production Readiness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Canary automation; rollback; SLO dashboards; incident runbooks; load and security tests.</w:t>
            </w:r>
          </w:p>
        </w:tc>
      </w:tr>
    </w:tbl>
    <w:p/>
    <w:p>
      <w:pPr>
        <w:pStyle w:val="HeadingBlue"/>
      </w:pPr>
      <w:r>
        <w:t>7. Team shape and capacity guidance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6912"/>
      </w:tblGrid>
      <w:tr>
        <w:trPr>
          <w:tblHeader w:val="true"/>
        </w:trP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Recommended baseline allocation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Tech lead / chief architect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0.5–1.0 FTE across all sprints for architecture decisions, review gates, and risk removal.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Backend / platform engineers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3–4 FTE focused on control, execution, auth, release, and data services.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Frontend engineers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1–2 FTE from sprint 1 onward, scaling to 2 FTE from sprint 5–10.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ML / AI engineer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1–2 FTE for model gateway, retrieval, evaluation, prompt and policy testing.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SRE / DevOps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 FTE shared; heavier from sprint 7 onward for staging, production, and reliability readiness.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Product design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0.5–1.0 FTE front-loaded for Studio, Evaluation, Release, and Runtime surfaces.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QA / test automation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0.5–1.0 FTE from sprint 4 onward, heavier from sprint 7 onward.</w:t>
            </w:r>
          </w:p>
        </w:tc>
      </w:tr>
    </w:tbl>
    <w:p/>
    <w:p>
      <w:pPr>
        <w:pStyle w:val="HeadingBlue"/>
      </w:pPr>
      <w:r>
        <w:t>8. Quality gates by phase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92"/>
        <w:gridCol w:w="7488"/>
      </w:tblGrid>
      <w:tr>
        <w:trPr>
          <w:tblHeader w:val="true"/>
        </w:trP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Required gate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End of sprint 2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Contracts, auth, and observability bootstrap reviewed and approved.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End of sprint 5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Vertical slice demo: brief → plan → run → retrieve → respond → audit.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End of sprint 8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Beta gate: product workflow complete in staging; no critical policy bypasses.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End of sprint 10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Production candidate gate: canary and rollback validated, SLOs and alerts active.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End of sprint 12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Launch gate: pilot success metrics agreed, support process staffed, known risks accepted.</w:t>
            </w:r>
          </w:p>
        </w:tc>
      </w:tr>
    </w:tbl>
    <w:p/>
    <w:p>
      <w:pPr>
        <w:pStyle w:val="HeadingBlue"/>
      </w:pPr>
      <w:r>
        <w:t>9. Risk register for delivery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952"/>
        <w:gridCol w:w="2160"/>
        <w:gridCol w:w="4968"/>
      </w:tblGrid>
      <w:tr>
        <w:trPr>
          <w:tblHeader w:val="true"/>
        </w:trP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Likelihood / impact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Architecture churn in mid-build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Freeze contracts early and route design changes through ADR review.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UI blocked by unstable APIs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 / Medium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 API mocks and adapter layers; define schemas first.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Operational work delayed until late sprints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Medium / High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Staff SRE from the start and require telemetry in every story.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Model/tool provider volatility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Medium / Medium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Abstract providers behind Model Gateway and Tool Broker from day one.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Scope creep from research features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 / High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Keep a strict v1 scope and park phase-2 features outside the sprint commitment line.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9648"/>
      </w:tblGrid>
      <w:tr>
        <w:tc>
          <w:tcPr>
            <w:tcW w:type="dxa" w:w="14256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20"/>
              </w:rPr>
              <w:t>Recommended v1 scope boundary</w:t>
              <w:br/>
            </w:r>
            <w:r>
              <w:rPr>
                <w:sz w:val="18"/>
              </w:rPr>
              <w:t>Include: brief intake, planning, controlled runtime execution, retrieval, model gateway, evaluation summary, release center, canary rollout, runtime monitoring, and audit trail. Defer: advanced self-evolution, autonomous architecture search, agent economy, and broad cross-tenant portfolio analytics.</w:t>
            </w:r>
          </w:p>
        </w:tc>
      </w:tr>
    </w:tbl>
    <w:p/>
    <w:p>
      <w:pPr>
        <w:pStyle w:val="HeadingBlue"/>
      </w:pPr>
      <w:r>
        <w:t>10. Success metrics for the roadmap</w:t>
      </w:r>
    </w:p>
    <w:p>
      <w:pPr>
        <w:pStyle w:val="BodyTight"/>
        <w:spacing w:after="30"/>
        <w:ind w:left="259" w:hanging="173"/>
      </w:pPr>
      <w:r>
        <w:rPr>
          <w:sz w:val="20"/>
        </w:rPr>
        <w:t>• By sprint 5: one end-to-end vertical slice complete with auditable execution.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By sprint 8: product beta supports the primary user journey without CLI dependence.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By sprint 10: production candidate can deploy to canary with automated rollback.</w:t>
      </w:r>
    </w:p>
    <w:p>
      <w:pPr>
        <w:pStyle w:val="BodyTight"/>
        <w:spacing w:after="30"/>
        <w:ind w:left="259" w:hanging="173"/>
      </w:pPr>
      <w:r>
        <w:rPr>
          <w:sz w:val="20"/>
        </w:rPr>
        <w:t>• By sprint 12: pilot users can create, evaluate, deploy, and monitor agents using the product UI with agreed operational guardrails.</w:t>
      </w:r>
    </w:p>
    <w:sectPr w:rsidR="00FC693F" w:rsidRPr="0006063C" w:rsidSect="00034616">
      <w:footerReference w:type="default" r:id="rId10"/>
      <w:pgSz w:w="15840" w:h="12240" w:orient="landscape"/>
      <w:pgMar w:top="720" w:right="792" w:bottom="720" w:left="79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 w:before="0"/>
    </w:pPr>
    <w:rPr>
      <w:rFonts w:ascii="Aptos Display" w:hAnsi="Aptos Display"/>
      <w:b/>
      <w:color w:val="1F4E79"/>
      <w:sz w:val="44"/>
    </w:rPr>
  </w:style>
  <w:style w:type="paragraph" w:customStyle="1" w:styleId="SubtitleCustom">
    <w:name w:val="SubtitleCustom"/>
    <w:basedOn w:val="Normal"/>
    <w:pPr>
      <w:spacing w:after="160" w:before="0"/>
    </w:pPr>
    <w:rPr>
      <w:rFonts w:ascii="Aptos" w:hAnsi="Aptos"/>
      <w:b w:val="0"/>
      <w:color w:val="5C5C5C"/>
      <w:sz w:val="20"/>
    </w:rPr>
  </w:style>
  <w:style w:type="paragraph" w:customStyle="1" w:styleId="HeadingBlue">
    <w:name w:val="HeadingBlue"/>
    <w:basedOn w:val="Heading1"/>
    <w:pPr>
      <w:spacing w:after="80" w:before="160"/>
    </w:pPr>
    <w:rPr>
      <w:rFonts w:ascii="Aptos Display" w:hAnsi="Aptos Display"/>
      <w:b/>
      <w:color w:val="1F4E79"/>
      <w:sz w:val="30"/>
    </w:rPr>
  </w:style>
  <w:style w:type="paragraph" w:customStyle="1" w:styleId="HeadingBlue2">
    <w:name w:val="HeadingBlue2"/>
    <w:basedOn w:val="Heading2"/>
    <w:pPr>
      <w:spacing w:after="40" w:before="100"/>
    </w:pPr>
    <w:rPr>
      <w:rFonts w:ascii="Aptos Display" w:hAnsi="Aptos Display"/>
      <w:b/>
      <w:color w:val="1F4E79"/>
      <w:sz w:val="23"/>
    </w:rPr>
  </w:style>
  <w:style w:type="paragraph" w:customStyle="1" w:styleId="SmallText">
    <w:name w:val="SmallText"/>
    <w:basedOn w:val="Normal"/>
    <w:pPr>
      <w:spacing w:after="40" w:before="0"/>
    </w:pPr>
    <w:rPr>
      <w:rFonts w:ascii="Aptos" w:hAnsi="Aptos"/>
      <w:b w:val="0"/>
      <w:color w:val="5C5C5C"/>
      <w:sz w:val="17"/>
    </w:rPr>
  </w:style>
  <w:style w:type="paragraph" w:customStyle="1" w:styleId="BodyTight">
    <w:name w:val="BodyTight"/>
    <w:basedOn w:val="Normal"/>
    <w:pPr>
      <w:spacing w:after="40" w:before="0"/>
    </w:pPr>
    <w:rPr>
      <w:rFonts w:ascii="Aptos" w:hAnsi="Aptos"/>
      <w:b w:val="0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