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pPr>
      <w:r>
        <w:t>Software Requirements Specification (SRS)</w:t>
      </w:r>
    </w:p>
    <w:p>
      <w:pPr>
        <w:pStyle w:val="SubtitleCustom"/>
      </w:pPr>
      <w:r>
        <w:t>Agent Architect Pro — Production-grade multi-agent design, evaluation, deployment, and operations platform</w:t>
      </w:r>
    </w:p>
    <w:tbl>
      <w:tblPr>
        <w:tblW w:type="auto" w:w="0"/>
        <w:jc w:val="left"/>
        <w:tblLayout w:type="fixed"/>
        <w:tblLook w:firstColumn="1" w:firstRow="1" w:lastColumn="0" w:lastRow="0" w:noHBand="0" w:noVBand="1" w:val="04A0"/>
      </w:tblPr>
      <w:tblGrid>
        <w:gridCol w:w="9360"/>
      </w:tblGrid>
      <w:tr>
        <w:tc>
          <w:tcPr>
            <w:tcW w:type="dxa" w:w="9936"/>
            <w:shd w:fill="D9EAF7"/>
            <w:tcMar>
              <w:top w:w="90" w:type="dxa"/>
              <w:start w:w="120" w:type="dxa"/>
              <w:bottom w:w="90" w:type="dxa"/>
              <w:end w:w="120" w:type="dxa"/>
            </w:tcMar>
          </w:tcPr>
          <w:p>
            <w:pPr>
              <w:pStyle w:val="Callout"/>
            </w:pPr>
            <w:r>
              <w:rPr>
                <w:b/>
                <w:color w:val="1F4E79"/>
              </w:rPr>
              <w:t>Document intent: translate the project vision, architecture, and product direction into a buildable SRS with recommended technology stacks, delivery boundaries, and acceptance criteria.</w:t>
            </w:r>
          </w:p>
        </w:tc>
      </w:tr>
    </w:tbl>
    <w:p/>
    <w:p>
      <w:pPr>
        <w:pStyle w:val="HeadingBlue"/>
      </w:pPr>
      <w:r>
        <w:t>1. Introduction</w:t>
      </w:r>
    </w:p>
    <w:p>
      <w:r>
        <w:t>This SRS defines the functional, non-functional, operational, security, and integration requirements for Agent Architect Pro. The platform is intended to intake agent goals, research domain needs, generate agent architectures, configure tools and memory, run evaluation and simulation, package agents for deployment, operate them in production, and improve them over time.</w:t>
      </w:r>
    </w:p>
    <w:p>
      <w:r>
        <w:t>This specification is written for executive sponsors, product owners, software architects, ML/platform engineers, security reviewers, DevOps teams, and UI/UX leads. It is deliberately implementation-oriented and includes the recommended tech stacks needed to build a production-grade system.</w:t>
      </w:r>
    </w:p>
    <w:p>
      <w:pPr>
        <w:pStyle w:val="HeadingBlue"/>
      </w:pPr>
      <w:r>
        <w:t>2. Vision, scope, and objectives</w:t>
      </w:r>
    </w:p>
    <w:p>
      <w:pPr>
        <w:spacing w:after="30"/>
        <w:ind w:left="288" w:hanging="202"/>
      </w:pPr>
      <w:r>
        <w:rPr>
          <w:sz w:val="20"/>
        </w:rPr>
        <w:t>• Provide a single platform for designing, validating, deploying, monitoring, and improving AI agents and multi-agent systems.</w:t>
      </w:r>
    </w:p>
    <w:p>
      <w:pPr>
        <w:spacing w:after="30"/>
        <w:ind w:left="288" w:hanging="202"/>
      </w:pPr>
      <w:r>
        <w:rPr>
          <w:sz w:val="20"/>
        </w:rPr>
        <w:t>• Support the full agent lifecycle: brief → design → compare → evaluate → approve → deploy → monitor → improve.</w:t>
      </w:r>
    </w:p>
    <w:p>
      <w:pPr>
        <w:spacing w:after="30"/>
        <w:ind w:left="288" w:hanging="202"/>
      </w:pPr>
      <w:r>
        <w:rPr>
          <w:sz w:val="20"/>
        </w:rPr>
        <w:t>• Separate control-plane responsibilities from execution-plane, knowledge-plane, trust-plane, improvement-plane, and operations-plane concerns.</w:t>
      </w:r>
    </w:p>
    <w:p>
      <w:pPr>
        <w:spacing w:after="30"/>
        <w:ind w:left="288" w:hanging="202"/>
      </w:pPr>
      <w:r>
        <w:rPr>
          <w:sz w:val="20"/>
        </w:rPr>
        <w:t>• Deliver enterprise-grade governance, observability, versioning, and release management.</w:t>
      </w:r>
    </w:p>
    <w:p>
      <w:pPr>
        <w:spacing w:after="30"/>
        <w:ind w:left="288" w:hanging="202"/>
      </w:pPr>
      <w:r>
        <w:rPr>
          <w:sz w:val="20"/>
        </w:rPr>
        <w:t>• Enable both guided product use through the UI and automation use through APIs and workflows.</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4464"/>
        <w:gridCol w:w="4464"/>
      </w:tblGrid>
      <w:tr>
        <w:trPr>
          <w:tblHeader w:val="true"/>
        </w:trPr>
        <w:tc>
          <w:tcPr>
            <w:tcW w:type="dxa" w:w="4968"/>
            <w:shd w:fill="1F4E79"/>
            <w:tcMar>
              <w:top w:w="80" w:type="dxa"/>
              <w:start w:w="100" w:type="dxa"/>
              <w:bottom w:w="80" w:type="dxa"/>
              <w:end w:w="100" w:type="dxa"/>
            </w:tcMar>
          </w:tcPr>
          <w:p>
            <w:pPr>
              <w:jc w:val="center"/>
            </w:pPr>
            <w:r>
              <w:rPr>
                <w:b/>
                <w:color w:val="FFFFFF"/>
                <w:sz w:val="18"/>
              </w:rPr>
              <w:t>In scope</w:t>
            </w:r>
          </w:p>
        </w:tc>
        <w:tc>
          <w:tcPr>
            <w:tcW w:type="dxa" w:w="4968"/>
            <w:shd w:fill="1F4E79"/>
            <w:tcMar>
              <w:top w:w="80" w:type="dxa"/>
              <w:start w:w="100" w:type="dxa"/>
              <w:bottom w:w="80" w:type="dxa"/>
              <w:end w:w="100" w:type="dxa"/>
            </w:tcMar>
          </w:tcPr>
          <w:p>
            <w:pPr>
              <w:jc w:val="center"/>
            </w:pPr>
            <w:r>
              <w:rPr>
                <w:b/>
                <w:color w:val="FFFFFF"/>
                <w:sz w:val="18"/>
              </w:rPr>
              <w:t>Out of scope for v1</w:t>
            </w:r>
          </w:p>
        </w:tc>
      </w:tr>
      <w:tr>
        <w:tc>
          <w:tcPr>
            <w:tcW w:type="dxa" w:w="4968"/>
            <w:tcMar>
              <w:top w:w="80" w:type="dxa"/>
              <w:start w:w="100" w:type="dxa"/>
              <w:bottom w:w="80" w:type="dxa"/>
              <w:end w:w="100" w:type="dxa"/>
            </w:tcMar>
            <w:vAlign w:val="center"/>
            <w:shd w:fill="EAF2F8"/>
          </w:tcPr>
          <w:p>
            <w:r>
              <w:rPr>
                <w:b/>
                <w:color w:val="1F4E79"/>
                <w:sz w:val="18"/>
              </w:rPr>
              <w:t>Agent brief capture, architecture generation, retrieval, debate/critique, evaluation, packaging, deployment, runtime monitoring, audit, approvals, and analytics.</w:t>
            </w:r>
          </w:p>
        </w:tc>
        <w:tc>
          <w:tcPr>
            <w:tcW w:type="dxa" w:w="4968"/>
            <w:tcMar>
              <w:top w:w="80" w:type="dxa"/>
              <w:start w:w="100" w:type="dxa"/>
              <w:bottom w:w="80" w:type="dxa"/>
              <w:end w:w="100" w:type="dxa"/>
            </w:tcMar>
            <w:vAlign w:val="center"/>
          </w:tcPr>
          <w:p>
            <w:r>
              <w:rPr>
                <w:sz w:val="18"/>
              </w:rPr>
              <w:t>Unbounded autonomous self-evolution into production, generalized AGI behavior, unsupported unrestricted tool execution, and full mobile authoring experience.</w:t>
            </w:r>
          </w:p>
        </w:tc>
      </w:tr>
    </w:tbl>
    <w:p/>
    <w:p>
      <w:pPr>
        <w:pStyle w:val="HeadingBlue"/>
      </w:pPr>
      <w:r>
        <w:t>3. Stakeholders and user classes</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088"/>
        <w:gridCol w:w="3888"/>
        <w:gridCol w:w="3096"/>
      </w:tblGrid>
      <w:tr>
        <w:trPr>
          <w:tblHeader w:val="true"/>
        </w:trPr>
        <w:tc>
          <w:tcPr>
            <w:tcW w:type="dxa" w:w="3312"/>
            <w:shd w:fill="1F4E79"/>
            <w:tcMar>
              <w:top w:w="80" w:type="dxa"/>
              <w:start w:w="100" w:type="dxa"/>
              <w:bottom w:w="80" w:type="dxa"/>
              <w:end w:w="100" w:type="dxa"/>
            </w:tcMar>
          </w:tcPr>
          <w:p>
            <w:pPr>
              <w:jc w:val="center"/>
            </w:pPr>
            <w:r>
              <w:rPr>
                <w:b/>
                <w:color w:val="FFFFFF"/>
                <w:sz w:val="18"/>
              </w:rPr>
              <w:t>User class</w:t>
            </w:r>
          </w:p>
        </w:tc>
        <w:tc>
          <w:tcPr>
            <w:tcW w:type="dxa" w:w="3312"/>
            <w:shd w:fill="1F4E79"/>
            <w:tcMar>
              <w:top w:w="80" w:type="dxa"/>
              <w:start w:w="100" w:type="dxa"/>
              <w:bottom w:w="80" w:type="dxa"/>
              <w:end w:w="100" w:type="dxa"/>
            </w:tcMar>
          </w:tcPr>
          <w:p>
            <w:pPr>
              <w:jc w:val="center"/>
            </w:pPr>
            <w:r>
              <w:rPr>
                <w:b/>
                <w:color w:val="FFFFFF"/>
                <w:sz w:val="18"/>
              </w:rPr>
              <w:t>Primary goals</w:t>
            </w:r>
          </w:p>
        </w:tc>
        <w:tc>
          <w:tcPr>
            <w:tcW w:type="dxa" w:w="3312"/>
            <w:shd w:fill="1F4E79"/>
            <w:tcMar>
              <w:top w:w="80" w:type="dxa"/>
              <w:start w:w="100" w:type="dxa"/>
              <w:bottom w:w="80" w:type="dxa"/>
              <w:end w:w="100" w:type="dxa"/>
            </w:tcMar>
          </w:tcPr>
          <w:p>
            <w:pPr>
              <w:jc w:val="center"/>
            </w:pPr>
            <w:r>
              <w:rPr>
                <w:b/>
                <w:color w:val="FFFFFF"/>
                <w:sz w:val="18"/>
              </w:rPr>
              <w:t>Success measures</w:t>
            </w:r>
          </w:p>
        </w:tc>
      </w:tr>
      <w:tr>
        <w:tc>
          <w:tcPr>
            <w:tcW w:type="dxa" w:w="3312"/>
            <w:tcMar>
              <w:top w:w="80" w:type="dxa"/>
              <w:start w:w="100" w:type="dxa"/>
              <w:bottom w:w="80" w:type="dxa"/>
              <w:end w:w="100" w:type="dxa"/>
            </w:tcMar>
            <w:vAlign w:val="center"/>
            <w:shd w:fill="EAF2F8"/>
          </w:tcPr>
          <w:p>
            <w:r>
              <w:rPr>
                <w:b/>
                <w:color w:val="1F4E79"/>
                <w:sz w:val="18"/>
              </w:rPr>
              <w:t>Agent Builder</w:t>
            </w:r>
          </w:p>
        </w:tc>
        <w:tc>
          <w:tcPr>
            <w:tcW w:type="dxa" w:w="3312"/>
            <w:tcMar>
              <w:top w:w="80" w:type="dxa"/>
              <w:start w:w="100" w:type="dxa"/>
              <w:bottom w:w="80" w:type="dxa"/>
              <w:end w:w="100" w:type="dxa"/>
            </w:tcMar>
            <w:vAlign w:val="center"/>
          </w:tcPr>
          <w:p>
            <w:r>
              <w:rPr>
                <w:sz w:val="18"/>
              </w:rPr>
              <w:t>Create a professional agent from a business or domain goal.</w:t>
            </w:r>
          </w:p>
        </w:tc>
        <w:tc>
          <w:tcPr>
            <w:tcW w:type="dxa" w:w="3312"/>
            <w:tcMar>
              <w:top w:w="80" w:type="dxa"/>
              <w:start w:w="100" w:type="dxa"/>
              <w:bottom w:w="80" w:type="dxa"/>
              <w:end w:w="100" w:type="dxa"/>
            </w:tcMar>
            <w:vAlign w:val="center"/>
          </w:tcPr>
          <w:p>
            <w:r>
              <w:rPr>
                <w:sz w:val="18"/>
              </w:rPr>
              <w:t>Time to first viable agent, quality of generated package, clarity of rationale.</w:t>
            </w:r>
          </w:p>
        </w:tc>
      </w:tr>
      <w:tr>
        <w:tc>
          <w:tcPr>
            <w:tcW w:type="dxa" w:w="3312"/>
            <w:tcMar>
              <w:top w:w="80" w:type="dxa"/>
              <w:start w:w="100" w:type="dxa"/>
              <w:bottom w:w="80" w:type="dxa"/>
              <w:end w:w="100" w:type="dxa"/>
            </w:tcMar>
            <w:vAlign w:val="center"/>
            <w:shd w:fill="EAF2F8"/>
          </w:tcPr>
          <w:p>
            <w:r>
              <w:rPr>
                <w:b/>
                <w:color w:val="1F4E79"/>
                <w:sz w:val="18"/>
              </w:rPr>
              <w:t>ML / Platform Engineer</w:t>
            </w:r>
          </w:p>
        </w:tc>
        <w:tc>
          <w:tcPr>
            <w:tcW w:type="dxa" w:w="3312"/>
            <w:tcMar>
              <w:top w:w="80" w:type="dxa"/>
              <w:start w:w="100" w:type="dxa"/>
              <w:bottom w:w="80" w:type="dxa"/>
              <w:end w:w="100" w:type="dxa"/>
            </w:tcMar>
            <w:vAlign w:val="center"/>
          </w:tcPr>
          <w:p>
            <w:r>
              <w:rPr>
                <w:sz w:val="18"/>
              </w:rPr>
              <w:t>Operate the runtime, evaluate models and tools, and manage releases.</w:t>
            </w:r>
          </w:p>
        </w:tc>
        <w:tc>
          <w:tcPr>
            <w:tcW w:type="dxa" w:w="3312"/>
            <w:tcMar>
              <w:top w:w="80" w:type="dxa"/>
              <w:start w:w="100" w:type="dxa"/>
              <w:bottom w:w="80" w:type="dxa"/>
              <w:end w:w="100" w:type="dxa"/>
            </w:tcMar>
            <w:vAlign w:val="center"/>
          </w:tcPr>
          <w:p>
            <w:r>
              <w:rPr>
                <w:sz w:val="18"/>
              </w:rPr>
              <w:t>Stable SLOs, rollback speed, evaluation coverage, deployment confidence.</w:t>
            </w:r>
          </w:p>
        </w:tc>
      </w:tr>
      <w:tr>
        <w:tc>
          <w:tcPr>
            <w:tcW w:type="dxa" w:w="3312"/>
            <w:tcMar>
              <w:top w:w="80" w:type="dxa"/>
              <w:start w:w="100" w:type="dxa"/>
              <w:bottom w:w="80" w:type="dxa"/>
              <w:end w:w="100" w:type="dxa"/>
            </w:tcMar>
            <w:vAlign w:val="center"/>
            <w:shd w:fill="EAF2F8"/>
          </w:tcPr>
          <w:p>
            <w:r>
              <w:rPr>
                <w:b/>
                <w:color w:val="1F4E79"/>
                <w:sz w:val="18"/>
              </w:rPr>
              <w:t>Governance / Risk Owner</w:t>
            </w:r>
          </w:p>
        </w:tc>
        <w:tc>
          <w:tcPr>
            <w:tcW w:type="dxa" w:w="3312"/>
            <w:tcMar>
              <w:top w:w="80" w:type="dxa"/>
              <w:start w:w="100" w:type="dxa"/>
              <w:bottom w:w="80" w:type="dxa"/>
              <w:end w:w="100" w:type="dxa"/>
            </w:tcMar>
            <w:vAlign w:val="center"/>
          </w:tcPr>
          <w:p>
            <w:r>
              <w:rPr>
                <w:sz w:val="18"/>
              </w:rPr>
              <w:t>Review policy, safety, audit evidence, and approval packets.</w:t>
            </w:r>
          </w:p>
        </w:tc>
        <w:tc>
          <w:tcPr>
            <w:tcW w:type="dxa" w:w="3312"/>
            <w:tcMar>
              <w:top w:w="80" w:type="dxa"/>
              <w:start w:w="100" w:type="dxa"/>
              <w:bottom w:w="80" w:type="dxa"/>
              <w:end w:w="100" w:type="dxa"/>
            </w:tcMar>
            <w:vAlign w:val="center"/>
          </w:tcPr>
          <w:p>
            <w:r>
              <w:rPr>
                <w:sz w:val="18"/>
              </w:rPr>
              <w:t>Traceability, policy conformance, reduction of unsafe releases.</w:t>
            </w:r>
          </w:p>
        </w:tc>
      </w:tr>
      <w:tr>
        <w:tc>
          <w:tcPr>
            <w:tcW w:type="dxa" w:w="3312"/>
            <w:tcMar>
              <w:top w:w="80" w:type="dxa"/>
              <w:start w:w="100" w:type="dxa"/>
              <w:bottom w:w="80" w:type="dxa"/>
              <w:end w:w="100" w:type="dxa"/>
            </w:tcMar>
            <w:vAlign w:val="center"/>
            <w:shd w:fill="EAF2F8"/>
          </w:tcPr>
          <w:p>
            <w:r>
              <w:rPr>
                <w:b/>
                <w:color w:val="1F4E79"/>
                <w:sz w:val="18"/>
              </w:rPr>
              <w:t>Executive / Product Sponsor</w:t>
            </w:r>
          </w:p>
        </w:tc>
        <w:tc>
          <w:tcPr>
            <w:tcW w:type="dxa" w:w="3312"/>
            <w:tcMar>
              <w:top w:w="80" w:type="dxa"/>
              <w:start w:w="100" w:type="dxa"/>
              <w:bottom w:w="80" w:type="dxa"/>
              <w:end w:w="100" w:type="dxa"/>
            </w:tcMar>
            <w:vAlign w:val="center"/>
          </w:tcPr>
          <w:p>
            <w:r>
              <w:rPr>
                <w:sz w:val="18"/>
              </w:rPr>
              <w:t>Track portfolio health, outcome trends, and strategic risk.</w:t>
            </w:r>
          </w:p>
        </w:tc>
        <w:tc>
          <w:tcPr>
            <w:tcW w:type="dxa" w:w="3312"/>
            <w:tcMar>
              <w:top w:w="80" w:type="dxa"/>
              <w:start w:w="100" w:type="dxa"/>
              <w:bottom w:w="80" w:type="dxa"/>
              <w:end w:w="100" w:type="dxa"/>
            </w:tcMar>
            <w:vAlign w:val="center"/>
          </w:tcPr>
          <w:p>
            <w:r>
              <w:rPr>
                <w:sz w:val="18"/>
              </w:rPr>
              <w:t>Production adoption, quality trend, cost efficiency, risk posture.</w:t>
            </w:r>
          </w:p>
        </w:tc>
      </w:tr>
    </w:tbl>
    <w:p/>
    <w:p>
      <w:pPr>
        <w:pStyle w:val="HeadingBlue"/>
      </w:pPr>
      <w:r>
        <w:t>4. Product overview and system context</w:t>
      </w:r>
    </w:p>
    <w:p>
      <w:r>
        <w:t>Agent Architect Pro is an AI-native platform rather than a single agent. It orchestrates multiple subsystems that collaborate to turn a user goal into a governed, deployable, observable agent package. The baseline architecture includes request intake, planning/orchestration, retrieval and memory, multi-agent generation and critique, evaluation/simulation, deployment, runtime execution, identity/audit, and dashboarding.</w:t>
      </w:r>
    </w:p>
    <w:p>
      <w:r>
        <w:t>The preferred interaction model is lifecycle-oriented: the product UI should let a user move from goal definition to live operations without needing to understand the entire backend architecture upfront.</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800"/>
        <w:gridCol w:w="4320"/>
        <w:gridCol w:w="2880"/>
      </w:tblGrid>
      <w:tr>
        <w:trPr>
          <w:tblHeader w:val="true"/>
        </w:trPr>
        <w:tc>
          <w:tcPr>
            <w:tcW w:type="dxa" w:w="3312"/>
            <w:shd w:fill="1F4E79"/>
            <w:tcMar>
              <w:top w:w="80" w:type="dxa"/>
              <w:start w:w="100" w:type="dxa"/>
              <w:bottom w:w="80" w:type="dxa"/>
              <w:end w:w="100" w:type="dxa"/>
            </w:tcMar>
          </w:tcPr>
          <w:p>
            <w:pPr>
              <w:jc w:val="center"/>
            </w:pPr>
            <w:r>
              <w:rPr>
                <w:b/>
                <w:color w:val="FFFFFF"/>
                <w:sz w:val="17"/>
              </w:rPr>
              <w:t>Plane</w:t>
            </w:r>
          </w:p>
        </w:tc>
        <w:tc>
          <w:tcPr>
            <w:tcW w:type="dxa" w:w="3312"/>
            <w:shd w:fill="1F4E79"/>
            <w:tcMar>
              <w:top w:w="80" w:type="dxa"/>
              <w:start w:w="100" w:type="dxa"/>
              <w:bottom w:w="80" w:type="dxa"/>
              <w:end w:w="100" w:type="dxa"/>
            </w:tcMar>
          </w:tcPr>
          <w:p>
            <w:pPr>
              <w:jc w:val="center"/>
            </w:pPr>
            <w:r>
              <w:rPr>
                <w:b/>
                <w:color w:val="FFFFFF"/>
                <w:sz w:val="17"/>
              </w:rPr>
              <w:t>Core capabilities</w:t>
            </w:r>
          </w:p>
        </w:tc>
        <w:tc>
          <w:tcPr>
            <w:tcW w:type="dxa" w:w="3312"/>
            <w:shd w:fill="1F4E79"/>
            <w:tcMar>
              <w:top w:w="80" w:type="dxa"/>
              <w:start w:w="100" w:type="dxa"/>
              <w:bottom w:w="80" w:type="dxa"/>
              <w:end w:w="100" w:type="dxa"/>
            </w:tcMar>
          </w:tcPr>
          <w:p>
            <w:pPr>
              <w:jc w:val="center"/>
            </w:pPr>
            <w:r>
              <w:rPr>
                <w:b/>
                <w:color w:val="FFFFFF"/>
                <w:sz w:val="17"/>
              </w:rPr>
              <w:t>Primary persistence / runtime concern</w:t>
            </w:r>
          </w:p>
        </w:tc>
      </w:tr>
      <w:tr>
        <w:tc>
          <w:tcPr>
            <w:tcW w:type="dxa" w:w="3312"/>
            <w:tcMar>
              <w:top w:w="80" w:type="dxa"/>
              <w:start w:w="100" w:type="dxa"/>
              <w:bottom w:w="80" w:type="dxa"/>
              <w:end w:w="100" w:type="dxa"/>
            </w:tcMar>
            <w:vAlign w:val="center"/>
            <w:shd w:fill="EAF2F8"/>
          </w:tcPr>
          <w:p>
            <w:r>
              <w:rPr>
                <w:b/>
                <w:color w:val="1F4E79"/>
                <w:sz w:val="16"/>
              </w:rPr>
              <w:t>Ingress &amp; Control</w:t>
            </w:r>
          </w:p>
        </w:tc>
        <w:tc>
          <w:tcPr>
            <w:tcW w:type="dxa" w:w="3312"/>
            <w:tcMar>
              <w:top w:w="80" w:type="dxa"/>
              <w:start w:w="100" w:type="dxa"/>
              <w:bottom w:w="80" w:type="dxa"/>
              <w:end w:w="100" w:type="dxa"/>
            </w:tcMar>
            <w:vAlign w:val="center"/>
          </w:tcPr>
          <w:p>
            <w:r>
              <w:rPr>
                <w:sz w:val="16"/>
              </w:rPr>
              <w:t>API Gateway, auth, supervisor, planner, release manager.</w:t>
            </w:r>
          </w:p>
        </w:tc>
        <w:tc>
          <w:tcPr>
            <w:tcW w:type="dxa" w:w="3312"/>
            <w:tcMar>
              <w:top w:w="80" w:type="dxa"/>
              <w:start w:w="100" w:type="dxa"/>
              <w:bottom w:w="80" w:type="dxa"/>
              <w:end w:w="100" w:type="dxa"/>
            </w:tcMar>
            <w:vAlign w:val="center"/>
          </w:tcPr>
          <w:p>
            <w:r>
              <w:rPr>
                <w:sz w:val="16"/>
              </w:rPr>
              <w:t>Run state, workflows, approval state.</w:t>
            </w:r>
          </w:p>
        </w:tc>
      </w:tr>
      <w:tr>
        <w:tc>
          <w:tcPr>
            <w:tcW w:type="dxa" w:w="3312"/>
            <w:tcMar>
              <w:top w:w="80" w:type="dxa"/>
              <w:start w:w="100" w:type="dxa"/>
              <w:bottom w:w="80" w:type="dxa"/>
              <w:end w:w="100" w:type="dxa"/>
            </w:tcMar>
            <w:vAlign w:val="center"/>
            <w:shd w:fill="EAF2F8"/>
          </w:tcPr>
          <w:p>
            <w:r>
              <w:rPr>
                <w:b/>
                <w:color w:val="1F4E79"/>
                <w:sz w:val="16"/>
              </w:rPr>
              <w:t>Execution</w:t>
            </w:r>
          </w:p>
        </w:tc>
        <w:tc>
          <w:tcPr>
            <w:tcW w:type="dxa" w:w="3312"/>
            <w:tcMar>
              <w:top w:w="80" w:type="dxa"/>
              <w:start w:w="100" w:type="dxa"/>
              <w:bottom w:w="80" w:type="dxa"/>
              <w:end w:w="100" w:type="dxa"/>
            </w:tcMar>
            <w:vAlign w:val="center"/>
          </w:tcPr>
          <w:p>
            <w:r>
              <w:rPr>
                <w:sz w:val="16"/>
              </w:rPr>
              <w:t>Swarm orchestration, runtime manager, sandbox, tool broker, result aggregation.</w:t>
            </w:r>
          </w:p>
        </w:tc>
        <w:tc>
          <w:tcPr>
            <w:tcW w:type="dxa" w:w="3312"/>
            <w:tcMar>
              <w:top w:w="80" w:type="dxa"/>
              <w:start w:w="100" w:type="dxa"/>
              <w:bottom w:w="80" w:type="dxa"/>
              <w:end w:w="100" w:type="dxa"/>
            </w:tcMar>
            <w:vAlign w:val="center"/>
          </w:tcPr>
          <w:p>
            <w:r>
              <w:rPr>
                <w:sz w:val="16"/>
              </w:rPr>
              <w:t>Task queues, worker lifecycle, secure execution.</w:t>
            </w:r>
          </w:p>
        </w:tc>
      </w:tr>
      <w:tr>
        <w:tc>
          <w:tcPr>
            <w:tcW w:type="dxa" w:w="3312"/>
            <w:tcMar>
              <w:top w:w="80" w:type="dxa"/>
              <w:start w:w="100" w:type="dxa"/>
              <w:bottom w:w="80" w:type="dxa"/>
              <w:end w:w="100" w:type="dxa"/>
            </w:tcMar>
            <w:vAlign w:val="center"/>
            <w:shd w:fill="EAF2F8"/>
          </w:tcPr>
          <w:p>
            <w:r>
              <w:rPr>
                <w:b/>
                <w:color w:val="1F4E79"/>
                <w:sz w:val="16"/>
              </w:rPr>
              <w:t>Knowledge</w:t>
            </w:r>
          </w:p>
        </w:tc>
        <w:tc>
          <w:tcPr>
            <w:tcW w:type="dxa" w:w="3312"/>
            <w:tcMar>
              <w:top w:w="80" w:type="dxa"/>
              <w:start w:w="100" w:type="dxa"/>
              <w:bottom w:w="80" w:type="dxa"/>
              <w:end w:w="100" w:type="dxa"/>
            </w:tcMar>
            <w:vAlign w:val="center"/>
          </w:tcPr>
          <w:p>
            <w:r>
              <w:rPr>
                <w:sz w:val="16"/>
              </w:rPr>
              <w:t>Retrieval, episodic memory, artifact catalog, vector search, source management.</w:t>
            </w:r>
          </w:p>
        </w:tc>
        <w:tc>
          <w:tcPr>
            <w:tcW w:type="dxa" w:w="3312"/>
            <w:tcMar>
              <w:top w:w="80" w:type="dxa"/>
              <w:start w:w="100" w:type="dxa"/>
              <w:bottom w:w="80" w:type="dxa"/>
              <w:end w:w="100" w:type="dxa"/>
            </w:tcMar>
            <w:vAlign w:val="center"/>
          </w:tcPr>
          <w:p>
            <w:r>
              <w:rPr>
                <w:sz w:val="16"/>
              </w:rPr>
              <w:t>Documents, embeddings, episodes, artifacts.</w:t>
            </w:r>
          </w:p>
        </w:tc>
      </w:tr>
      <w:tr>
        <w:tc>
          <w:tcPr>
            <w:tcW w:type="dxa" w:w="3312"/>
            <w:tcMar>
              <w:top w:w="80" w:type="dxa"/>
              <w:start w:w="100" w:type="dxa"/>
              <w:bottom w:w="80" w:type="dxa"/>
              <w:end w:w="100" w:type="dxa"/>
            </w:tcMar>
            <w:vAlign w:val="center"/>
            <w:shd w:fill="EAF2F8"/>
          </w:tcPr>
          <w:p>
            <w:r>
              <w:rPr>
                <w:b/>
                <w:color w:val="1F4E79"/>
                <w:sz w:val="16"/>
              </w:rPr>
              <w:t>Trust</w:t>
            </w:r>
          </w:p>
        </w:tc>
        <w:tc>
          <w:tcPr>
            <w:tcW w:type="dxa" w:w="3312"/>
            <w:tcMar>
              <w:top w:w="80" w:type="dxa"/>
              <w:start w:w="100" w:type="dxa"/>
              <w:bottom w:w="80" w:type="dxa"/>
              <w:end w:w="100" w:type="dxa"/>
            </w:tcMar>
            <w:vAlign w:val="center"/>
          </w:tcPr>
          <w:p>
            <w:r>
              <w:rPr>
                <w:sz w:val="16"/>
              </w:rPr>
              <w:t>Identity registry, token service, policy store, audit ledger, artifact signing.</w:t>
            </w:r>
          </w:p>
        </w:tc>
        <w:tc>
          <w:tcPr>
            <w:tcW w:type="dxa" w:w="3312"/>
            <w:tcMar>
              <w:top w:w="80" w:type="dxa"/>
              <w:start w:w="100" w:type="dxa"/>
              <w:bottom w:w="80" w:type="dxa"/>
              <w:end w:w="100" w:type="dxa"/>
            </w:tcMar>
            <w:vAlign w:val="center"/>
          </w:tcPr>
          <w:p>
            <w:r>
              <w:rPr>
                <w:sz w:val="16"/>
              </w:rPr>
              <w:t>Identity records, signed artifacts, append-only audit evidence.</w:t>
            </w:r>
          </w:p>
        </w:tc>
      </w:tr>
      <w:tr>
        <w:tc>
          <w:tcPr>
            <w:tcW w:type="dxa" w:w="3312"/>
            <w:tcMar>
              <w:top w:w="80" w:type="dxa"/>
              <w:start w:w="100" w:type="dxa"/>
              <w:bottom w:w="80" w:type="dxa"/>
              <w:end w:w="100" w:type="dxa"/>
            </w:tcMar>
            <w:vAlign w:val="center"/>
            <w:shd w:fill="EAF2F8"/>
          </w:tcPr>
          <w:p>
            <w:r>
              <w:rPr>
                <w:b/>
                <w:color w:val="1F4E79"/>
                <w:sz w:val="16"/>
              </w:rPr>
              <w:t>Improvement</w:t>
            </w:r>
          </w:p>
        </w:tc>
        <w:tc>
          <w:tcPr>
            <w:tcW w:type="dxa" w:w="3312"/>
            <w:tcMar>
              <w:top w:w="80" w:type="dxa"/>
              <w:start w:w="100" w:type="dxa"/>
              <w:bottom w:w="80" w:type="dxa"/>
              <w:end w:w="100" w:type="dxa"/>
            </w:tcMar>
            <w:vAlign w:val="center"/>
          </w:tcPr>
          <w:p>
            <w:r>
              <w:rPr>
                <w:sz w:val="16"/>
              </w:rPr>
              <w:t>Evaluation, replay, simulation, experimentation, meta-learning support.</w:t>
            </w:r>
          </w:p>
        </w:tc>
        <w:tc>
          <w:tcPr>
            <w:tcW w:type="dxa" w:w="3312"/>
            <w:tcMar>
              <w:top w:w="80" w:type="dxa"/>
              <w:start w:w="100" w:type="dxa"/>
              <w:bottom w:w="80" w:type="dxa"/>
              <w:end w:w="100" w:type="dxa"/>
            </w:tcMar>
            <w:vAlign w:val="center"/>
          </w:tcPr>
          <w:p>
            <w:r>
              <w:rPr>
                <w:sz w:val="16"/>
              </w:rPr>
              <w:t>Benchmarks, scenario packs, evaluation reports.</w:t>
            </w:r>
          </w:p>
        </w:tc>
      </w:tr>
      <w:tr>
        <w:tc>
          <w:tcPr>
            <w:tcW w:type="dxa" w:w="3312"/>
            <w:tcMar>
              <w:top w:w="80" w:type="dxa"/>
              <w:start w:w="100" w:type="dxa"/>
              <w:bottom w:w="80" w:type="dxa"/>
              <w:end w:w="100" w:type="dxa"/>
            </w:tcMar>
            <w:vAlign w:val="center"/>
            <w:shd w:fill="EAF2F8"/>
          </w:tcPr>
          <w:p>
            <w:r>
              <w:rPr>
                <w:b/>
                <w:color w:val="1F4E79"/>
                <w:sz w:val="16"/>
              </w:rPr>
              <w:t>Operations</w:t>
            </w:r>
          </w:p>
        </w:tc>
        <w:tc>
          <w:tcPr>
            <w:tcW w:type="dxa" w:w="3312"/>
            <w:tcMar>
              <w:top w:w="80" w:type="dxa"/>
              <w:start w:w="100" w:type="dxa"/>
              <w:bottom w:w="80" w:type="dxa"/>
              <w:end w:w="100" w:type="dxa"/>
            </w:tcMar>
            <w:vAlign w:val="center"/>
          </w:tcPr>
          <w:p>
            <w:r>
              <w:rPr>
                <w:sz w:val="16"/>
              </w:rPr>
              <w:t>Metrics, logs, traces, alerts, dashboards, portfolio analytics.</w:t>
            </w:r>
          </w:p>
        </w:tc>
        <w:tc>
          <w:tcPr>
            <w:tcW w:type="dxa" w:w="3312"/>
            <w:tcMar>
              <w:top w:w="80" w:type="dxa"/>
              <w:start w:w="100" w:type="dxa"/>
              <w:bottom w:w="80" w:type="dxa"/>
              <w:end w:w="100" w:type="dxa"/>
            </w:tcMar>
            <w:vAlign w:val="center"/>
          </w:tcPr>
          <w:p>
            <w:r>
              <w:rPr>
                <w:sz w:val="16"/>
              </w:rPr>
              <w:t>Telemetry pipelines and SLO reporting.</w:t>
            </w:r>
          </w:p>
        </w:tc>
      </w:tr>
    </w:tbl>
    <w:p/>
    <w:p>
      <w:pPr>
        <w:pStyle w:val="HeadingBlue"/>
      </w:pPr>
      <w:r>
        <w:t>5. Functional requirements</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080"/>
        <w:gridCol w:w="1944"/>
        <w:gridCol w:w="1008"/>
        <w:gridCol w:w="3528"/>
        <w:gridCol w:w="2448"/>
      </w:tblGrid>
      <w:tr>
        <w:trPr>
          <w:tblHeader w:val="true"/>
        </w:trPr>
        <w:tc>
          <w:tcPr>
            <w:tcW w:type="dxa" w:w="1987"/>
            <w:shd w:fill="1F4E79"/>
            <w:tcMar>
              <w:top w:w="80" w:type="dxa"/>
              <w:start w:w="100" w:type="dxa"/>
              <w:bottom w:w="80" w:type="dxa"/>
              <w:end w:w="100" w:type="dxa"/>
            </w:tcMar>
          </w:tcPr>
          <w:p>
            <w:pPr>
              <w:jc w:val="center"/>
            </w:pPr>
            <w:r>
              <w:rPr>
                <w:b/>
                <w:color w:val="FFFFFF"/>
                <w:sz w:val="17"/>
              </w:rPr>
              <w:t>ID</w:t>
            </w:r>
          </w:p>
        </w:tc>
        <w:tc>
          <w:tcPr>
            <w:tcW w:type="dxa" w:w="1987"/>
            <w:shd w:fill="1F4E79"/>
            <w:tcMar>
              <w:top w:w="80" w:type="dxa"/>
              <w:start w:w="100" w:type="dxa"/>
              <w:bottom w:w="80" w:type="dxa"/>
              <w:end w:w="100" w:type="dxa"/>
            </w:tcMar>
          </w:tcPr>
          <w:p>
            <w:pPr>
              <w:jc w:val="center"/>
            </w:pPr>
            <w:r>
              <w:rPr>
                <w:b/>
                <w:color w:val="FFFFFF"/>
                <w:sz w:val="17"/>
              </w:rPr>
              <w:t>Requirement</w:t>
            </w:r>
          </w:p>
        </w:tc>
        <w:tc>
          <w:tcPr>
            <w:tcW w:type="dxa" w:w="1987"/>
            <w:shd w:fill="1F4E79"/>
            <w:tcMar>
              <w:top w:w="80" w:type="dxa"/>
              <w:start w:w="100" w:type="dxa"/>
              <w:bottom w:w="80" w:type="dxa"/>
              <w:end w:w="100" w:type="dxa"/>
            </w:tcMar>
          </w:tcPr>
          <w:p>
            <w:pPr>
              <w:jc w:val="center"/>
            </w:pPr>
            <w:r>
              <w:rPr>
                <w:b/>
                <w:color w:val="FFFFFF"/>
                <w:sz w:val="17"/>
              </w:rPr>
              <w:t>Priority</w:t>
            </w:r>
          </w:p>
        </w:tc>
        <w:tc>
          <w:tcPr>
            <w:tcW w:type="dxa" w:w="1987"/>
            <w:shd w:fill="1F4E79"/>
            <w:tcMar>
              <w:top w:w="80" w:type="dxa"/>
              <w:start w:w="100" w:type="dxa"/>
              <w:bottom w:w="80" w:type="dxa"/>
              <w:end w:w="100" w:type="dxa"/>
            </w:tcMar>
          </w:tcPr>
          <w:p>
            <w:pPr>
              <w:jc w:val="center"/>
            </w:pPr>
            <w:r>
              <w:rPr>
                <w:b/>
                <w:color w:val="FFFFFF"/>
                <w:sz w:val="17"/>
              </w:rPr>
              <w:t>Description</w:t>
            </w:r>
          </w:p>
        </w:tc>
        <w:tc>
          <w:tcPr>
            <w:tcW w:type="dxa" w:w="1987"/>
            <w:shd w:fill="1F4E79"/>
            <w:tcMar>
              <w:top w:w="80" w:type="dxa"/>
              <w:start w:w="100" w:type="dxa"/>
              <w:bottom w:w="80" w:type="dxa"/>
              <w:end w:w="100" w:type="dxa"/>
            </w:tcMar>
          </w:tcPr>
          <w:p>
            <w:pPr>
              <w:jc w:val="center"/>
            </w:pPr>
            <w:r>
              <w:rPr>
                <w:b/>
                <w:color w:val="FFFFFF"/>
                <w:sz w:val="17"/>
              </w:rPr>
              <w:t>Acceptance criteria</w:t>
            </w:r>
          </w:p>
        </w:tc>
      </w:tr>
      <w:tr>
        <w:tc>
          <w:tcPr>
            <w:tcW w:type="dxa" w:w="1987"/>
            <w:tcMar>
              <w:top w:w="80" w:type="dxa"/>
              <w:start w:w="100" w:type="dxa"/>
              <w:bottom w:w="80" w:type="dxa"/>
              <w:end w:w="100" w:type="dxa"/>
            </w:tcMar>
            <w:vAlign w:val="center"/>
            <w:shd w:fill="EAF2F8"/>
          </w:tcPr>
          <w:p>
            <w:r>
              <w:rPr>
                <w:b/>
                <w:color w:val="1F4E79"/>
                <w:sz w:val="16"/>
              </w:rPr>
              <w:t>FR-001</w:t>
            </w:r>
          </w:p>
        </w:tc>
        <w:tc>
          <w:tcPr>
            <w:tcW w:type="dxa" w:w="1987"/>
            <w:tcMar>
              <w:top w:w="80" w:type="dxa"/>
              <w:start w:w="100" w:type="dxa"/>
              <w:bottom w:w="80" w:type="dxa"/>
              <w:end w:w="100" w:type="dxa"/>
            </w:tcMar>
            <w:vAlign w:val="center"/>
          </w:tcPr>
          <w:p>
            <w:r>
              <w:rPr>
                <w:sz w:val="16"/>
              </w:rPr>
              <w:t>Requirement intake</w:t>
            </w:r>
          </w:p>
        </w:tc>
        <w:tc>
          <w:tcPr>
            <w:tcW w:type="dxa" w:w="1987"/>
            <w:tcMar>
              <w:top w:w="80" w:type="dxa"/>
              <w:start w:w="100" w:type="dxa"/>
              <w:bottom w:w="80" w:type="dxa"/>
              <w:end w:w="100" w:type="dxa"/>
            </w:tcMar>
            <w:vAlign w:val="center"/>
          </w:tcPr>
          <w:p>
            <w:r>
              <w:rPr>
                <w:sz w:val="16"/>
              </w:rPr>
              <w:t>Must</w:t>
            </w:r>
          </w:p>
        </w:tc>
        <w:tc>
          <w:tcPr>
            <w:tcW w:type="dxa" w:w="1987"/>
            <w:tcMar>
              <w:top w:w="80" w:type="dxa"/>
              <w:start w:w="100" w:type="dxa"/>
              <w:bottom w:w="80" w:type="dxa"/>
              <w:end w:w="100" w:type="dxa"/>
            </w:tcMar>
            <w:vAlign w:val="center"/>
          </w:tcPr>
          <w:p>
            <w:r>
              <w:rPr>
                <w:sz w:val="16"/>
              </w:rPr>
              <w:t>The system shall capture a goal, constraints, success criteria, domain, risk profile, and required integrations through API and UI flows.</w:t>
            </w:r>
          </w:p>
        </w:tc>
        <w:tc>
          <w:tcPr>
            <w:tcW w:type="dxa" w:w="1987"/>
            <w:tcMar>
              <w:top w:w="80" w:type="dxa"/>
              <w:start w:w="100" w:type="dxa"/>
              <w:bottom w:w="80" w:type="dxa"/>
              <w:end w:w="100" w:type="dxa"/>
            </w:tcMar>
            <w:vAlign w:val="center"/>
          </w:tcPr>
          <w:p>
            <w:r>
              <w:rPr>
                <w:sz w:val="16"/>
              </w:rPr>
              <w:t>A run cannot start without a validated RunSpec containing mandatory fields and tenant context.</w:t>
            </w:r>
          </w:p>
        </w:tc>
      </w:tr>
      <w:tr>
        <w:tc>
          <w:tcPr>
            <w:tcW w:type="dxa" w:w="1987"/>
            <w:tcMar>
              <w:top w:w="80" w:type="dxa"/>
              <w:start w:w="100" w:type="dxa"/>
              <w:bottom w:w="80" w:type="dxa"/>
              <w:end w:w="100" w:type="dxa"/>
            </w:tcMar>
            <w:vAlign w:val="center"/>
            <w:shd w:fill="EAF2F8"/>
          </w:tcPr>
          <w:p>
            <w:r>
              <w:rPr>
                <w:b/>
                <w:color w:val="1F4E79"/>
                <w:sz w:val="16"/>
              </w:rPr>
              <w:t>FR-002</w:t>
            </w:r>
          </w:p>
        </w:tc>
        <w:tc>
          <w:tcPr>
            <w:tcW w:type="dxa" w:w="1987"/>
            <w:tcMar>
              <w:top w:w="80" w:type="dxa"/>
              <w:start w:w="100" w:type="dxa"/>
              <w:bottom w:w="80" w:type="dxa"/>
              <w:end w:w="100" w:type="dxa"/>
            </w:tcMar>
            <w:vAlign w:val="center"/>
          </w:tcPr>
          <w:p>
            <w:r>
              <w:rPr>
                <w:sz w:val="16"/>
              </w:rPr>
              <w:t>Research and grounding</w:t>
            </w:r>
          </w:p>
        </w:tc>
        <w:tc>
          <w:tcPr>
            <w:tcW w:type="dxa" w:w="1987"/>
            <w:tcMar>
              <w:top w:w="80" w:type="dxa"/>
              <w:start w:w="100" w:type="dxa"/>
              <w:bottom w:w="80" w:type="dxa"/>
              <w:end w:w="100" w:type="dxa"/>
            </w:tcMar>
            <w:vAlign w:val="center"/>
          </w:tcPr>
          <w:p>
            <w:r>
              <w:rPr>
                <w:sz w:val="16"/>
              </w:rPr>
              <w:t>Must</w:t>
            </w:r>
          </w:p>
        </w:tc>
        <w:tc>
          <w:tcPr>
            <w:tcW w:type="dxa" w:w="1987"/>
            <w:tcMar>
              <w:top w:w="80" w:type="dxa"/>
              <w:start w:w="100" w:type="dxa"/>
              <w:bottom w:w="80" w:type="dxa"/>
              <w:end w:w="100" w:type="dxa"/>
            </w:tcMar>
            <w:vAlign w:val="center"/>
          </w:tcPr>
          <w:p>
            <w:r>
              <w:rPr>
                <w:sz w:val="16"/>
              </w:rPr>
              <w:t>The system shall retrieve and organize domain evidence, references, templates, and past artifacts relevant to the requested agent.</w:t>
            </w:r>
          </w:p>
        </w:tc>
        <w:tc>
          <w:tcPr>
            <w:tcW w:type="dxa" w:w="1987"/>
            <w:tcMar>
              <w:top w:w="80" w:type="dxa"/>
              <w:start w:w="100" w:type="dxa"/>
              <w:bottom w:w="80" w:type="dxa"/>
              <w:end w:w="100" w:type="dxa"/>
            </w:tcMar>
            <w:vAlign w:val="center"/>
          </w:tcPr>
          <w:p>
            <w:r>
              <w:rPr>
                <w:sz w:val="16"/>
              </w:rPr>
              <w:t>For each generated candidate, the system stores the retrieval evidence used and exposes it for review.</w:t>
            </w:r>
          </w:p>
        </w:tc>
      </w:tr>
      <w:tr>
        <w:tc>
          <w:tcPr>
            <w:tcW w:type="dxa" w:w="1987"/>
            <w:tcMar>
              <w:top w:w="80" w:type="dxa"/>
              <w:start w:w="100" w:type="dxa"/>
              <w:bottom w:w="80" w:type="dxa"/>
              <w:end w:w="100" w:type="dxa"/>
            </w:tcMar>
            <w:vAlign w:val="center"/>
            <w:shd w:fill="EAF2F8"/>
          </w:tcPr>
          <w:p>
            <w:r>
              <w:rPr>
                <w:b/>
                <w:color w:val="1F4E79"/>
                <w:sz w:val="16"/>
              </w:rPr>
              <w:t>FR-003</w:t>
            </w:r>
          </w:p>
        </w:tc>
        <w:tc>
          <w:tcPr>
            <w:tcW w:type="dxa" w:w="1987"/>
            <w:tcMar>
              <w:top w:w="80" w:type="dxa"/>
              <w:start w:w="100" w:type="dxa"/>
              <w:bottom w:w="80" w:type="dxa"/>
              <w:end w:w="100" w:type="dxa"/>
            </w:tcMar>
            <w:vAlign w:val="center"/>
          </w:tcPr>
          <w:p>
            <w:r>
              <w:rPr>
                <w:sz w:val="16"/>
              </w:rPr>
              <w:t>Planning and orchestration</w:t>
            </w:r>
          </w:p>
        </w:tc>
        <w:tc>
          <w:tcPr>
            <w:tcW w:type="dxa" w:w="1987"/>
            <w:tcMar>
              <w:top w:w="80" w:type="dxa"/>
              <w:start w:w="100" w:type="dxa"/>
              <w:bottom w:w="80" w:type="dxa"/>
              <w:end w:w="100" w:type="dxa"/>
            </w:tcMar>
            <w:vAlign w:val="center"/>
          </w:tcPr>
          <w:p>
            <w:r>
              <w:rPr>
                <w:sz w:val="16"/>
              </w:rPr>
              <w:t>Must</w:t>
            </w:r>
          </w:p>
        </w:tc>
        <w:tc>
          <w:tcPr>
            <w:tcW w:type="dxa" w:w="1987"/>
            <w:tcMar>
              <w:top w:w="80" w:type="dxa"/>
              <w:start w:w="100" w:type="dxa"/>
              <w:bottom w:w="80" w:type="dxa"/>
              <w:end w:w="100" w:type="dxa"/>
            </w:tcMar>
            <w:vAlign w:val="center"/>
          </w:tcPr>
          <w:p>
            <w:r>
              <w:rPr>
                <w:sz w:val="16"/>
              </w:rPr>
              <w:t>The platform shall compile a request into a task DAG and execute it with dependency awareness, budgets, retries, and timeouts.</w:t>
            </w:r>
          </w:p>
        </w:tc>
        <w:tc>
          <w:tcPr>
            <w:tcW w:type="dxa" w:w="1987"/>
            <w:tcMar>
              <w:top w:w="80" w:type="dxa"/>
              <w:start w:w="100" w:type="dxa"/>
              <w:bottom w:w="80" w:type="dxa"/>
              <w:end w:w="100" w:type="dxa"/>
            </w:tcMar>
            <w:vAlign w:val="center"/>
          </w:tcPr>
          <w:p>
            <w:r>
              <w:rPr>
                <w:sz w:val="16"/>
              </w:rPr>
              <w:t>Each run exposes plan state, task state, retry history, and terminal outcome.</w:t>
            </w:r>
          </w:p>
        </w:tc>
      </w:tr>
      <w:tr>
        <w:tc>
          <w:tcPr>
            <w:tcW w:type="dxa" w:w="1987"/>
            <w:tcMar>
              <w:top w:w="80" w:type="dxa"/>
              <w:start w:w="100" w:type="dxa"/>
              <w:bottom w:w="80" w:type="dxa"/>
              <w:end w:w="100" w:type="dxa"/>
            </w:tcMar>
            <w:vAlign w:val="center"/>
            <w:shd w:fill="EAF2F8"/>
          </w:tcPr>
          <w:p>
            <w:r>
              <w:rPr>
                <w:b/>
                <w:color w:val="1F4E79"/>
                <w:sz w:val="16"/>
              </w:rPr>
              <w:t>FR-004</w:t>
            </w:r>
          </w:p>
        </w:tc>
        <w:tc>
          <w:tcPr>
            <w:tcW w:type="dxa" w:w="1987"/>
            <w:tcMar>
              <w:top w:w="80" w:type="dxa"/>
              <w:start w:w="100" w:type="dxa"/>
              <w:bottom w:w="80" w:type="dxa"/>
              <w:end w:w="100" w:type="dxa"/>
            </w:tcMar>
            <w:vAlign w:val="center"/>
          </w:tcPr>
          <w:p>
            <w:r>
              <w:rPr>
                <w:sz w:val="16"/>
              </w:rPr>
              <w:t>Architecture generation</w:t>
            </w:r>
          </w:p>
        </w:tc>
        <w:tc>
          <w:tcPr>
            <w:tcW w:type="dxa" w:w="1987"/>
            <w:tcMar>
              <w:top w:w="80" w:type="dxa"/>
              <w:start w:w="100" w:type="dxa"/>
              <w:bottom w:w="80" w:type="dxa"/>
              <w:end w:w="100" w:type="dxa"/>
            </w:tcMar>
            <w:vAlign w:val="center"/>
          </w:tcPr>
          <w:p>
            <w:r>
              <w:rPr>
                <w:sz w:val="16"/>
              </w:rPr>
              <w:t>Must</w:t>
            </w:r>
          </w:p>
        </w:tc>
        <w:tc>
          <w:tcPr>
            <w:tcW w:type="dxa" w:w="1987"/>
            <w:tcMar>
              <w:top w:w="80" w:type="dxa"/>
              <w:start w:w="100" w:type="dxa"/>
              <w:bottom w:w="80" w:type="dxa"/>
              <w:end w:w="100" w:type="dxa"/>
            </w:tcMar>
            <w:vAlign w:val="center"/>
          </w:tcPr>
          <w:p>
            <w:r>
              <w:rPr>
                <w:sz w:val="16"/>
              </w:rPr>
              <w:t>The system shall generate one or more candidate agent architectures including reasoning style, tools, workflows, memory, and evaluation plan.</w:t>
            </w:r>
          </w:p>
        </w:tc>
        <w:tc>
          <w:tcPr>
            <w:tcW w:type="dxa" w:w="1987"/>
            <w:tcMar>
              <w:top w:w="80" w:type="dxa"/>
              <w:start w:w="100" w:type="dxa"/>
              <w:bottom w:w="80" w:type="dxa"/>
              <w:end w:w="100" w:type="dxa"/>
            </w:tcMar>
            <w:vAlign w:val="center"/>
          </w:tcPr>
          <w:p>
            <w:r>
              <w:rPr>
                <w:sz w:val="16"/>
              </w:rPr>
              <w:t>The user can view at least one recommended architecture and compare it to alternatives.</w:t>
            </w:r>
          </w:p>
        </w:tc>
      </w:tr>
      <w:tr>
        <w:tc>
          <w:tcPr>
            <w:tcW w:type="dxa" w:w="1987"/>
            <w:tcMar>
              <w:top w:w="80" w:type="dxa"/>
              <w:start w:w="100" w:type="dxa"/>
              <w:bottom w:w="80" w:type="dxa"/>
              <w:end w:w="100" w:type="dxa"/>
            </w:tcMar>
            <w:vAlign w:val="center"/>
            <w:shd w:fill="EAF2F8"/>
          </w:tcPr>
          <w:p>
            <w:r>
              <w:rPr>
                <w:b/>
                <w:color w:val="1F4E79"/>
                <w:sz w:val="16"/>
              </w:rPr>
              <w:t>FR-005</w:t>
            </w:r>
          </w:p>
        </w:tc>
        <w:tc>
          <w:tcPr>
            <w:tcW w:type="dxa" w:w="1987"/>
            <w:tcMar>
              <w:top w:w="80" w:type="dxa"/>
              <w:start w:w="100" w:type="dxa"/>
              <w:bottom w:w="80" w:type="dxa"/>
              <w:end w:w="100" w:type="dxa"/>
            </w:tcMar>
            <w:vAlign w:val="center"/>
          </w:tcPr>
          <w:p>
            <w:r>
              <w:rPr>
                <w:sz w:val="16"/>
              </w:rPr>
              <w:t>Critique and selection</w:t>
            </w:r>
          </w:p>
        </w:tc>
        <w:tc>
          <w:tcPr>
            <w:tcW w:type="dxa" w:w="1987"/>
            <w:tcMar>
              <w:top w:w="80" w:type="dxa"/>
              <w:start w:w="100" w:type="dxa"/>
              <w:bottom w:w="80" w:type="dxa"/>
              <w:end w:w="100" w:type="dxa"/>
            </w:tcMar>
            <w:vAlign w:val="center"/>
          </w:tcPr>
          <w:p>
            <w:r>
              <w:rPr>
                <w:sz w:val="16"/>
              </w:rPr>
              <w:t>Should</w:t>
            </w:r>
          </w:p>
        </w:tc>
        <w:tc>
          <w:tcPr>
            <w:tcW w:type="dxa" w:w="1987"/>
            <w:tcMar>
              <w:top w:w="80" w:type="dxa"/>
              <w:start w:w="100" w:type="dxa"/>
              <w:bottom w:w="80" w:type="dxa"/>
              <w:end w:w="100" w:type="dxa"/>
            </w:tcMar>
            <w:vAlign w:val="center"/>
          </w:tcPr>
          <w:p>
            <w:r>
              <w:rPr>
                <w:sz w:val="16"/>
              </w:rPr>
              <w:t>The platform shall support multi-agent critique or structured review of architecture candidates before selection.</w:t>
            </w:r>
          </w:p>
        </w:tc>
        <w:tc>
          <w:tcPr>
            <w:tcW w:type="dxa" w:w="1987"/>
            <w:tcMar>
              <w:top w:w="80" w:type="dxa"/>
              <w:start w:w="100" w:type="dxa"/>
              <w:bottom w:w="80" w:type="dxa"/>
              <w:end w:w="100" w:type="dxa"/>
            </w:tcMar>
            <w:vAlign w:val="center"/>
          </w:tcPr>
          <w:p>
            <w:r>
              <w:rPr>
                <w:sz w:val="16"/>
              </w:rPr>
              <w:t>A candidate decision packet shows critiques, revisions, and final rationale.</w:t>
            </w:r>
          </w:p>
        </w:tc>
      </w:tr>
      <w:tr>
        <w:tc>
          <w:tcPr>
            <w:tcW w:type="dxa" w:w="1987"/>
            <w:tcMar>
              <w:top w:w="80" w:type="dxa"/>
              <w:start w:w="100" w:type="dxa"/>
              <w:bottom w:w="80" w:type="dxa"/>
              <w:end w:w="100" w:type="dxa"/>
            </w:tcMar>
            <w:vAlign w:val="center"/>
            <w:shd w:fill="EAF2F8"/>
          </w:tcPr>
          <w:p>
            <w:r>
              <w:rPr>
                <w:b/>
                <w:color w:val="1F4E79"/>
                <w:sz w:val="16"/>
              </w:rPr>
              <w:t>FR-006</w:t>
            </w:r>
          </w:p>
        </w:tc>
        <w:tc>
          <w:tcPr>
            <w:tcW w:type="dxa" w:w="1987"/>
            <w:tcMar>
              <w:top w:w="80" w:type="dxa"/>
              <w:start w:w="100" w:type="dxa"/>
              <w:bottom w:w="80" w:type="dxa"/>
              <w:end w:w="100" w:type="dxa"/>
            </w:tcMar>
            <w:vAlign w:val="center"/>
          </w:tcPr>
          <w:p>
            <w:r>
              <w:rPr>
                <w:sz w:val="16"/>
              </w:rPr>
              <w:t>Tool and memory configuration</w:t>
            </w:r>
          </w:p>
        </w:tc>
        <w:tc>
          <w:tcPr>
            <w:tcW w:type="dxa" w:w="1987"/>
            <w:tcMar>
              <w:top w:w="80" w:type="dxa"/>
              <w:start w:w="100" w:type="dxa"/>
              <w:bottom w:w="80" w:type="dxa"/>
              <w:end w:w="100" w:type="dxa"/>
            </w:tcMar>
            <w:vAlign w:val="center"/>
          </w:tcPr>
          <w:p>
            <w:r>
              <w:rPr>
                <w:sz w:val="16"/>
              </w:rPr>
              <w:t>Must</w:t>
            </w:r>
          </w:p>
        </w:tc>
        <w:tc>
          <w:tcPr>
            <w:tcW w:type="dxa" w:w="1987"/>
            <w:tcMar>
              <w:top w:w="80" w:type="dxa"/>
              <w:start w:w="100" w:type="dxa"/>
              <w:bottom w:w="80" w:type="dxa"/>
              <w:end w:w="100" w:type="dxa"/>
            </w:tcMar>
            <w:vAlign w:val="center"/>
          </w:tcPr>
          <w:p>
            <w:r>
              <w:rPr>
                <w:sz w:val="16"/>
              </w:rPr>
              <w:t>The system shall define allowed tools, permissions, memory policy, and retrieval configuration per agent version.</w:t>
            </w:r>
          </w:p>
        </w:tc>
        <w:tc>
          <w:tcPr>
            <w:tcW w:type="dxa" w:w="1987"/>
            <w:tcMar>
              <w:top w:w="80" w:type="dxa"/>
              <w:start w:w="100" w:type="dxa"/>
              <w:bottom w:w="80" w:type="dxa"/>
              <w:end w:w="100" w:type="dxa"/>
            </w:tcMar>
            <w:vAlign w:val="center"/>
          </w:tcPr>
          <w:p>
            <w:r>
              <w:rPr>
                <w:sz w:val="16"/>
              </w:rPr>
              <w:t>Each agent version has a machine-readable tool manifest and memory policy bundle.</w:t>
            </w:r>
          </w:p>
        </w:tc>
      </w:tr>
      <w:tr>
        <w:tc>
          <w:tcPr>
            <w:tcW w:type="dxa" w:w="1987"/>
            <w:tcMar>
              <w:top w:w="80" w:type="dxa"/>
              <w:start w:w="100" w:type="dxa"/>
              <w:bottom w:w="80" w:type="dxa"/>
              <w:end w:w="100" w:type="dxa"/>
            </w:tcMar>
            <w:vAlign w:val="center"/>
            <w:shd w:fill="EAF2F8"/>
          </w:tcPr>
          <w:p>
            <w:r>
              <w:rPr>
                <w:b/>
                <w:color w:val="1F4E79"/>
                <w:sz w:val="16"/>
              </w:rPr>
              <w:t>FR-007</w:t>
            </w:r>
          </w:p>
        </w:tc>
        <w:tc>
          <w:tcPr>
            <w:tcW w:type="dxa" w:w="1987"/>
            <w:tcMar>
              <w:top w:w="80" w:type="dxa"/>
              <w:start w:w="100" w:type="dxa"/>
              <w:bottom w:w="80" w:type="dxa"/>
              <w:end w:w="100" w:type="dxa"/>
            </w:tcMar>
            <w:vAlign w:val="center"/>
          </w:tcPr>
          <w:p>
            <w:r>
              <w:rPr>
                <w:sz w:val="16"/>
              </w:rPr>
              <w:t>Agent package generation</w:t>
            </w:r>
          </w:p>
        </w:tc>
        <w:tc>
          <w:tcPr>
            <w:tcW w:type="dxa" w:w="1987"/>
            <w:tcMar>
              <w:top w:w="80" w:type="dxa"/>
              <w:start w:w="100" w:type="dxa"/>
              <w:bottom w:w="80" w:type="dxa"/>
              <w:end w:w="100" w:type="dxa"/>
            </w:tcMar>
            <w:vAlign w:val="center"/>
          </w:tcPr>
          <w:p>
            <w:r>
              <w:rPr>
                <w:sz w:val="16"/>
              </w:rPr>
              <w:t>Must</w:t>
            </w:r>
          </w:p>
        </w:tc>
        <w:tc>
          <w:tcPr>
            <w:tcW w:type="dxa" w:w="1987"/>
            <w:tcMar>
              <w:top w:w="80" w:type="dxa"/>
              <w:start w:w="100" w:type="dxa"/>
              <w:bottom w:w="80" w:type="dxa"/>
              <w:end w:w="100" w:type="dxa"/>
            </w:tcMar>
            <w:vAlign w:val="center"/>
          </w:tcPr>
          <w:p>
            <w:r>
              <w:rPr>
                <w:sz w:val="16"/>
              </w:rPr>
              <w:t>The platform shall generate a complete versioned package including prompt/config, architecture metadata, tool manifest, workflow manifest, evaluation plan, and deployment metadata.</w:t>
            </w:r>
          </w:p>
        </w:tc>
        <w:tc>
          <w:tcPr>
            <w:tcW w:type="dxa" w:w="1987"/>
            <w:tcMar>
              <w:top w:w="80" w:type="dxa"/>
              <w:start w:w="100" w:type="dxa"/>
              <w:bottom w:w="80" w:type="dxa"/>
              <w:end w:w="100" w:type="dxa"/>
            </w:tcMar>
            <w:vAlign w:val="center"/>
          </w:tcPr>
          <w:p>
            <w:r>
              <w:rPr>
                <w:sz w:val="16"/>
              </w:rPr>
              <w:t>A signed package artifact can be produced for any candidate marked release-eligible.</w:t>
            </w:r>
          </w:p>
        </w:tc>
      </w:tr>
      <w:tr>
        <w:tc>
          <w:tcPr>
            <w:tcW w:type="dxa" w:w="1987"/>
            <w:tcMar>
              <w:top w:w="80" w:type="dxa"/>
              <w:start w:w="100" w:type="dxa"/>
              <w:bottom w:w="80" w:type="dxa"/>
              <w:end w:w="100" w:type="dxa"/>
            </w:tcMar>
            <w:vAlign w:val="center"/>
            <w:shd w:fill="EAF2F8"/>
          </w:tcPr>
          <w:p>
            <w:r>
              <w:rPr>
                <w:b/>
                <w:color w:val="1F4E79"/>
                <w:sz w:val="16"/>
              </w:rPr>
              <w:t>FR-008</w:t>
            </w:r>
          </w:p>
        </w:tc>
        <w:tc>
          <w:tcPr>
            <w:tcW w:type="dxa" w:w="1987"/>
            <w:tcMar>
              <w:top w:w="80" w:type="dxa"/>
              <w:start w:w="100" w:type="dxa"/>
              <w:bottom w:w="80" w:type="dxa"/>
              <w:end w:w="100" w:type="dxa"/>
            </w:tcMar>
            <w:vAlign w:val="center"/>
          </w:tcPr>
          <w:p>
            <w:r>
              <w:rPr>
                <w:sz w:val="16"/>
              </w:rPr>
              <w:t>Evaluation and simulation</w:t>
            </w:r>
          </w:p>
        </w:tc>
        <w:tc>
          <w:tcPr>
            <w:tcW w:type="dxa" w:w="1987"/>
            <w:tcMar>
              <w:top w:w="80" w:type="dxa"/>
              <w:start w:w="100" w:type="dxa"/>
              <w:bottom w:w="80" w:type="dxa"/>
              <w:end w:w="100" w:type="dxa"/>
            </w:tcMar>
            <w:vAlign w:val="center"/>
          </w:tcPr>
          <w:p>
            <w:r>
              <w:rPr>
                <w:sz w:val="16"/>
              </w:rPr>
              <w:t>Must</w:t>
            </w:r>
          </w:p>
        </w:tc>
        <w:tc>
          <w:tcPr>
            <w:tcW w:type="dxa" w:w="1987"/>
            <w:tcMar>
              <w:top w:w="80" w:type="dxa"/>
              <w:start w:w="100" w:type="dxa"/>
              <w:bottom w:w="80" w:type="dxa"/>
              <w:end w:w="100" w:type="dxa"/>
            </w:tcMar>
            <w:vAlign w:val="center"/>
          </w:tcPr>
          <w:p>
            <w:r>
              <w:rPr>
                <w:sz w:val="16"/>
              </w:rPr>
              <w:t>The system shall run benchmark tests, adversarial tests, regression checks, and scenario simulation before release.</w:t>
            </w:r>
          </w:p>
        </w:tc>
        <w:tc>
          <w:tcPr>
            <w:tcW w:type="dxa" w:w="1987"/>
            <w:tcMar>
              <w:top w:w="80" w:type="dxa"/>
              <w:start w:w="100" w:type="dxa"/>
              <w:bottom w:w="80" w:type="dxa"/>
              <w:end w:w="100" w:type="dxa"/>
            </w:tcMar>
            <w:vAlign w:val="center"/>
          </w:tcPr>
          <w:p>
            <w:r>
              <w:rPr>
                <w:sz w:val="16"/>
              </w:rPr>
              <w:t>Each release candidate produces an EvaluationReport with pass/fail recommendation.</w:t>
            </w:r>
          </w:p>
        </w:tc>
      </w:tr>
      <w:tr>
        <w:tc>
          <w:tcPr>
            <w:tcW w:type="dxa" w:w="1987"/>
            <w:tcMar>
              <w:top w:w="80" w:type="dxa"/>
              <w:start w:w="100" w:type="dxa"/>
              <w:bottom w:w="80" w:type="dxa"/>
              <w:end w:w="100" w:type="dxa"/>
            </w:tcMar>
            <w:vAlign w:val="center"/>
            <w:shd w:fill="EAF2F8"/>
          </w:tcPr>
          <w:p>
            <w:r>
              <w:rPr>
                <w:b/>
                <w:color w:val="1F4E79"/>
                <w:sz w:val="16"/>
              </w:rPr>
              <w:t>FR-009</w:t>
            </w:r>
          </w:p>
        </w:tc>
        <w:tc>
          <w:tcPr>
            <w:tcW w:type="dxa" w:w="1987"/>
            <w:tcMar>
              <w:top w:w="80" w:type="dxa"/>
              <w:start w:w="100" w:type="dxa"/>
              <w:bottom w:w="80" w:type="dxa"/>
              <w:end w:w="100" w:type="dxa"/>
            </w:tcMar>
            <w:vAlign w:val="center"/>
          </w:tcPr>
          <w:p>
            <w:r>
              <w:rPr>
                <w:sz w:val="16"/>
              </w:rPr>
              <w:t>Deployment and release control</w:t>
            </w:r>
          </w:p>
        </w:tc>
        <w:tc>
          <w:tcPr>
            <w:tcW w:type="dxa" w:w="1987"/>
            <w:tcMar>
              <w:top w:w="80" w:type="dxa"/>
              <w:start w:w="100" w:type="dxa"/>
              <w:bottom w:w="80" w:type="dxa"/>
              <w:end w:w="100" w:type="dxa"/>
            </w:tcMar>
            <w:vAlign w:val="center"/>
          </w:tcPr>
          <w:p>
            <w:r>
              <w:rPr>
                <w:sz w:val="16"/>
              </w:rPr>
              <w:t>Must</w:t>
            </w:r>
          </w:p>
        </w:tc>
        <w:tc>
          <w:tcPr>
            <w:tcW w:type="dxa" w:w="1987"/>
            <w:tcMar>
              <w:top w:w="80" w:type="dxa"/>
              <w:start w:w="100" w:type="dxa"/>
              <w:bottom w:w="80" w:type="dxa"/>
              <w:end w:w="100" w:type="dxa"/>
            </w:tcMar>
            <w:vAlign w:val="center"/>
          </w:tcPr>
          <w:p>
            <w:r>
              <w:rPr>
                <w:sz w:val="16"/>
              </w:rPr>
              <w:t>The platform shall support staging, canary, production rollout, and rollback with approval gates.</w:t>
            </w:r>
          </w:p>
        </w:tc>
        <w:tc>
          <w:tcPr>
            <w:tcW w:type="dxa" w:w="1987"/>
            <w:tcMar>
              <w:top w:w="80" w:type="dxa"/>
              <w:start w:w="100" w:type="dxa"/>
              <w:bottom w:w="80" w:type="dxa"/>
              <w:end w:w="100" w:type="dxa"/>
            </w:tcMar>
            <w:vAlign w:val="center"/>
          </w:tcPr>
          <w:p>
            <w:r>
              <w:rPr>
                <w:sz w:val="16"/>
              </w:rPr>
              <w:t>Rollback can be initiated from the product for a bad canary or degraded live release.</w:t>
            </w:r>
          </w:p>
        </w:tc>
      </w:tr>
      <w:tr>
        <w:tc>
          <w:tcPr>
            <w:tcW w:type="dxa" w:w="1987"/>
            <w:tcMar>
              <w:top w:w="80" w:type="dxa"/>
              <w:start w:w="100" w:type="dxa"/>
              <w:bottom w:w="80" w:type="dxa"/>
              <w:end w:w="100" w:type="dxa"/>
            </w:tcMar>
            <w:vAlign w:val="center"/>
            <w:shd w:fill="EAF2F8"/>
          </w:tcPr>
          <w:p>
            <w:r>
              <w:rPr>
                <w:b/>
                <w:color w:val="1F4E79"/>
                <w:sz w:val="16"/>
              </w:rPr>
              <w:t>FR-010</w:t>
            </w:r>
          </w:p>
        </w:tc>
        <w:tc>
          <w:tcPr>
            <w:tcW w:type="dxa" w:w="1987"/>
            <w:tcMar>
              <w:top w:w="80" w:type="dxa"/>
              <w:start w:w="100" w:type="dxa"/>
              <w:bottom w:w="80" w:type="dxa"/>
              <w:end w:w="100" w:type="dxa"/>
            </w:tcMar>
            <w:vAlign w:val="center"/>
          </w:tcPr>
          <w:p>
            <w:r>
              <w:rPr>
                <w:sz w:val="16"/>
              </w:rPr>
              <w:t>Runtime operations</w:t>
            </w:r>
          </w:p>
        </w:tc>
        <w:tc>
          <w:tcPr>
            <w:tcW w:type="dxa" w:w="1987"/>
            <w:tcMar>
              <w:top w:w="80" w:type="dxa"/>
              <w:start w:w="100" w:type="dxa"/>
              <w:bottom w:w="80" w:type="dxa"/>
              <w:end w:w="100" w:type="dxa"/>
            </w:tcMar>
            <w:vAlign w:val="center"/>
          </w:tcPr>
          <w:p>
            <w:r>
              <w:rPr>
                <w:sz w:val="16"/>
              </w:rPr>
              <w:t>Must</w:t>
            </w:r>
          </w:p>
        </w:tc>
        <w:tc>
          <w:tcPr>
            <w:tcW w:type="dxa" w:w="1987"/>
            <w:tcMar>
              <w:top w:w="80" w:type="dxa"/>
              <w:start w:w="100" w:type="dxa"/>
              <w:bottom w:w="80" w:type="dxa"/>
              <w:end w:w="100" w:type="dxa"/>
            </w:tcMar>
            <w:vAlign w:val="center"/>
          </w:tcPr>
          <w:p>
            <w:r>
              <w:rPr>
                <w:sz w:val="16"/>
              </w:rPr>
              <w:t>The system shall execute agent tasks in sandboxed workers with mediated tool access and model access.</w:t>
            </w:r>
          </w:p>
        </w:tc>
        <w:tc>
          <w:tcPr>
            <w:tcW w:type="dxa" w:w="1987"/>
            <w:tcMar>
              <w:top w:w="80" w:type="dxa"/>
              <w:start w:w="100" w:type="dxa"/>
              <w:bottom w:w="80" w:type="dxa"/>
              <w:end w:w="100" w:type="dxa"/>
            </w:tcMar>
            <w:vAlign w:val="center"/>
          </w:tcPr>
          <w:p>
            <w:r>
              <w:rPr>
                <w:sz w:val="16"/>
              </w:rPr>
              <w:t>Every task run records the worker, token, tools used, model requests, and outputs.</w:t>
            </w:r>
          </w:p>
        </w:tc>
      </w:tr>
      <w:tr>
        <w:tc>
          <w:tcPr>
            <w:tcW w:type="dxa" w:w="1987"/>
            <w:tcMar>
              <w:top w:w="80" w:type="dxa"/>
              <w:start w:w="100" w:type="dxa"/>
              <w:bottom w:w="80" w:type="dxa"/>
              <w:end w:w="100" w:type="dxa"/>
            </w:tcMar>
            <w:vAlign w:val="center"/>
            <w:shd w:fill="EAF2F8"/>
          </w:tcPr>
          <w:p>
            <w:r>
              <w:rPr>
                <w:b/>
                <w:color w:val="1F4E79"/>
                <w:sz w:val="16"/>
              </w:rPr>
              <w:t>FR-011</w:t>
            </w:r>
          </w:p>
        </w:tc>
        <w:tc>
          <w:tcPr>
            <w:tcW w:type="dxa" w:w="1987"/>
            <w:tcMar>
              <w:top w:w="80" w:type="dxa"/>
              <w:start w:w="100" w:type="dxa"/>
              <w:bottom w:w="80" w:type="dxa"/>
              <w:end w:w="100" w:type="dxa"/>
            </w:tcMar>
            <w:vAlign w:val="center"/>
          </w:tcPr>
          <w:p>
            <w:r>
              <w:rPr>
                <w:sz w:val="16"/>
              </w:rPr>
              <w:t>Observability</w:t>
            </w:r>
          </w:p>
        </w:tc>
        <w:tc>
          <w:tcPr>
            <w:tcW w:type="dxa" w:w="1987"/>
            <w:tcMar>
              <w:top w:w="80" w:type="dxa"/>
              <w:start w:w="100" w:type="dxa"/>
              <w:bottom w:w="80" w:type="dxa"/>
              <w:end w:w="100" w:type="dxa"/>
            </w:tcMar>
            <w:vAlign w:val="center"/>
          </w:tcPr>
          <w:p>
            <w:r>
              <w:rPr>
                <w:sz w:val="16"/>
              </w:rPr>
              <w:t>Must</w:t>
            </w:r>
          </w:p>
        </w:tc>
        <w:tc>
          <w:tcPr>
            <w:tcW w:type="dxa" w:w="1987"/>
            <w:tcMar>
              <w:top w:w="80" w:type="dxa"/>
              <w:start w:w="100" w:type="dxa"/>
              <w:bottom w:w="80" w:type="dxa"/>
              <w:end w:w="100" w:type="dxa"/>
            </w:tcMar>
            <w:vAlign w:val="center"/>
          </w:tcPr>
          <w:p>
            <w:r>
              <w:rPr>
                <w:sz w:val="16"/>
              </w:rPr>
              <w:t>The platform shall expose metrics, logs, traces, run timelines, and alerting for all core planes.</w:t>
            </w:r>
          </w:p>
        </w:tc>
        <w:tc>
          <w:tcPr>
            <w:tcW w:type="dxa" w:w="1987"/>
            <w:tcMar>
              <w:top w:w="80" w:type="dxa"/>
              <w:start w:w="100" w:type="dxa"/>
              <w:bottom w:w="80" w:type="dxa"/>
              <w:end w:w="100" w:type="dxa"/>
            </w:tcMar>
            <w:vAlign w:val="center"/>
          </w:tcPr>
          <w:p>
            <w:r>
              <w:rPr>
                <w:sz w:val="16"/>
              </w:rPr>
              <w:t>Operators can correlate a run across traces, logs, tools, and deployment state using shared IDs.</w:t>
            </w:r>
          </w:p>
        </w:tc>
      </w:tr>
      <w:tr>
        <w:tc>
          <w:tcPr>
            <w:tcW w:type="dxa" w:w="1987"/>
            <w:tcMar>
              <w:top w:w="80" w:type="dxa"/>
              <w:start w:w="100" w:type="dxa"/>
              <w:bottom w:w="80" w:type="dxa"/>
              <w:end w:w="100" w:type="dxa"/>
            </w:tcMar>
            <w:vAlign w:val="center"/>
            <w:shd w:fill="EAF2F8"/>
          </w:tcPr>
          <w:p>
            <w:r>
              <w:rPr>
                <w:b/>
                <w:color w:val="1F4E79"/>
                <w:sz w:val="16"/>
              </w:rPr>
              <w:t>FR-012</w:t>
            </w:r>
          </w:p>
        </w:tc>
        <w:tc>
          <w:tcPr>
            <w:tcW w:type="dxa" w:w="1987"/>
            <w:tcMar>
              <w:top w:w="80" w:type="dxa"/>
              <w:start w:w="100" w:type="dxa"/>
              <w:bottom w:w="80" w:type="dxa"/>
              <w:end w:w="100" w:type="dxa"/>
            </w:tcMar>
            <w:vAlign w:val="center"/>
          </w:tcPr>
          <w:p>
            <w:r>
              <w:rPr>
                <w:sz w:val="16"/>
              </w:rPr>
              <w:t>Governance and audit</w:t>
            </w:r>
          </w:p>
        </w:tc>
        <w:tc>
          <w:tcPr>
            <w:tcW w:type="dxa" w:w="1987"/>
            <w:tcMar>
              <w:top w:w="80" w:type="dxa"/>
              <w:start w:w="100" w:type="dxa"/>
              <w:bottom w:w="80" w:type="dxa"/>
              <w:end w:w="100" w:type="dxa"/>
            </w:tcMar>
            <w:vAlign w:val="center"/>
          </w:tcPr>
          <w:p>
            <w:r>
              <w:rPr>
                <w:sz w:val="16"/>
              </w:rPr>
              <w:t>Must</w:t>
            </w:r>
          </w:p>
        </w:tc>
        <w:tc>
          <w:tcPr>
            <w:tcW w:type="dxa" w:w="1987"/>
            <w:tcMar>
              <w:top w:w="80" w:type="dxa"/>
              <w:start w:w="100" w:type="dxa"/>
              <w:bottom w:w="80" w:type="dxa"/>
              <w:end w:w="100" w:type="dxa"/>
            </w:tcMar>
            <w:vAlign w:val="center"/>
          </w:tcPr>
          <w:p>
            <w:r>
              <w:rPr>
                <w:sz w:val="16"/>
              </w:rPr>
              <w:t>The system shall maintain immutable audit evidence for identity, approvals, tool usage, deployment actions, and policy decisions.</w:t>
            </w:r>
          </w:p>
        </w:tc>
        <w:tc>
          <w:tcPr>
            <w:tcW w:type="dxa" w:w="1987"/>
            <w:tcMar>
              <w:top w:w="80" w:type="dxa"/>
              <w:start w:w="100" w:type="dxa"/>
              <w:bottom w:w="80" w:type="dxa"/>
              <w:end w:w="100" w:type="dxa"/>
            </w:tcMar>
            <w:vAlign w:val="center"/>
          </w:tcPr>
          <w:p>
            <w:r>
              <w:rPr>
                <w:sz w:val="16"/>
              </w:rPr>
              <w:t>Audit records are queryable by run, agent version, user, and action type.</w:t>
            </w:r>
          </w:p>
        </w:tc>
      </w:tr>
      <w:tr>
        <w:tc>
          <w:tcPr>
            <w:tcW w:type="dxa" w:w="1987"/>
            <w:tcMar>
              <w:top w:w="80" w:type="dxa"/>
              <w:start w:w="100" w:type="dxa"/>
              <w:bottom w:w="80" w:type="dxa"/>
              <w:end w:w="100" w:type="dxa"/>
            </w:tcMar>
            <w:vAlign w:val="center"/>
            <w:shd w:fill="EAF2F8"/>
          </w:tcPr>
          <w:p>
            <w:r>
              <w:rPr>
                <w:b/>
                <w:color w:val="1F4E79"/>
                <w:sz w:val="16"/>
              </w:rPr>
              <w:t>FR-013</w:t>
            </w:r>
          </w:p>
        </w:tc>
        <w:tc>
          <w:tcPr>
            <w:tcW w:type="dxa" w:w="1987"/>
            <w:tcMar>
              <w:top w:w="80" w:type="dxa"/>
              <w:start w:w="100" w:type="dxa"/>
              <w:bottom w:w="80" w:type="dxa"/>
              <w:end w:w="100" w:type="dxa"/>
            </w:tcMar>
            <w:vAlign w:val="center"/>
          </w:tcPr>
          <w:p>
            <w:r>
              <w:rPr>
                <w:sz w:val="16"/>
              </w:rPr>
              <w:t>Continuous improvement</w:t>
            </w:r>
          </w:p>
        </w:tc>
        <w:tc>
          <w:tcPr>
            <w:tcW w:type="dxa" w:w="1987"/>
            <w:tcMar>
              <w:top w:w="80" w:type="dxa"/>
              <w:start w:w="100" w:type="dxa"/>
              <w:bottom w:w="80" w:type="dxa"/>
              <w:end w:w="100" w:type="dxa"/>
            </w:tcMar>
            <w:vAlign w:val="center"/>
          </w:tcPr>
          <w:p>
            <w:r>
              <w:rPr>
                <w:sz w:val="16"/>
              </w:rPr>
              <w:t>Should</w:t>
            </w:r>
          </w:p>
        </w:tc>
        <w:tc>
          <w:tcPr>
            <w:tcW w:type="dxa" w:w="1987"/>
            <w:tcMar>
              <w:top w:w="80" w:type="dxa"/>
              <w:start w:w="100" w:type="dxa"/>
              <w:bottom w:w="80" w:type="dxa"/>
              <w:end w:w="100" w:type="dxa"/>
            </w:tcMar>
            <w:vAlign w:val="center"/>
          </w:tcPr>
          <w:p>
            <w:r>
              <w:rPr>
                <w:sz w:val="16"/>
              </w:rPr>
              <w:t>The platform shall store reusable episodes, outcomes, and benchmark results to improve future recommendations and experiments.</w:t>
            </w:r>
          </w:p>
        </w:tc>
        <w:tc>
          <w:tcPr>
            <w:tcW w:type="dxa" w:w="1987"/>
            <w:tcMar>
              <w:top w:w="80" w:type="dxa"/>
              <w:start w:w="100" w:type="dxa"/>
              <w:bottom w:w="80" w:type="dxa"/>
              <w:end w:w="100" w:type="dxa"/>
            </w:tcMar>
            <w:vAlign w:val="center"/>
          </w:tcPr>
          <w:p>
            <w:r>
              <w:rPr>
                <w:sz w:val="16"/>
              </w:rPr>
              <w:t>Historical episodes can be searched and referenced by later runs.</w:t>
            </w:r>
          </w:p>
        </w:tc>
      </w:tr>
      <w:tr>
        <w:tc>
          <w:tcPr>
            <w:tcW w:type="dxa" w:w="1987"/>
            <w:tcMar>
              <w:top w:w="80" w:type="dxa"/>
              <w:start w:w="100" w:type="dxa"/>
              <w:bottom w:w="80" w:type="dxa"/>
              <w:end w:w="100" w:type="dxa"/>
            </w:tcMar>
            <w:vAlign w:val="center"/>
            <w:shd w:fill="EAF2F8"/>
          </w:tcPr>
          <w:p>
            <w:r>
              <w:rPr>
                <w:b/>
                <w:color w:val="1F4E79"/>
                <w:sz w:val="16"/>
              </w:rPr>
              <w:t>FR-014</w:t>
            </w:r>
          </w:p>
        </w:tc>
        <w:tc>
          <w:tcPr>
            <w:tcW w:type="dxa" w:w="1987"/>
            <w:tcMar>
              <w:top w:w="80" w:type="dxa"/>
              <w:start w:w="100" w:type="dxa"/>
              <w:bottom w:w="80" w:type="dxa"/>
              <w:end w:w="100" w:type="dxa"/>
            </w:tcMar>
            <w:vAlign w:val="center"/>
          </w:tcPr>
          <w:p>
            <w:r>
              <w:rPr>
                <w:sz w:val="16"/>
              </w:rPr>
              <w:t>User experience</w:t>
            </w:r>
          </w:p>
        </w:tc>
        <w:tc>
          <w:tcPr>
            <w:tcW w:type="dxa" w:w="1987"/>
            <w:tcMar>
              <w:top w:w="80" w:type="dxa"/>
              <w:start w:w="100" w:type="dxa"/>
              <w:bottom w:w="80" w:type="dxa"/>
              <w:end w:w="100" w:type="dxa"/>
            </w:tcMar>
            <w:vAlign w:val="center"/>
          </w:tcPr>
          <w:p>
            <w:r>
              <w:rPr>
                <w:sz w:val="16"/>
              </w:rPr>
              <w:t>Must</w:t>
            </w:r>
          </w:p>
        </w:tc>
        <w:tc>
          <w:tcPr>
            <w:tcW w:type="dxa" w:w="1987"/>
            <w:tcMar>
              <w:top w:w="80" w:type="dxa"/>
              <w:start w:w="100" w:type="dxa"/>
              <w:bottom w:w="80" w:type="dxa"/>
              <w:end w:w="100" w:type="dxa"/>
            </w:tcMar>
            <w:vAlign w:val="center"/>
          </w:tcPr>
          <w:p>
            <w:r>
              <w:rPr>
                <w:sz w:val="16"/>
              </w:rPr>
              <w:t>The UI shall provide lifecycle-oriented workflows for Studio, Evaluation, Deployments, Observability, Governance, and Executive views.</w:t>
            </w:r>
          </w:p>
        </w:tc>
        <w:tc>
          <w:tcPr>
            <w:tcW w:type="dxa" w:w="1987"/>
            <w:tcMar>
              <w:top w:w="80" w:type="dxa"/>
              <w:start w:w="100" w:type="dxa"/>
              <w:bottom w:w="80" w:type="dxa"/>
              <w:end w:w="100" w:type="dxa"/>
            </w:tcMar>
            <w:vAlign w:val="center"/>
          </w:tcPr>
          <w:p>
            <w:r>
              <w:rPr>
                <w:sz w:val="16"/>
              </w:rPr>
              <w:t>A user can complete the core lifecycle without using backend consoles.</w:t>
            </w:r>
          </w:p>
        </w:tc>
      </w:tr>
    </w:tbl>
    <w:p/>
    <w:p>
      <w:pPr>
        <w:pStyle w:val="HeadingBlue"/>
      </w:pPr>
      <w:r>
        <w:t>6. Non-functional requirements</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872"/>
        <w:gridCol w:w="7128"/>
      </w:tblGrid>
      <w:tr>
        <w:trPr>
          <w:tblHeader w:val="true"/>
        </w:trPr>
        <w:tc>
          <w:tcPr>
            <w:tcW w:type="dxa" w:w="4968"/>
            <w:shd w:fill="1F4E79"/>
            <w:tcMar>
              <w:top w:w="80" w:type="dxa"/>
              <w:start w:w="100" w:type="dxa"/>
              <w:bottom w:w="80" w:type="dxa"/>
              <w:end w:w="100" w:type="dxa"/>
            </w:tcMar>
          </w:tcPr>
          <w:p>
            <w:pPr>
              <w:jc w:val="center"/>
            </w:pPr>
            <w:r>
              <w:rPr>
                <w:b/>
                <w:color w:val="FFFFFF"/>
                <w:sz w:val="18"/>
              </w:rPr>
              <w:t>Category</w:t>
            </w:r>
          </w:p>
        </w:tc>
        <w:tc>
          <w:tcPr>
            <w:tcW w:type="dxa" w:w="4968"/>
            <w:shd w:fill="1F4E79"/>
            <w:tcMar>
              <w:top w:w="80" w:type="dxa"/>
              <w:start w:w="100" w:type="dxa"/>
              <w:bottom w:w="80" w:type="dxa"/>
              <w:end w:w="100" w:type="dxa"/>
            </w:tcMar>
          </w:tcPr>
          <w:p>
            <w:pPr>
              <w:jc w:val="center"/>
            </w:pPr>
            <w:r>
              <w:rPr>
                <w:b/>
                <w:color w:val="FFFFFF"/>
                <w:sz w:val="18"/>
              </w:rPr>
              <w:t>Requirement</w:t>
            </w:r>
          </w:p>
        </w:tc>
      </w:tr>
      <w:tr>
        <w:tc>
          <w:tcPr>
            <w:tcW w:type="dxa" w:w="4968"/>
            <w:tcMar>
              <w:top w:w="80" w:type="dxa"/>
              <w:start w:w="100" w:type="dxa"/>
              <w:bottom w:w="80" w:type="dxa"/>
              <w:end w:w="100" w:type="dxa"/>
            </w:tcMar>
            <w:vAlign w:val="center"/>
            <w:shd w:fill="EAF2F8"/>
          </w:tcPr>
          <w:p>
            <w:r>
              <w:rPr>
                <w:b/>
                <w:color w:val="1F4E79"/>
                <w:sz w:val="18"/>
              </w:rPr>
              <w:t>Availability</w:t>
            </w:r>
          </w:p>
        </w:tc>
        <w:tc>
          <w:tcPr>
            <w:tcW w:type="dxa" w:w="4968"/>
            <w:tcMar>
              <w:top w:w="80" w:type="dxa"/>
              <w:start w:w="100" w:type="dxa"/>
              <w:bottom w:w="80" w:type="dxa"/>
              <w:end w:w="100" w:type="dxa"/>
            </w:tcMar>
            <w:vAlign w:val="center"/>
          </w:tcPr>
          <w:p>
            <w:r>
              <w:rPr>
                <w:sz w:val="18"/>
              </w:rPr>
              <w:t>Core control APIs and runtime orchestration services should target 99.9% monthly availability in production.</w:t>
            </w:r>
          </w:p>
        </w:tc>
      </w:tr>
      <w:tr>
        <w:tc>
          <w:tcPr>
            <w:tcW w:type="dxa" w:w="4968"/>
            <w:tcMar>
              <w:top w:w="80" w:type="dxa"/>
              <w:start w:w="100" w:type="dxa"/>
              <w:bottom w:w="80" w:type="dxa"/>
              <w:end w:w="100" w:type="dxa"/>
            </w:tcMar>
            <w:vAlign w:val="center"/>
            <w:shd w:fill="EAF2F8"/>
          </w:tcPr>
          <w:p>
            <w:r>
              <w:rPr>
                <w:b/>
                <w:color w:val="1F4E79"/>
                <w:sz w:val="18"/>
              </w:rPr>
              <w:t>Scalability</w:t>
            </w:r>
          </w:p>
        </w:tc>
        <w:tc>
          <w:tcPr>
            <w:tcW w:type="dxa" w:w="4968"/>
            <w:tcMar>
              <w:top w:w="80" w:type="dxa"/>
              <w:start w:w="100" w:type="dxa"/>
              <w:bottom w:w="80" w:type="dxa"/>
              <w:end w:w="100" w:type="dxa"/>
            </w:tcMar>
            <w:vAlign w:val="center"/>
          </w:tcPr>
          <w:p>
            <w:r>
              <w:rPr>
                <w:sz w:val="18"/>
              </w:rPr>
              <w:t>The architecture shall support horizontal scale for stateless APIs, workers, retrieval services, and telemetry collectors.</w:t>
            </w:r>
          </w:p>
        </w:tc>
      </w:tr>
      <w:tr>
        <w:tc>
          <w:tcPr>
            <w:tcW w:type="dxa" w:w="4968"/>
            <w:tcMar>
              <w:top w:w="80" w:type="dxa"/>
              <w:start w:w="100" w:type="dxa"/>
              <w:bottom w:w="80" w:type="dxa"/>
              <w:end w:w="100" w:type="dxa"/>
            </w:tcMar>
            <w:vAlign w:val="center"/>
            <w:shd w:fill="EAF2F8"/>
          </w:tcPr>
          <w:p>
            <w:r>
              <w:rPr>
                <w:b/>
                <w:color w:val="1F4E79"/>
                <w:sz w:val="18"/>
              </w:rPr>
              <w:t>Performance</w:t>
            </w:r>
          </w:p>
        </w:tc>
        <w:tc>
          <w:tcPr>
            <w:tcW w:type="dxa" w:w="4968"/>
            <w:tcMar>
              <w:top w:w="80" w:type="dxa"/>
              <w:start w:w="100" w:type="dxa"/>
              <w:bottom w:w="80" w:type="dxa"/>
              <w:end w:w="100" w:type="dxa"/>
            </w:tcMar>
            <w:vAlign w:val="center"/>
          </w:tcPr>
          <w:p>
            <w:r>
              <w:rPr>
                <w:sz w:val="18"/>
              </w:rPr>
              <w:t>Interactive product pages should feel responsive; long-running jobs shall expose progress, state, and resumability.</w:t>
            </w:r>
          </w:p>
        </w:tc>
      </w:tr>
      <w:tr>
        <w:tc>
          <w:tcPr>
            <w:tcW w:type="dxa" w:w="4968"/>
            <w:tcMar>
              <w:top w:w="80" w:type="dxa"/>
              <w:start w:w="100" w:type="dxa"/>
              <w:bottom w:w="80" w:type="dxa"/>
              <w:end w:w="100" w:type="dxa"/>
            </w:tcMar>
            <w:vAlign w:val="center"/>
            <w:shd w:fill="EAF2F8"/>
          </w:tcPr>
          <w:p>
            <w:r>
              <w:rPr>
                <w:b/>
                <w:color w:val="1F4E79"/>
                <w:sz w:val="18"/>
              </w:rPr>
              <w:t>Security</w:t>
            </w:r>
          </w:p>
        </w:tc>
        <w:tc>
          <w:tcPr>
            <w:tcW w:type="dxa" w:w="4968"/>
            <w:tcMar>
              <w:top w:w="80" w:type="dxa"/>
              <w:start w:w="100" w:type="dxa"/>
              <w:bottom w:w="80" w:type="dxa"/>
              <w:end w:w="100" w:type="dxa"/>
            </w:tcMar>
            <w:vAlign w:val="center"/>
          </w:tcPr>
          <w:p>
            <w:r>
              <w:rPr>
                <w:sz w:val="18"/>
              </w:rPr>
              <w:t>All privileged actions require authenticated identity, RBAC, short-lived service tokens, and audit logging.</w:t>
            </w:r>
          </w:p>
        </w:tc>
      </w:tr>
      <w:tr>
        <w:tc>
          <w:tcPr>
            <w:tcW w:type="dxa" w:w="4968"/>
            <w:tcMar>
              <w:top w:w="80" w:type="dxa"/>
              <w:start w:w="100" w:type="dxa"/>
              <w:bottom w:w="80" w:type="dxa"/>
              <w:end w:w="100" w:type="dxa"/>
            </w:tcMar>
            <w:vAlign w:val="center"/>
            <w:shd w:fill="EAF2F8"/>
          </w:tcPr>
          <w:p>
            <w:r>
              <w:rPr>
                <w:b/>
                <w:color w:val="1F4E79"/>
                <w:sz w:val="18"/>
              </w:rPr>
              <w:t>Privacy</w:t>
            </w:r>
          </w:p>
        </w:tc>
        <w:tc>
          <w:tcPr>
            <w:tcW w:type="dxa" w:w="4968"/>
            <w:tcMar>
              <w:top w:w="80" w:type="dxa"/>
              <w:start w:w="100" w:type="dxa"/>
              <w:bottom w:w="80" w:type="dxa"/>
              <w:end w:w="100" w:type="dxa"/>
            </w:tcMar>
            <w:vAlign w:val="center"/>
          </w:tcPr>
          <w:p>
            <w:r>
              <w:rPr>
                <w:sz w:val="18"/>
              </w:rPr>
              <w:t>Source data, prompts, outputs, and telemetry shall be tenant-aware and isolated.</w:t>
            </w:r>
          </w:p>
        </w:tc>
      </w:tr>
      <w:tr>
        <w:tc>
          <w:tcPr>
            <w:tcW w:type="dxa" w:w="4968"/>
            <w:tcMar>
              <w:top w:w="80" w:type="dxa"/>
              <w:start w:w="100" w:type="dxa"/>
              <w:bottom w:w="80" w:type="dxa"/>
              <w:end w:w="100" w:type="dxa"/>
            </w:tcMar>
            <w:vAlign w:val="center"/>
            <w:shd w:fill="EAF2F8"/>
          </w:tcPr>
          <w:p>
            <w:r>
              <w:rPr>
                <w:b/>
                <w:color w:val="1F4E79"/>
                <w:sz w:val="18"/>
              </w:rPr>
              <w:t>Reliability</w:t>
            </w:r>
          </w:p>
        </w:tc>
        <w:tc>
          <w:tcPr>
            <w:tcW w:type="dxa" w:w="4968"/>
            <w:tcMar>
              <w:top w:w="80" w:type="dxa"/>
              <w:start w:w="100" w:type="dxa"/>
              <w:bottom w:w="80" w:type="dxa"/>
              <w:end w:w="100" w:type="dxa"/>
            </w:tcMar>
            <w:vAlign w:val="center"/>
          </w:tcPr>
          <w:p>
            <w:r>
              <w:rPr>
                <w:sz w:val="18"/>
              </w:rPr>
              <w:t>Critical orchestration must be durable across process restarts, worker crashes, and transient network failures.</w:t>
            </w:r>
          </w:p>
        </w:tc>
      </w:tr>
      <w:tr>
        <w:tc>
          <w:tcPr>
            <w:tcW w:type="dxa" w:w="4968"/>
            <w:tcMar>
              <w:top w:w="80" w:type="dxa"/>
              <w:start w:w="100" w:type="dxa"/>
              <w:bottom w:w="80" w:type="dxa"/>
              <w:end w:w="100" w:type="dxa"/>
            </w:tcMar>
            <w:vAlign w:val="center"/>
            <w:shd w:fill="EAF2F8"/>
          </w:tcPr>
          <w:p>
            <w:r>
              <w:rPr>
                <w:b/>
                <w:color w:val="1F4E79"/>
                <w:sz w:val="18"/>
              </w:rPr>
              <w:t>Maintainability</w:t>
            </w:r>
          </w:p>
        </w:tc>
        <w:tc>
          <w:tcPr>
            <w:tcW w:type="dxa" w:w="4968"/>
            <w:tcMar>
              <w:top w:w="80" w:type="dxa"/>
              <w:start w:w="100" w:type="dxa"/>
              <w:bottom w:w="80" w:type="dxa"/>
              <w:end w:w="100" w:type="dxa"/>
            </w:tcMar>
            <w:vAlign w:val="center"/>
          </w:tcPr>
          <w:p>
            <w:r>
              <w:rPr>
                <w:sz w:val="18"/>
              </w:rPr>
              <w:t>Services shall expose versioned APIs, structured contracts, and observability for safe operations and upgrades.</w:t>
            </w:r>
          </w:p>
        </w:tc>
      </w:tr>
      <w:tr>
        <w:tc>
          <w:tcPr>
            <w:tcW w:type="dxa" w:w="4968"/>
            <w:tcMar>
              <w:top w:w="80" w:type="dxa"/>
              <w:start w:w="100" w:type="dxa"/>
              <w:bottom w:w="80" w:type="dxa"/>
              <w:end w:w="100" w:type="dxa"/>
            </w:tcMar>
            <w:vAlign w:val="center"/>
            <w:shd w:fill="EAF2F8"/>
          </w:tcPr>
          <w:p>
            <w:r>
              <w:rPr>
                <w:b/>
                <w:color w:val="1F4E79"/>
                <w:sz w:val="18"/>
              </w:rPr>
              <w:t>Extensibility</w:t>
            </w:r>
          </w:p>
        </w:tc>
        <w:tc>
          <w:tcPr>
            <w:tcW w:type="dxa" w:w="4968"/>
            <w:tcMar>
              <w:top w:w="80" w:type="dxa"/>
              <w:start w:w="100" w:type="dxa"/>
              <w:bottom w:w="80" w:type="dxa"/>
              <w:end w:w="100" w:type="dxa"/>
            </w:tcMar>
            <w:vAlign w:val="center"/>
          </w:tcPr>
          <w:p>
            <w:r>
              <w:rPr>
                <w:sz w:val="18"/>
              </w:rPr>
              <w:t>New models, tools, evaluators, and knowledge sources shall be pluggable without core rewrites.</w:t>
            </w:r>
          </w:p>
        </w:tc>
      </w:tr>
      <w:tr>
        <w:tc>
          <w:tcPr>
            <w:tcW w:type="dxa" w:w="4968"/>
            <w:tcMar>
              <w:top w:w="80" w:type="dxa"/>
              <w:start w:w="100" w:type="dxa"/>
              <w:bottom w:w="80" w:type="dxa"/>
              <w:end w:w="100" w:type="dxa"/>
            </w:tcMar>
            <w:vAlign w:val="center"/>
            <w:shd w:fill="EAF2F8"/>
          </w:tcPr>
          <w:p>
            <w:r>
              <w:rPr>
                <w:b/>
                <w:color w:val="1F4E79"/>
                <w:sz w:val="18"/>
              </w:rPr>
              <w:t>Accessibility</w:t>
            </w:r>
          </w:p>
        </w:tc>
        <w:tc>
          <w:tcPr>
            <w:tcW w:type="dxa" w:w="4968"/>
            <w:tcMar>
              <w:top w:w="80" w:type="dxa"/>
              <w:start w:w="100" w:type="dxa"/>
              <w:bottom w:w="80" w:type="dxa"/>
              <w:end w:w="100" w:type="dxa"/>
            </w:tcMar>
            <w:vAlign w:val="center"/>
          </w:tcPr>
          <w:p>
            <w:r>
              <w:rPr>
                <w:sz w:val="18"/>
              </w:rPr>
              <w:t>The web product shall meet enterprise-grade accessibility expectations including keyboard support and color-safe status signals.</w:t>
            </w:r>
          </w:p>
        </w:tc>
      </w:tr>
    </w:tbl>
    <w:p/>
    <w:p>
      <w:pPr>
        <w:pStyle w:val="HeadingBlue"/>
      </w:pPr>
      <w:r>
        <w:t>7. Security, governance, and compliance requirements</w:t>
      </w:r>
    </w:p>
    <w:p>
      <w:pPr>
        <w:spacing w:after="30"/>
        <w:ind w:left="288" w:hanging="202"/>
      </w:pPr>
      <w:r>
        <w:rPr>
          <w:sz w:val="20"/>
        </w:rPr>
        <w:t>• Every user-facing and service-to-service interaction must be authenticated and authorized.</w:t>
      </w:r>
    </w:p>
    <w:p>
      <w:pPr>
        <w:spacing w:after="30"/>
        <w:ind w:left="288" w:hanging="202"/>
      </w:pPr>
      <w:r>
        <w:rPr>
          <w:sz w:val="20"/>
        </w:rPr>
        <w:t>• Workers must not hold long-lived credentials; sensitive access must use short-lived signed tokens or secret injection through approved brokers.</w:t>
      </w:r>
    </w:p>
    <w:p>
      <w:pPr>
        <w:spacing w:after="30"/>
        <w:ind w:left="288" w:hanging="202"/>
      </w:pPr>
      <w:r>
        <w:rPr>
          <w:sz w:val="20"/>
        </w:rPr>
        <w:t>• Every external action must traverse a Tool Broker or equivalent mediated interface.</w:t>
      </w:r>
    </w:p>
    <w:p>
      <w:pPr>
        <w:spacing w:after="30"/>
        <w:ind w:left="288" w:hanging="202"/>
      </w:pPr>
      <w:r>
        <w:rPr>
          <w:sz w:val="20"/>
        </w:rPr>
        <w:t>• Every release candidate must have an evaluation packet and, for production, an approval packet.</w:t>
      </w:r>
    </w:p>
    <w:p>
      <w:pPr>
        <w:spacing w:after="30"/>
        <w:ind w:left="288" w:hanging="202"/>
      </w:pPr>
      <w:r>
        <w:rPr>
          <w:sz w:val="20"/>
        </w:rPr>
        <w:t>• The system must retain append-only audit evidence for release changes, policy changes, tool calls, model requests, and approval decisions.</w:t>
      </w:r>
    </w:p>
    <w:p>
      <w:pPr>
        <w:spacing w:after="30"/>
        <w:ind w:left="288" w:hanging="202"/>
      </w:pPr>
      <w:r>
        <w:rPr>
          <w:sz w:val="20"/>
        </w:rPr>
        <w:t>• Default policy posture is fail closed on missing policy, missing token, or missing approval for protected actions.</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304"/>
        <w:gridCol w:w="6696"/>
      </w:tblGrid>
      <w:tr>
        <w:trPr>
          <w:tblHeader w:val="true"/>
        </w:trPr>
        <w:tc>
          <w:tcPr>
            <w:tcW w:type="dxa" w:w="4968"/>
            <w:shd w:fill="1F4E79"/>
            <w:tcMar>
              <w:top w:w="80" w:type="dxa"/>
              <w:start w:w="100" w:type="dxa"/>
              <w:bottom w:w="80" w:type="dxa"/>
              <w:end w:w="100" w:type="dxa"/>
            </w:tcMar>
          </w:tcPr>
          <w:p>
            <w:pPr>
              <w:jc w:val="center"/>
            </w:pPr>
            <w:r>
              <w:rPr>
                <w:b/>
                <w:color w:val="FFFFFF"/>
                <w:sz w:val="18"/>
              </w:rPr>
              <w:t>Control objective</w:t>
            </w:r>
          </w:p>
        </w:tc>
        <w:tc>
          <w:tcPr>
            <w:tcW w:type="dxa" w:w="4968"/>
            <w:shd w:fill="1F4E79"/>
            <w:tcMar>
              <w:top w:w="80" w:type="dxa"/>
              <w:start w:w="100" w:type="dxa"/>
              <w:bottom w:w="80" w:type="dxa"/>
              <w:end w:w="100" w:type="dxa"/>
            </w:tcMar>
          </w:tcPr>
          <w:p>
            <w:pPr>
              <w:jc w:val="center"/>
            </w:pPr>
            <w:r>
              <w:rPr>
                <w:b/>
                <w:color w:val="FFFFFF"/>
                <w:sz w:val="18"/>
              </w:rPr>
              <w:t>Minimum implementation</w:t>
            </w:r>
          </w:p>
        </w:tc>
      </w:tr>
      <w:tr>
        <w:tc>
          <w:tcPr>
            <w:tcW w:type="dxa" w:w="4968"/>
            <w:tcMar>
              <w:top w:w="80" w:type="dxa"/>
              <w:start w:w="100" w:type="dxa"/>
              <w:bottom w:w="80" w:type="dxa"/>
              <w:end w:w="100" w:type="dxa"/>
            </w:tcMar>
            <w:vAlign w:val="center"/>
            <w:shd w:fill="EAF2F8"/>
          </w:tcPr>
          <w:p>
            <w:r>
              <w:rPr>
                <w:b/>
                <w:color w:val="1F4E79"/>
                <w:sz w:val="18"/>
              </w:rPr>
              <w:t>Identity &amp; access</w:t>
            </w:r>
          </w:p>
        </w:tc>
        <w:tc>
          <w:tcPr>
            <w:tcW w:type="dxa" w:w="4968"/>
            <w:tcMar>
              <w:top w:w="80" w:type="dxa"/>
              <w:start w:w="100" w:type="dxa"/>
              <w:bottom w:w="80" w:type="dxa"/>
              <w:end w:w="100" w:type="dxa"/>
            </w:tcMar>
            <w:vAlign w:val="center"/>
          </w:tcPr>
          <w:p>
            <w:r>
              <w:rPr>
                <w:sz w:val="18"/>
              </w:rPr>
              <w:t>SSO/OIDC for humans, service identities for machines, RBAC for product access, scoped workload tokens for runtime workers.</w:t>
            </w:r>
          </w:p>
        </w:tc>
      </w:tr>
      <w:tr>
        <w:tc>
          <w:tcPr>
            <w:tcW w:type="dxa" w:w="4968"/>
            <w:tcMar>
              <w:top w:w="80" w:type="dxa"/>
              <w:start w:w="100" w:type="dxa"/>
              <w:bottom w:w="80" w:type="dxa"/>
              <w:end w:w="100" w:type="dxa"/>
            </w:tcMar>
            <w:vAlign w:val="center"/>
            <w:shd w:fill="EAF2F8"/>
          </w:tcPr>
          <w:p>
            <w:r>
              <w:rPr>
                <w:b/>
                <w:color w:val="1F4E79"/>
                <w:sz w:val="18"/>
              </w:rPr>
              <w:t>Data protection</w:t>
            </w:r>
          </w:p>
        </w:tc>
        <w:tc>
          <w:tcPr>
            <w:tcW w:type="dxa" w:w="4968"/>
            <w:tcMar>
              <w:top w:w="80" w:type="dxa"/>
              <w:start w:w="100" w:type="dxa"/>
              <w:bottom w:w="80" w:type="dxa"/>
              <w:end w:w="100" w:type="dxa"/>
            </w:tcMar>
            <w:vAlign w:val="center"/>
          </w:tcPr>
          <w:p>
            <w:r>
              <w:rPr>
                <w:sz w:val="18"/>
              </w:rPr>
              <w:t>TLS in transit, encryption at rest, secret management, tenant-aware storage boundaries, secure backups.</w:t>
            </w:r>
          </w:p>
        </w:tc>
      </w:tr>
      <w:tr>
        <w:tc>
          <w:tcPr>
            <w:tcW w:type="dxa" w:w="4968"/>
            <w:tcMar>
              <w:top w:w="80" w:type="dxa"/>
              <w:start w:w="100" w:type="dxa"/>
              <w:bottom w:w="80" w:type="dxa"/>
              <w:end w:w="100" w:type="dxa"/>
            </w:tcMar>
            <w:vAlign w:val="center"/>
            <w:shd w:fill="EAF2F8"/>
          </w:tcPr>
          <w:p>
            <w:r>
              <w:rPr>
                <w:b/>
                <w:color w:val="1F4E79"/>
                <w:sz w:val="18"/>
              </w:rPr>
              <w:t>Auditability</w:t>
            </w:r>
          </w:p>
        </w:tc>
        <w:tc>
          <w:tcPr>
            <w:tcW w:type="dxa" w:w="4968"/>
            <w:tcMar>
              <w:top w:w="80" w:type="dxa"/>
              <w:start w:w="100" w:type="dxa"/>
              <w:bottom w:w="80" w:type="dxa"/>
              <w:end w:w="100" w:type="dxa"/>
            </w:tcMar>
            <w:vAlign w:val="center"/>
          </w:tcPr>
          <w:p>
            <w:r>
              <w:rPr>
                <w:sz w:val="18"/>
              </w:rPr>
              <w:t>Append-only audit stream with immutable hashes, searchable audit index, approval and release history.</w:t>
            </w:r>
          </w:p>
        </w:tc>
      </w:tr>
      <w:tr>
        <w:tc>
          <w:tcPr>
            <w:tcW w:type="dxa" w:w="4968"/>
            <w:tcMar>
              <w:top w:w="80" w:type="dxa"/>
              <w:start w:w="100" w:type="dxa"/>
              <w:bottom w:w="80" w:type="dxa"/>
              <w:end w:w="100" w:type="dxa"/>
            </w:tcMar>
            <w:vAlign w:val="center"/>
            <w:shd w:fill="EAF2F8"/>
          </w:tcPr>
          <w:p>
            <w:r>
              <w:rPr>
                <w:b/>
                <w:color w:val="1F4E79"/>
                <w:sz w:val="18"/>
              </w:rPr>
              <w:t>Release safety</w:t>
            </w:r>
          </w:p>
        </w:tc>
        <w:tc>
          <w:tcPr>
            <w:tcW w:type="dxa" w:w="4968"/>
            <w:tcMar>
              <w:top w:w="80" w:type="dxa"/>
              <w:start w:w="100" w:type="dxa"/>
              <w:bottom w:w="80" w:type="dxa"/>
              <w:end w:w="100" w:type="dxa"/>
            </w:tcMar>
            <w:vAlign w:val="center"/>
          </w:tcPr>
          <w:p>
            <w:r>
              <w:rPr>
                <w:sz w:val="18"/>
              </w:rPr>
              <w:t>Signed artifacts, canary policy, rollback policy, environment separation, protected production actions.</w:t>
            </w:r>
          </w:p>
        </w:tc>
      </w:tr>
      <w:tr>
        <w:tc>
          <w:tcPr>
            <w:tcW w:type="dxa" w:w="4968"/>
            <w:tcMar>
              <w:top w:w="80" w:type="dxa"/>
              <w:start w:w="100" w:type="dxa"/>
              <w:bottom w:w="80" w:type="dxa"/>
              <w:end w:w="100" w:type="dxa"/>
            </w:tcMar>
            <w:vAlign w:val="center"/>
            <w:shd w:fill="EAF2F8"/>
          </w:tcPr>
          <w:p>
            <w:r>
              <w:rPr>
                <w:b/>
                <w:color w:val="1F4E79"/>
                <w:sz w:val="18"/>
              </w:rPr>
              <w:t>Runtime isolation</w:t>
            </w:r>
          </w:p>
        </w:tc>
        <w:tc>
          <w:tcPr>
            <w:tcW w:type="dxa" w:w="4968"/>
            <w:tcMar>
              <w:top w:w="80" w:type="dxa"/>
              <w:start w:w="100" w:type="dxa"/>
              <w:bottom w:w="80" w:type="dxa"/>
              <w:end w:w="100" w:type="dxa"/>
            </w:tcMar>
            <w:vAlign w:val="center"/>
          </w:tcPr>
          <w:p>
            <w:r>
              <w:rPr>
                <w:sz w:val="18"/>
              </w:rPr>
              <w:t>Container sandboxing, network egress control, filesystem restrictions, resource quotas, policy guardrails.</w:t>
            </w:r>
          </w:p>
        </w:tc>
      </w:tr>
    </w:tbl>
    <w:p/>
    <w:p>
      <w:pPr>
        <w:pStyle w:val="HeadingBlue"/>
      </w:pPr>
      <w:r>
        <w:t>8. Data and interface requirements</w:t>
      </w:r>
    </w:p>
    <w:p>
      <w:pPr>
        <w:pStyle w:val="HeadingBlue2"/>
      </w:pPr>
      <w:r>
        <w:t>8.1 Core business objects</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160"/>
        <w:gridCol w:w="2880"/>
        <w:gridCol w:w="3960"/>
      </w:tblGrid>
      <w:tr>
        <w:trPr>
          <w:tblHeader w:val="true"/>
        </w:trPr>
        <w:tc>
          <w:tcPr>
            <w:tcW w:type="dxa" w:w="3312"/>
            <w:shd w:fill="1F4E79"/>
            <w:tcMar>
              <w:top w:w="80" w:type="dxa"/>
              <w:start w:w="100" w:type="dxa"/>
              <w:bottom w:w="80" w:type="dxa"/>
              <w:end w:w="100" w:type="dxa"/>
            </w:tcMar>
          </w:tcPr>
          <w:p>
            <w:pPr>
              <w:jc w:val="center"/>
            </w:pPr>
            <w:r>
              <w:rPr>
                <w:b/>
                <w:color w:val="FFFFFF"/>
                <w:sz w:val="17"/>
              </w:rPr>
              <w:t>Object</w:t>
            </w:r>
          </w:p>
        </w:tc>
        <w:tc>
          <w:tcPr>
            <w:tcW w:type="dxa" w:w="3312"/>
            <w:shd w:fill="1F4E79"/>
            <w:tcMar>
              <w:top w:w="80" w:type="dxa"/>
              <w:start w:w="100" w:type="dxa"/>
              <w:bottom w:w="80" w:type="dxa"/>
              <w:end w:w="100" w:type="dxa"/>
            </w:tcMar>
          </w:tcPr>
          <w:p>
            <w:pPr>
              <w:jc w:val="center"/>
            </w:pPr>
            <w:r>
              <w:rPr>
                <w:b/>
                <w:color w:val="FFFFFF"/>
                <w:sz w:val="17"/>
              </w:rPr>
              <w:t>Purpose</w:t>
            </w:r>
          </w:p>
        </w:tc>
        <w:tc>
          <w:tcPr>
            <w:tcW w:type="dxa" w:w="3312"/>
            <w:shd w:fill="1F4E79"/>
            <w:tcMar>
              <w:top w:w="80" w:type="dxa"/>
              <w:start w:w="100" w:type="dxa"/>
              <w:bottom w:w="80" w:type="dxa"/>
              <w:end w:w="100" w:type="dxa"/>
            </w:tcMar>
          </w:tcPr>
          <w:p>
            <w:pPr>
              <w:jc w:val="center"/>
            </w:pPr>
            <w:r>
              <w:rPr>
                <w:b/>
                <w:color w:val="FFFFFF"/>
                <w:sz w:val="17"/>
              </w:rPr>
              <w:t>Examples of key fields</w:t>
            </w:r>
          </w:p>
        </w:tc>
      </w:tr>
      <w:tr>
        <w:tc>
          <w:tcPr>
            <w:tcW w:type="dxa" w:w="3312"/>
            <w:tcMar>
              <w:top w:w="80" w:type="dxa"/>
              <w:start w:w="100" w:type="dxa"/>
              <w:bottom w:w="80" w:type="dxa"/>
              <w:end w:w="100" w:type="dxa"/>
            </w:tcMar>
            <w:vAlign w:val="center"/>
            <w:shd w:fill="EAF2F8"/>
          </w:tcPr>
          <w:p>
            <w:r>
              <w:rPr>
                <w:b/>
                <w:color w:val="1F4E79"/>
                <w:sz w:val="16"/>
              </w:rPr>
              <w:t>RunSpec</w:t>
            </w:r>
          </w:p>
        </w:tc>
        <w:tc>
          <w:tcPr>
            <w:tcW w:type="dxa" w:w="3312"/>
            <w:tcMar>
              <w:top w:w="80" w:type="dxa"/>
              <w:start w:w="100" w:type="dxa"/>
              <w:bottom w:w="80" w:type="dxa"/>
              <w:end w:w="100" w:type="dxa"/>
            </w:tcMar>
            <w:vAlign w:val="center"/>
          </w:tcPr>
          <w:p>
            <w:r>
              <w:rPr>
                <w:sz w:val="16"/>
              </w:rPr>
              <w:t>Starts a governed execution.</w:t>
            </w:r>
          </w:p>
        </w:tc>
        <w:tc>
          <w:tcPr>
            <w:tcW w:type="dxa" w:w="3312"/>
            <w:tcMar>
              <w:top w:w="80" w:type="dxa"/>
              <w:start w:w="100" w:type="dxa"/>
              <w:bottom w:w="80" w:type="dxa"/>
              <w:end w:w="100" w:type="dxa"/>
            </w:tcMar>
            <w:vAlign w:val="center"/>
          </w:tcPr>
          <w:p>
            <w:r>
              <w:rPr>
                <w:sz w:val="16"/>
              </w:rPr>
              <w:t>run_id, tenant_id, objective, constraints, budget, deadline, policy_profile</w:t>
            </w:r>
          </w:p>
        </w:tc>
      </w:tr>
      <w:tr>
        <w:tc>
          <w:tcPr>
            <w:tcW w:type="dxa" w:w="3312"/>
            <w:tcMar>
              <w:top w:w="80" w:type="dxa"/>
              <w:start w:w="100" w:type="dxa"/>
              <w:bottom w:w="80" w:type="dxa"/>
              <w:end w:w="100" w:type="dxa"/>
            </w:tcMar>
            <w:vAlign w:val="center"/>
            <w:shd w:fill="EAF2F8"/>
          </w:tcPr>
          <w:p>
            <w:r>
              <w:rPr>
                <w:b/>
                <w:color w:val="1F4E79"/>
                <w:sz w:val="16"/>
              </w:rPr>
              <w:t>PlanSpec</w:t>
            </w:r>
          </w:p>
        </w:tc>
        <w:tc>
          <w:tcPr>
            <w:tcW w:type="dxa" w:w="3312"/>
            <w:tcMar>
              <w:top w:w="80" w:type="dxa"/>
              <w:start w:w="100" w:type="dxa"/>
              <w:bottom w:w="80" w:type="dxa"/>
              <w:end w:w="100" w:type="dxa"/>
            </w:tcMar>
            <w:vAlign w:val="center"/>
          </w:tcPr>
          <w:p>
            <w:r>
              <w:rPr>
                <w:sz w:val="16"/>
              </w:rPr>
              <w:t>Task DAG and execution intent.</w:t>
            </w:r>
          </w:p>
        </w:tc>
        <w:tc>
          <w:tcPr>
            <w:tcW w:type="dxa" w:w="3312"/>
            <w:tcMar>
              <w:top w:w="80" w:type="dxa"/>
              <w:start w:w="100" w:type="dxa"/>
              <w:bottom w:w="80" w:type="dxa"/>
              <w:end w:w="100" w:type="dxa"/>
            </w:tcMar>
            <w:vAlign w:val="center"/>
          </w:tcPr>
          <w:p>
            <w:r>
              <w:rPr>
                <w:sz w:val="16"/>
              </w:rPr>
              <w:t>plan_id, tasks[], dependencies, budget, retry_policy</w:t>
            </w:r>
          </w:p>
        </w:tc>
      </w:tr>
      <w:tr>
        <w:tc>
          <w:tcPr>
            <w:tcW w:type="dxa" w:w="3312"/>
            <w:tcMar>
              <w:top w:w="80" w:type="dxa"/>
              <w:start w:w="100" w:type="dxa"/>
              <w:bottom w:w="80" w:type="dxa"/>
              <w:end w:w="100" w:type="dxa"/>
            </w:tcMar>
            <w:vAlign w:val="center"/>
            <w:shd w:fill="EAF2F8"/>
          </w:tcPr>
          <w:p>
            <w:r>
              <w:rPr>
                <w:b/>
                <w:color w:val="1F4E79"/>
                <w:sz w:val="16"/>
              </w:rPr>
              <w:t>AgentSpec / AgentVersion</w:t>
            </w:r>
          </w:p>
        </w:tc>
        <w:tc>
          <w:tcPr>
            <w:tcW w:type="dxa" w:w="3312"/>
            <w:tcMar>
              <w:top w:w="80" w:type="dxa"/>
              <w:start w:w="100" w:type="dxa"/>
              <w:bottom w:w="80" w:type="dxa"/>
              <w:end w:w="100" w:type="dxa"/>
            </w:tcMar>
            <w:vAlign w:val="center"/>
          </w:tcPr>
          <w:p>
            <w:r>
              <w:rPr>
                <w:sz w:val="16"/>
              </w:rPr>
              <w:t>Logical agent design and immutable released version.</w:t>
            </w:r>
          </w:p>
        </w:tc>
        <w:tc>
          <w:tcPr>
            <w:tcW w:type="dxa" w:w="3312"/>
            <w:tcMar>
              <w:top w:w="80" w:type="dxa"/>
              <w:start w:w="100" w:type="dxa"/>
              <w:bottom w:w="80" w:type="dxa"/>
              <w:end w:w="100" w:type="dxa"/>
            </w:tcMar>
            <w:vAlign w:val="center"/>
          </w:tcPr>
          <w:p>
            <w:r>
              <w:rPr>
                <w:sz w:val="16"/>
              </w:rPr>
              <w:t>agent_spec_id, agent_version_id, manifests, policies, evaluation baseline</w:t>
            </w:r>
          </w:p>
        </w:tc>
      </w:tr>
      <w:tr>
        <w:tc>
          <w:tcPr>
            <w:tcW w:type="dxa" w:w="3312"/>
            <w:tcMar>
              <w:top w:w="80" w:type="dxa"/>
              <w:start w:w="100" w:type="dxa"/>
              <w:bottom w:w="80" w:type="dxa"/>
              <w:end w:w="100" w:type="dxa"/>
            </w:tcMar>
            <w:vAlign w:val="center"/>
            <w:shd w:fill="EAF2F8"/>
          </w:tcPr>
          <w:p>
            <w:r>
              <w:rPr>
                <w:b/>
                <w:color w:val="1F4E79"/>
                <w:sz w:val="16"/>
              </w:rPr>
              <w:t>TaskSpec / TaskResult</w:t>
            </w:r>
          </w:p>
        </w:tc>
        <w:tc>
          <w:tcPr>
            <w:tcW w:type="dxa" w:w="3312"/>
            <w:tcMar>
              <w:top w:w="80" w:type="dxa"/>
              <w:start w:w="100" w:type="dxa"/>
              <w:bottom w:w="80" w:type="dxa"/>
              <w:end w:w="100" w:type="dxa"/>
            </w:tcMar>
            <w:vAlign w:val="center"/>
          </w:tcPr>
          <w:p>
            <w:r>
              <w:rPr>
                <w:sz w:val="16"/>
              </w:rPr>
              <w:t>Runnable unit and normalized result.</w:t>
            </w:r>
          </w:p>
        </w:tc>
        <w:tc>
          <w:tcPr>
            <w:tcW w:type="dxa" w:w="3312"/>
            <w:tcMar>
              <w:top w:w="80" w:type="dxa"/>
              <w:start w:w="100" w:type="dxa"/>
              <w:bottom w:w="80" w:type="dxa"/>
              <w:end w:w="100" w:type="dxa"/>
            </w:tcMar>
            <w:vAlign w:val="center"/>
          </w:tcPr>
          <w:p>
            <w:r>
              <w:rPr>
                <w:sz w:val="16"/>
              </w:rPr>
              <w:t>task_id, task_attempt_id, worker_id, outputs, cost, status</w:t>
            </w:r>
          </w:p>
        </w:tc>
      </w:tr>
      <w:tr>
        <w:tc>
          <w:tcPr>
            <w:tcW w:type="dxa" w:w="3312"/>
            <w:tcMar>
              <w:top w:w="80" w:type="dxa"/>
              <w:start w:w="100" w:type="dxa"/>
              <w:bottom w:w="80" w:type="dxa"/>
              <w:end w:w="100" w:type="dxa"/>
            </w:tcMar>
            <w:vAlign w:val="center"/>
            <w:shd w:fill="EAF2F8"/>
          </w:tcPr>
          <w:p>
            <w:r>
              <w:rPr>
                <w:b/>
                <w:color w:val="1F4E79"/>
                <w:sz w:val="16"/>
              </w:rPr>
              <w:t>EvaluationReport</w:t>
            </w:r>
          </w:p>
        </w:tc>
        <w:tc>
          <w:tcPr>
            <w:tcW w:type="dxa" w:w="3312"/>
            <w:tcMar>
              <w:top w:w="80" w:type="dxa"/>
              <w:start w:w="100" w:type="dxa"/>
              <w:bottom w:w="80" w:type="dxa"/>
              <w:end w:w="100" w:type="dxa"/>
            </w:tcMar>
            <w:vAlign w:val="center"/>
          </w:tcPr>
          <w:p>
            <w:r>
              <w:rPr>
                <w:sz w:val="16"/>
              </w:rPr>
              <w:t>Quality and safety evidence for promotion.</w:t>
            </w:r>
          </w:p>
        </w:tc>
        <w:tc>
          <w:tcPr>
            <w:tcW w:type="dxa" w:w="3312"/>
            <w:tcMar>
              <w:top w:w="80" w:type="dxa"/>
              <w:start w:w="100" w:type="dxa"/>
              <w:bottom w:w="80" w:type="dxa"/>
              <w:end w:w="100" w:type="dxa"/>
            </w:tcMar>
            <w:vAlign w:val="center"/>
          </w:tcPr>
          <w:p>
            <w:r>
              <w:rPr>
                <w:sz w:val="16"/>
              </w:rPr>
              <w:t>candidate_id, metrics, failures, recommendation</w:t>
            </w:r>
          </w:p>
        </w:tc>
      </w:tr>
      <w:tr>
        <w:tc>
          <w:tcPr>
            <w:tcW w:type="dxa" w:w="3312"/>
            <w:tcMar>
              <w:top w:w="80" w:type="dxa"/>
              <w:start w:w="100" w:type="dxa"/>
              <w:bottom w:w="80" w:type="dxa"/>
              <w:end w:w="100" w:type="dxa"/>
            </w:tcMar>
            <w:vAlign w:val="center"/>
            <w:shd w:fill="EAF2F8"/>
          </w:tcPr>
          <w:p>
            <w:r>
              <w:rPr>
                <w:b/>
                <w:color w:val="1F4E79"/>
                <w:sz w:val="16"/>
              </w:rPr>
              <w:t>AuditEvent</w:t>
            </w:r>
          </w:p>
        </w:tc>
        <w:tc>
          <w:tcPr>
            <w:tcW w:type="dxa" w:w="3312"/>
            <w:tcMar>
              <w:top w:w="80" w:type="dxa"/>
              <w:start w:w="100" w:type="dxa"/>
              <w:bottom w:w="80" w:type="dxa"/>
              <w:end w:w="100" w:type="dxa"/>
            </w:tcMar>
            <w:vAlign w:val="center"/>
          </w:tcPr>
          <w:p>
            <w:r>
              <w:rPr>
                <w:sz w:val="16"/>
              </w:rPr>
              <w:t>Tamper-evident evidence stream item.</w:t>
            </w:r>
          </w:p>
        </w:tc>
        <w:tc>
          <w:tcPr>
            <w:tcW w:type="dxa" w:w="3312"/>
            <w:tcMar>
              <w:top w:w="80" w:type="dxa"/>
              <w:start w:w="100" w:type="dxa"/>
              <w:bottom w:w="80" w:type="dxa"/>
              <w:end w:w="100" w:type="dxa"/>
            </w:tcMar>
            <w:vAlign w:val="center"/>
          </w:tcPr>
          <w:p>
            <w:r>
              <w:rPr>
                <w:sz w:val="16"/>
              </w:rPr>
              <w:t>event_id, actor, action, target, prev_hash, hash, timestamp</w:t>
            </w:r>
          </w:p>
        </w:tc>
      </w:tr>
    </w:tbl>
    <w:p/>
    <w:p>
      <w:pPr>
        <w:pStyle w:val="HeadingBlue2"/>
      </w:pPr>
      <w:r>
        <w:t>8.2 External interfaces</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872"/>
        <w:gridCol w:w="1584"/>
        <w:gridCol w:w="5544"/>
      </w:tblGrid>
      <w:tr>
        <w:trPr>
          <w:tblHeader w:val="true"/>
        </w:trPr>
        <w:tc>
          <w:tcPr>
            <w:tcW w:type="dxa" w:w="3312"/>
            <w:shd w:fill="1F4E79"/>
            <w:tcMar>
              <w:top w:w="80" w:type="dxa"/>
              <w:start w:w="100" w:type="dxa"/>
              <w:bottom w:w="80" w:type="dxa"/>
              <w:end w:w="100" w:type="dxa"/>
            </w:tcMar>
          </w:tcPr>
          <w:p>
            <w:pPr>
              <w:jc w:val="center"/>
            </w:pPr>
            <w:r>
              <w:rPr>
                <w:b/>
                <w:color w:val="FFFFFF"/>
                <w:sz w:val="17"/>
              </w:rPr>
              <w:t>Interface</w:t>
            </w:r>
          </w:p>
        </w:tc>
        <w:tc>
          <w:tcPr>
            <w:tcW w:type="dxa" w:w="3312"/>
            <w:shd w:fill="1F4E79"/>
            <w:tcMar>
              <w:top w:w="80" w:type="dxa"/>
              <w:start w:w="100" w:type="dxa"/>
              <w:bottom w:w="80" w:type="dxa"/>
              <w:end w:w="100" w:type="dxa"/>
            </w:tcMar>
          </w:tcPr>
          <w:p>
            <w:pPr>
              <w:jc w:val="center"/>
            </w:pPr>
            <w:r>
              <w:rPr>
                <w:b/>
                <w:color w:val="FFFFFF"/>
                <w:sz w:val="17"/>
              </w:rPr>
              <w:t>Type</w:t>
            </w:r>
          </w:p>
        </w:tc>
        <w:tc>
          <w:tcPr>
            <w:tcW w:type="dxa" w:w="3312"/>
            <w:shd w:fill="1F4E79"/>
            <w:tcMar>
              <w:top w:w="80" w:type="dxa"/>
              <w:start w:w="100" w:type="dxa"/>
              <w:bottom w:w="80" w:type="dxa"/>
              <w:end w:w="100" w:type="dxa"/>
            </w:tcMar>
          </w:tcPr>
          <w:p>
            <w:pPr>
              <w:jc w:val="center"/>
            </w:pPr>
            <w:r>
              <w:rPr>
                <w:b/>
                <w:color w:val="FFFFFF"/>
                <w:sz w:val="17"/>
              </w:rPr>
              <w:t>Requirement</w:t>
            </w:r>
          </w:p>
        </w:tc>
      </w:tr>
      <w:tr>
        <w:tc>
          <w:tcPr>
            <w:tcW w:type="dxa" w:w="3312"/>
            <w:tcMar>
              <w:top w:w="80" w:type="dxa"/>
              <w:start w:w="100" w:type="dxa"/>
              <w:bottom w:w="80" w:type="dxa"/>
              <w:end w:w="100" w:type="dxa"/>
            </w:tcMar>
            <w:vAlign w:val="center"/>
            <w:shd w:fill="EAF2F8"/>
          </w:tcPr>
          <w:p>
            <w:r>
              <w:rPr>
                <w:b/>
                <w:color w:val="1F4E79"/>
                <w:sz w:val="16"/>
              </w:rPr>
              <w:t>Product web app</w:t>
            </w:r>
          </w:p>
        </w:tc>
        <w:tc>
          <w:tcPr>
            <w:tcW w:type="dxa" w:w="3312"/>
            <w:tcMar>
              <w:top w:w="80" w:type="dxa"/>
              <w:start w:w="100" w:type="dxa"/>
              <w:bottom w:w="80" w:type="dxa"/>
              <w:end w:w="100" w:type="dxa"/>
            </w:tcMar>
            <w:vAlign w:val="center"/>
          </w:tcPr>
          <w:p>
            <w:r>
              <w:rPr>
                <w:sz w:val="16"/>
              </w:rPr>
              <w:t>HTTPS</w:t>
            </w:r>
          </w:p>
        </w:tc>
        <w:tc>
          <w:tcPr>
            <w:tcW w:type="dxa" w:w="3312"/>
            <w:tcMar>
              <w:top w:w="80" w:type="dxa"/>
              <w:start w:w="100" w:type="dxa"/>
              <w:bottom w:w="80" w:type="dxa"/>
              <w:end w:w="100" w:type="dxa"/>
            </w:tcMar>
            <w:vAlign w:val="center"/>
          </w:tcPr>
          <w:p>
            <w:r>
              <w:rPr>
                <w:sz w:val="16"/>
              </w:rPr>
              <w:t>Provide authenticated lifecycle workflows for design, evaluation, deployment, runtime inspection, and governance.</w:t>
            </w:r>
          </w:p>
        </w:tc>
      </w:tr>
      <w:tr>
        <w:tc>
          <w:tcPr>
            <w:tcW w:type="dxa" w:w="3312"/>
            <w:tcMar>
              <w:top w:w="80" w:type="dxa"/>
              <w:start w:w="100" w:type="dxa"/>
              <w:bottom w:w="80" w:type="dxa"/>
              <w:end w:w="100" w:type="dxa"/>
            </w:tcMar>
            <w:vAlign w:val="center"/>
            <w:shd w:fill="EAF2F8"/>
          </w:tcPr>
          <w:p>
            <w:r>
              <w:rPr>
                <w:b/>
                <w:color w:val="1F4E79"/>
                <w:sz w:val="16"/>
              </w:rPr>
              <w:t>Public API</w:t>
            </w:r>
          </w:p>
        </w:tc>
        <w:tc>
          <w:tcPr>
            <w:tcW w:type="dxa" w:w="3312"/>
            <w:tcMar>
              <w:top w:w="80" w:type="dxa"/>
              <w:start w:w="100" w:type="dxa"/>
              <w:bottom w:w="80" w:type="dxa"/>
              <w:end w:w="100" w:type="dxa"/>
            </w:tcMar>
            <w:vAlign w:val="center"/>
          </w:tcPr>
          <w:p>
            <w:r>
              <w:rPr>
                <w:sz w:val="16"/>
              </w:rPr>
              <w:t>REST/gRPC</w:t>
            </w:r>
          </w:p>
        </w:tc>
        <w:tc>
          <w:tcPr>
            <w:tcW w:type="dxa" w:w="3312"/>
            <w:tcMar>
              <w:top w:w="80" w:type="dxa"/>
              <w:start w:w="100" w:type="dxa"/>
              <w:bottom w:w="80" w:type="dxa"/>
              <w:end w:w="100" w:type="dxa"/>
            </w:tcMar>
            <w:vAlign w:val="center"/>
          </w:tcPr>
          <w:p>
            <w:r>
              <w:rPr>
                <w:sz w:val="16"/>
              </w:rPr>
              <w:t>Expose run creation, run state, package retrieval, evaluation results, and deployment operations via versioned endpoints.</w:t>
            </w:r>
          </w:p>
        </w:tc>
      </w:tr>
      <w:tr>
        <w:tc>
          <w:tcPr>
            <w:tcW w:type="dxa" w:w="3312"/>
            <w:tcMar>
              <w:top w:w="80" w:type="dxa"/>
              <w:start w:w="100" w:type="dxa"/>
              <w:bottom w:w="80" w:type="dxa"/>
              <w:end w:w="100" w:type="dxa"/>
            </w:tcMar>
            <w:vAlign w:val="center"/>
            <w:shd w:fill="EAF2F8"/>
          </w:tcPr>
          <w:p>
            <w:r>
              <w:rPr>
                <w:b/>
                <w:color w:val="1F4E79"/>
                <w:sz w:val="16"/>
              </w:rPr>
              <w:t>Event backbone</w:t>
            </w:r>
          </w:p>
        </w:tc>
        <w:tc>
          <w:tcPr>
            <w:tcW w:type="dxa" w:w="3312"/>
            <w:tcMar>
              <w:top w:w="80" w:type="dxa"/>
              <w:start w:w="100" w:type="dxa"/>
              <w:bottom w:w="80" w:type="dxa"/>
              <w:end w:w="100" w:type="dxa"/>
            </w:tcMar>
            <w:vAlign w:val="center"/>
          </w:tcPr>
          <w:p>
            <w:r>
              <w:rPr>
                <w:sz w:val="16"/>
              </w:rPr>
              <w:t>Kafka-compatible</w:t>
            </w:r>
          </w:p>
        </w:tc>
        <w:tc>
          <w:tcPr>
            <w:tcW w:type="dxa" w:w="3312"/>
            <w:tcMar>
              <w:top w:w="80" w:type="dxa"/>
              <w:start w:w="100" w:type="dxa"/>
              <w:bottom w:w="80" w:type="dxa"/>
              <w:end w:w="100" w:type="dxa"/>
            </w:tcMar>
            <w:vAlign w:val="center"/>
          </w:tcPr>
          <w:p>
            <w:r>
              <w:rPr>
                <w:sz w:val="16"/>
              </w:rPr>
              <w:t>Emit domain events for runs, tasks, evaluations, releases, alerts, and audit fan-out.</w:t>
            </w:r>
          </w:p>
        </w:tc>
      </w:tr>
      <w:tr>
        <w:tc>
          <w:tcPr>
            <w:tcW w:type="dxa" w:w="3312"/>
            <w:tcMar>
              <w:top w:w="80" w:type="dxa"/>
              <w:start w:w="100" w:type="dxa"/>
              <w:bottom w:w="80" w:type="dxa"/>
              <w:end w:w="100" w:type="dxa"/>
            </w:tcMar>
            <w:vAlign w:val="center"/>
            <w:shd w:fill="EAF2F8"/>
          </w:tcPr>
          <w:p>
            <w:r>
              <w:rPr>
                <w:b/>
                <w:color w:val="1F4E79"/>
                <w:sz w:val="16"/>
              </w:rPr>
              <w:t>Model providers</w:t>
            </w:r>
          </w:p>
        </w:tc>
        <w:tc>
          <w:tcPr>
            <w:tcW w:type="dxa" w:w="3312"/>
            <w:tcMar>
              <w:top w:w="80" w:type="dxa"/>
              <w:start w:w="100" w:type="dxa"/>
              <w:bottom w:w="80" w:type="dxa"/>
              <w:end w:w="100" w:type="dxa"/>
            </w:tcMar>
            <w:vAlign w:val="center"/>
          </w:tcPr>
          <w:p>
            <w:r>
              <w:rPr>
                <w:sz w:val="16"/>
              </w:rPr>
              <w:t>SDK / HTTPS</w:t>
            </w:r>
          </w:p>
        </w:tc>
        <w:tc>
          <w:tcPr>
            <w:tcW w:type="dxa" w:w="3312"/>
            <w:tcMar>
              <w:top w:w="80" w:type="dxa"/>
              <w:start w:w="100" w:type="dxa"/>
              <w:bottom w:w="80" w:type="dxa"/>
              <w:end w:w="100" w:type="dxa"/>
            </w:tcMar>
            <w:vAlign w:val="center"/>
          </w:tcPr>
          <w:p>
            <w:r>
              <w:rPr>
                <w:sz w:val="16"/>
              </w:rPr>
              <w:t>Route all model inference through a single Model Gateway with policy, quotas, and observability.</w:t>
            </w:r>
          </w:p>
        </w:tc>
      </w:tr>
      <w:tr>
        <w:tc>
          <w:tcPr>
            <w:tcW w:type="dxa" w:w="3312"/>
            <w:tcMar>
              <w:top w:w="80" w:type="dxa"/>
              <w:start w:w="100" w:type="dxa"/>
              <w:bottom w:w="80" w:type="dxa"/>
              <w:end w:w="100" w:type="dxa"/>
            </w:tcMar>
            <w:vAlign w:val="center"/>
            <w:shd w:fill="EAF2F8"/>
          </w:tcPr>
          <w:p>
            <w:r>
              <w:rPr>
                <w:b/>
                <w:color w:val="1F4E79"/>
                <w:sz w:val="16"/>
              </w:rPr>
              <w:t>Knowledge connectors</w:t>
            </w:r>
          </w:p>
        </w:tc>
        <w:tc>
          <w:tcPr>
            <w:tcW w:type="dxa" w:w="3312"/>
            <w:tcMar>
              <w:top w:w="80" w:type="dxa"/>
              <w:start w:w="100" w:type="dxa"/>
              <w:bottom w:w="80" w:type="dxa"/>
              <w:end w:w="100" w:type="dxa"/>
            </w:tcMar>
            <w:vAlign w:val="center"/>
          </w:tcPr>
          <w:p>
            <w:r>
              <w:rPr>
                <w:sz w:val="16"/>
              </w:rPr>
              <w:t>Batch/stream</w:t>
            </w:r>
          </w:p>
        </w:tc>
        <w:tc>
          <w:tcPr>
            <w:tcW w:type="dxa" w:w="3312"/>
            <w:tcMar>
              <w:top w:w="80" w:type="dxa"/>
              <w:start w:w="100" w:type="dxa"/>
              <w:bottom w:w="80" w:type="dxa"/>
              <w:end w:w="100" w:type="dxa"/>
            </w:tcMar>
            <w:vAlign w:val="center"/>
          </w:tcPr>
          <w:p>
            <w:r>
              <w:rPr>
                <w:sz w:val="16"/>
              </w:rPr>
              <w:t>Ingest documents, tickets, code, and artifacts with lineage metadata and access control.</w:t>
            </w:r>
          </w:p>
        </w:tc>
      </w:tr>
    </w:tbl>
    <w:p/>
    <w:p>
      <w:pPr>
        <w:pStyle w:val="HeadingBlue"/>
      </w:pPr>
      <w:r>
        <w:t>9. Required technology stacks (recommended target architecture)</w:t>
      </w:r>
    </w:p>
    <w:tbl>
      <w:tblPr>
        <w:tblW w:type="auto" w:w="0"/>
        <w:tblLayout w:type="fixed"/>
        <w:tblLook w:firstColumn="1" w:firstRow="1" w:lastColumn="0" w:lastRow="0" w:noHBand="0" w:noVBand="1" w:val="04A0"/>
      </w:tblPr>
      <w:tblGrid>
        <w:gridCol w:w="9216"/>
      </w:tblGrid>
      <w:tr>
        <w:tc>
          <w:tcPr>
            <w:tcW w:type="dxa" w:w="9936"/>
            <w:shd w:fill="E2F0D9"/>
            <w:tcMar>
              <w:top w:w="90" w:type="dxa"/>
              <w:start w:w="120" w:type="dxa"/>
              <w:bottom w:w="90" w:type="dxa"/>
              <w:end w:w="120" w:type="dxa"/>
            </w:tcMar>
          </w:tcPr>
          <w:p>
            <w:pPr>
              <w:pStyle w:val="Callout"/>
            </w:pPr>
            <w:r>
              <w:rPr>
                <w:b/>
                <w:color w:val="1F4E79"/>
              </w:rPr>
              <w:t>Stack strategy: choose boring, durable platform technologies for the online path; isolate experimental AI capabilities to the improvement plane.</w:t>
            </w:r>
          </w:p>
        </w:tc>
      </w:tr>
    </w:tbl>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088"/>
        <w:gridCol w:w="3528"/>
        <w:gridCol w:w="3384"/>
      </w:tblGrid>
      <w:tr>
        <w:trPr>
          <w:tblHeader w:val="true"/>
        </w:trPr>
        <w:tc>
          <w:tcPr>
            <w:tcW w:type="dxa" w:w="3312"/>
            <w:shd w:fill="1F4E79"/>
            <w:tcMar>
              <w:top w:w="80" w:type="dxa"/>
              <w:start w:w="100" w:type="dxa"/>
              <w:bottom w:w="80" w:type="dxa"/>
              <w:end w:w="100" w:type="dxa"/>
            </w:tcMar>
          </w:tcPr>
          <w:p>
            <w:pPr>
              <w:jc w:val="center"/>
            </w:pPr>
            <w:r>
              <w:rPr>
                <w:b/>
                <w:color w:val="FFFFFF"/>
                <w:sz w:val="17"/>
              </w:rPr>
              <w:t>Layer</w:t>
            </w:r>
          </w:p>
        </w:tc>
        <w:tc>
          <w:tcPr>
            <w:tcW w:type="dxa" w:w="3312"/>
            <w:shd w:fill="1F4E79"/>
            <w:tcMar>
              <w:top w:w="80" w:type="dxa"/>
              <w:start w:w="100" w:type="dxa"/>
              <w:bottom w:w="80" w:type="dxa"/>
              <w:end w:w="100" w:type="dxa"/>
            </w:tcMar>
          </w:tcPr>
          <w:p>
            <w:pPr>
              <w:jc w:val="center"/>
            </w:pPr>
            <w:r>
              <w:rPr>
                <w:b/>
                <w:color w:val="FFFFFF"/>
                <w:sz w:val="17"/>
              </w:rPr>
              <w:t>Recommended stack</w:t>
            </w:r>
          </w:p>
        </w:tc>
        <w:tc>
          <w:tcPr>
            <w:tcW w:type="dxa" w:w="3312"/>
            <w:shd w:fill="1F4E79"/>
            <w:tcMar>
              <w:top w:w="80" w:type="dxa"/>
              <w:start w:w="100" w:type="dxa"/>
              <w:bottom w:w="80" w:type="dxa"/>
              <w:end w:w="100" w:type="dxa"/>
            </w:tcMar>
          </w:tcPr>
          <w:p>
            <w:pPr>
              <w:jc w:val="center"/>
            </w:pPr>
            <w:r>
              <w:rPr>
                <w:b/>
                <w:color w:val="FFFFFF"/>
                <w:sz w:val="17"/>
              </w:rPr>
              <w:t>Why this stack fits</w:t>
            </w:r>
          </w:p>
        </w:tc>
      </w:tr>
      <w:tr>
        <w:tc>
          <w:tcPr>
            <w:tcW w:type="dxa" w:w="3312"/>
            <w:tcMar>
              <w:top w:w="80" w:type="dxa"/>
              <w:start w:w="100" w:type="dxa"/>
              <w:bottom w:w="80" w:type="dxa"/>
              <w:end w:w="100" w:type="dxa"/>
            </w:tcMar>
            <w:vAlign w:val="center"/>
            <w:shd w:fill="EAF2F8"/>
          </w:tcPr>
          <w:p>
            <w:r>
              <w:rPr>
                <w:b/>
                <w:color w:val="1F4E79"/>
                <w:sz w:val="16"/>
              </w:rPr>
              <w:t>Frontend web app</w:t>
            </w:r>
          </w:p>
        </w:tc>
        <w:tc>
          <w:tcPr>
            <w:tcW w:type="dxa" w:w="3312"/>
            <w:tcMar>
              <w:top w:w="80" w:type="dxa"/>
              <w:start w:w="100" w:type="dxa"/>
              <w:bottom w:w="80" w:type="dxa"/>
              <w:end w:w="100" w:type="dxa"/>
            </w:tcMar>
            <w:vAlign w:val="center"/>
          </w:tcPr>
          <w:p>
            <w:r>
              <w:rPr>
                <w:sz w:val="16"/>
              </w:rPr>
              <w:t>Next.js (React, TypeScript), Tailwind CSS, TanStack Query, Zustand or Redux Toolkit, Storybook</w:t>
            </w:r>
          </w:p>
        </w:tc>
        <w:tc>
          <w:tcPr>
            <w:tcW w:type="dxa" w:w="3312"/>
            <w:tcMar>
              <w:top w:w="80" w:type="dxa"/>
              <w:start w:w="100" w:type="dxa"/>
              <w:bottom w:w="80" w:type="dxa"/>
              <w:end w:w="100" w:type="dxa"/>
            </w:tcMar>
            <w:vAlign w:val="center"/>
          </w:tcPr>
          <w:p>
            <w:r>
              <w:rPr>
                <w:sz w:val="16"/>
              </w:rPr>
              <w:t>Strong fit for complex enterprise web UX, design system reuse, authenticated dashboards, and server/client rendering balance.</w:t>
            </w:r>
          </w:p>
        </w:tc>
      </w:tr>
      <w:tr>
        <w:tc>
          <w:tcPr>
            <w:tcW w:type="dxa" w:w="3312"/>
            <w:tcMar>
              <w:top w:w="80" w:type="dxa"/>
              <w:start w:w="100" w:type="dxa"/>
              <w:bottom w:w="80" w:type="dxa"/>
              <w:end w:w="100" w:type="dxa"/>
            </w:tcMar>
            <w:vAlign w:val="center"/>
            <w:shd w:fill="EAF2F8"/>
          </w:tcPr>
          <w:p>
            <w:r>
              <w:rPr>
                <w:b/>
                <w:color w:val="1F4E79"/>
                <w:sz w:val="16"/>
              </w:rPr>
              <w:t>API layer</w:t>
            </w:r>
          </w:p>
        </w:tc>
        <w:tc>
          <w:tcPr>
            <w:tcW w:type="dxa" w:w="3312"/>
            <w:tcMar>
              <w:top w:w="80" w:type="dxa"/>
              <w:start w:w="100" w:type="dxa"/>
              <w:bottom w:w="80" w:type="dxa"/>
              <w:end w:w="100" w:type="dxa"/>
            </w:tcMar>
            <w:vAlign w:val="center"/>
          </w:tcPr>
          <w:p>
            <w:r>
              <w:rPr>
                <w:sz w:val="16"/>
              </w:rPr>
              <w:t>Python 3.12+, FastAPI, Pydantic v2, Uvicorn/Gunicorn</w:t>
            </w:r>
          </w:p>
        </w:tc>
        <w:tc>
          <w:tcPr>
            <w:tcW w:type="dxa" w:w="3312"/>
            <w:tcMar>
              <w:top w:w="80" w:type="dxa"/>
              <w:start w:w="100" w:type="dxa"/>
              <w:bottom w:w="80" w:type="dxa"/>
              <w:end w:w="100" w:type="dxa"/>
            </w:tcMar>
            <w:vAlign w:val="center"/>
          </w:tcPr>
          <w:p>
            <w:r>
              <w:rPr>
                <w:sz w:val="16"/>
              </w:rPr>
              <w:t>Fast API development, typed contracts, excellent fit for Python-heavy AI platforms and generated docs/openapi.</w:t>
            </w:r>
          </w:p>
        </w:tc>
      </w:tr>
      <w:tr>
        <w:tc>
          <w:tcPr>
            <w:tcW w:type="dxa" w:w="3312"/>
            <w:tcMar>
              <w:top w:w="80" w:type="dxa"/>
              <w:start w:w="100" w:type="dxa"/>
              <w:bottom w:w="80" w:type="dxa"/>
              <w:end w:w="100" w:type="dxa"/>
            </w:tcMar>
            <w:vAlign w:val="center"/>
            <w:shd w:fill="EAF2F8"/>
          </w:tcPr>
          <w:p>
            <w:r>
              <w:rPr>
                <w:b/>
                <w:color w:val="1F4E79"/>
                <w:sz w:val="16"/>
              </w:rPr>
              <w:t>Workflow / orchestration</w:t>
            </w:r>
          </w:p>
        </w:tc>
        <w:tc>
          <w:tcPr>
            <w:tcW w:type="dxa" w:w="3312"/>
            <w:tcMar>
              <w:top w:w="80" w:type="dxa"/>
              <w:start w:w="100" w:type="dxa"/>
              <w:bottom w:w="80" w:type="dxa"/>
              <w:end w:w="100" w:type="dxa"/>
            </w:tcMar>
            <w:vAlign w:val="center"/>
          </w:tcPr>
          <w:p>
            <w:r>
              <w:rPr>
                <w:sz w:val="16"/>
              </w:rPr>
              <w:t>Temporal</w:t>
            </w:r>
          </w:p>
        </w:tc>
        <w:tc>
          <w:tcPr>
            <w:tcW w:type="dxa" w:w="3312"/>
            <w:tcMar>
              <w:top w:w="80" w:type="dxa"/>
              <w:start w:w="100" w:type="dxa"/>
              <w:bottom w:w="80" w:type="dxa"/>
              <w:end w:w="100" w:type="dxa"/>
            </w:tcMar>
            <w:vAlign w:val="center"/>
          </w:tcPr>
          <w:p>
            <w:r>
              <w:rPr>
                <w:sz w:val="16"/>
              </w:rPr>
              <w:t>Durable long-running workflows, retries, resumability, and clear separation between workflow state and worker execution.</w:t>
            </w:r>
          </w:p>
        </w:tc>
      </w:tr>
      <w:tr>
        <w:tc>
          <w:tcPr>
            <w:tcW w:type="dxa" w:w="3312"/>
            <w:tcMar>
              <w:top w:w="80" w:type="dxa"/>
              <w:start w:w="100" w:type="dxa"/>
              <w:bottom w:w="80" w:type="dxa"/>
              <w:end w:w="100" w:type="dxa"/>
            </w:tcMar>
            <w:vAlign w:val="center"/>
            <w:shd w:fill="EAF2F8"/>
          </w:tcPr>
          <w:p>
            <w:r>
              <w:rPr>
                <w:b/>
                <w:color w:val="1F4E79"/>
                <w:sz w:val="16"/>
              </w:rPr>
              <w:t>Event streaming</w:t>
            </w:r>
          </w:p>
        </w:tc>
        <w:tc>
          <w:tcPr>
            <w:tcW w:type="dxa" w:w="3312"/>
            <w:tcMar>
              <w:top w:w="80" w:type="dxa"/>
              <w:start w:w="100" w:type="dxa"/>
              <w:bottom w:w="80" w:type="dxa"/>
              <w:end w:w="100" w:type="dxa"/>
            </w:tcMar>
            <w:vAlign w:val="center"/>
          </w:tcPr>
          <w:p>
            <w:r>
              <w:rPr>
                <w:sz w:val="16"/>
              </w:rPr>
              <w:t>Apache Kafka (or Redpanda for simpler ops in some environments)</w:t>
            </w:r>
          </w:p>
        </w:tc>
        <w:tc>
          <w:tcPr>
            <w:tcW w:type="dxa" w:w="3312"/>
            <w:tcMar>
              <w:top w:w="80" w:type="dxa"/>
              <w:start w:w="100" w:type="dxa"/>
              <w:bottom w:w="80" w:type="dxa"/>
              <w:end w:w="100" w:type="dxa"/>
            </w:tcMar>
            <w:vAlign w:val="center"/>
          </w:tcPr>
          <w:p>
            <w:r>
              <w:rPr>
                <w:sz w:val="16"/>
              </w:rPr>
              <w:t>Reliable domain-event backbone for runs, tasks, releases, telemetry fan-out, and async integrations.</w:t>
            </w:r>
          </w:p>
        </w:tc>
      </w:tr>
      <w:tr>
        <w:tc>
          <w:tcPr>
            <w:tcW w:type="dxa" w:w="3312"/>
            <w:tcMar>
              <w:top w:w="80" w:type="dxa"/>
              <w:start w:w="100" w:type="dxa"/>
              <w:bottom w:w="80" w:type="dxa"/>
              <w:end w:w="100" w:type="dxa"/>
            </w:tcMar>
            <w:vAlign w:val="center"/>
            <w:shd w:fill="EAF2F8"/>
          </w:tcPr>
          <w:p>
            <w:r>
              <w:rPr>
                <w:b/>
                <w:color w:val="1F4E79"/>
                <w:sz w:val="16"/>
              </w:rPr>
              <w:t>Runtime workers</w:t>
            </w:r>
          </w:p>
        </w:tc>
        <w:tc>
          <w:tcPr>
            <w:tcW w:type="dxa" w:w="3312"/>
            <w:tcMar>
              <w:top w:w="80" w:type="dxa"/>
              <w:start w:w="100" w:type="dxa"/>
              <w:bottom w:w="80" w:type="dxa"/>
              <w:end w:w="100" w:type="dxa"/>
            </w:tcMar>
            <w:vAlign w:val="center"/>
          </w:tcPr>
          <w:p>
            <w:r>
              <w:rPr>
                <w:sz w:val="16"/>
              </w:rPr>
              <w:t>Python worker services in containers; sandbox execution using Kubernetes jobs/pods and isolated service accounts</w:t>
            </w:r>
          </w:p>
        </w:tc>
        <w:tc>
          <w:tcPr>
            <w:tcW w:type="dxa" w:w="3312"/>
            <w:tcMar>
              <w:top w:w="80" w:type="dxa"/>
              <w:start w:w="100" w:type="dxa"/>
              <w:bottom w:w="80" w:type="dxa"/>
              <w:end w:w="100" w:type="dxa"/>
            </w:tcMar>
            <w:vAlign w:val="center"/>
          </w:tcPr>
          <w:p>
            <w:r>
              <w:rPr>
                <w:sz w:val="16"/>
              </w:rPr>
              <w:t>Keeps execution close to the Python AI ecosystem while allowing horizontal scaling and isolation.</w:t>
            </w:r>
          </w:p>
        </w:tc>
      </w:tr>
      <w:tr>
        <w:tc>
          <w:tcPr>
            <w:tcW w:type="dxa" w:w="3312"/>
            <w:tcMar>
              <w:top w:w="80" w:type="dxa"/>
              <w:start w:w="100" w:type="dxa"/>
              <w:bottom w:w="80" w:type="dxa"/>
              <w:end w:w="100" w:type="dxa"/>
            </w:tcMar>
            <w:vAlign w:val="center"/>
            <w:shd w:fill="EAF2F8"/>
          </w:tcPr>
          <w:p>
            <w:r>
              <w:rPr>
                <w:b/>
                <w:color w:val="1F4E79"/>
                <w:sz w:val="16"/>
              </w:rPr>
              <w:t>Primary OLTP database</w:t>
            </w:r>
          </w:p>
        </w:tc>
        <w:tc>
          <w:tcPr>
            <w:tcW w:type="dxa" w:w="3312"/>
            <w:tcMar>
              <w:top w:w="80" w:type="dxa"/>
              <w:start w:w="100" w:type="dxa"/>
              <w:bottom w:w="80" w:type="dxa"/>
              <w:end w:w="100" w:type="dxa"/>
            </w:tcMar>
            <w:vAlign w:val="center"/>
          </w:tcPr>
          <w:p>
            <w:r>
              <w:rPr>
                <w:sz w:val="16"/>
              </w:rPr>
              <w:t>PostgreSQL 16+ (managed service preferred)</w:t>
            </w:r>
          </w:p>
        </w:tc>
        <w:tc>
          <w:tcPr>
            <w:tcW w:type="dxa" w:w="3312"/>
            <w:tcMar>
              <w:top w:w="80" w:type="dxa"/>
              <w:start w:w="100" w:type="dxa"/>
              <w:bottom w:w="80" w:type="dxa"/>
              <w:end w:w="100" w:type="dxa"/>
            </w:tcMar>
            <w:vAlign w:val="center"/>
          </w:tcPr>
          <w:p>
            <w:r>
              <w:rPr>
                <w:sz w:val="16"/>
              </w:rPr>
              <w:t>Operational truth for runs, plans, approvals, identities, manifests, and governance state.</w:t>
            </w:r>
          </w:p>
        </w:tc>
      </w:tr>
      <w:tr>
        <w:tc>
          <w:tcPr>
            <w:tcW w:type="dxa" w:w="3312"/>
            <w:tcMar>
              <w:top w:w="80" w:type="dxa"/>
              <w:start w:w="100" w:type="dxa"/>
              <w:bottom w:w="80" w:type="dxa"/>
              <w:end w:w="100" w:type="dxa"/>
            </w:tcMar>
            <w:vAlign w:val="center"/>
            <w:shd w:fill="EAF2F8"/>
          </w:tcPr>
          <w:p>
            <w:r>
              <w:rPr>
                <w:b/>
                <w:color w:val="1F4E79"/>
                <w:sz w:val="16"/>
              </w:rPr>
              <w:t>Vector and hybrid retrieval</w:t>
            </w:r>
          </w:p>
        </w:tc>
        <w:tc>
          <w:tcPr>
            <w:tcW w:type="dxa" w:w="3312"/>
            <w:tcMar>
              <w:top w:w="80" w:type="dxa"/>
              <w:start w:w="100" w:type="dxa"/>
              <w:bottom w:w="80" w:type="dxa"/>
              <w:end w:w="100" w:type="dxa"/>
            </w:tcMar>
            <w:vAlign w:val="center"/>
          </w:tcPr>
          <w:p>
            <w:r>
              <w:rPr>
                <w:sz w:val="16"/>
              </w:rPr>
              <w:t>PostgreSQL + pgvector for early to mid scale; optional specialized vector engine later if scale requires</w:t>
            </w:r>
          </w:p>
        </w:tc>
        <w:tc>
          <w:tcPr>
            <w:tcW w:type="dxa" w:w="3312"/>
            <w:tcMar>
              <w:top w:w="80" w:type="dxa"/>
              <w:start w:w="100" w:type="dxa"/>
              <w:bottom w:w="80" w:type="dxa"/>
              <w:end w:w="100" w:type="dxa"/>
            </w:tcMar>
            <w:vAlign w:val="center"/>
          </w:tcPr>
          <w:p>
            <w:r>
              <w:rPr>
                <w:sz w:val="16"/>
              </w:rPr>
              <w:t>Keeps vectors and operational data close together while preserving SQL joins, ACID behavior, and simpler governance.</w:t>
            </w:r>
          </w:p>
        </w:tc>
      </w:tr>
      <w:tr>
        <w:tc>
          <w:tcPr>
            <w:tcW w:type="dxa" w:w="3312"/>
            <w:tcMar>
              <w:top w:w="80" w:type="dxa"/>
              <w:start w:w="100" w:type="dxa"/>
              <w:bottom w:w="80" w:type="dxa"/>
              <w:end w:w="100" w:type="dxa"/>
            </w:tcMar>
            <w:vAlign w:val="center"/>
            <w:shd w:fill="EAF2F8"/>
          </w:tcPr>
          <w:p>
            <w:r>
              <w:rPr>
                <w:b/>
                <w:color w:val="1F4E79"/>
                <w:sz w:val="16"/>
              </w:rPr>
              <w:t>Cache / rate / ephemeral coordination</w:t>
            </w:r>
          </w:p>
        </w:tc>
        <w:tc>
          <w:tcPr>
            <w:tcW w:type="dxa" w:w="3312"/>
            <w:tcMar>
              <w:top w:w="80" w:type="dxa"/>
              <w:start w:w="100" w:type="dxa"/>
              <w:bottom w:w="80" w:type="dxa"/>
              <w:end w:w="100" w:type="dxa"/>
            </w:tcMar>
            <w:vAlign w:val="center"/>
          </w:tcPr>
          <w:p>
            <w:r>
              <w:rPr>
                <w:sz w:val="16"/>
              </w:rPr>
              <w:t>Redis</w:t>
            </w:r>
          </w:p>
        </w:tc>
        <w:tc>
          <w:tcPr>
            <w:tcW w:type="dxa" w:w="3312"/>
            <w:tcMar>
              <w:top w:w="80" w:type="dxa"/>
              <w:start w:w="100" w:type="dxa"/>
              <w:bottom w:w="80" w:type="dxa"/>
              <w:end w:w="100" w:type="dxa"/>
            </w:tcMar>
            <w:vAlign w:val="center"/>
          </w:tcPr>
          <w:p>
            <w:r>
              <w:rPr>
                <w:sz w:val="16"/>
              </w:rPr>
              <w:t>Low-latency cache, session/data acceleration, distributed locks where appropriate, and short-lived state.</w:t>
            </w:r>
          </w:p>
        </w:tc>
      </w:tr>
      <w:tr>
        <w:tc>
          <w:tcPr>
            <w:tcW w:type="dxa" w:w="3312"/>
            <w:tcMar>
              <w:top w:w="80" w:type="dxa"/>
              <w:start w:w="100" w:type="dxa"/>
              <w:bottom w:w="80" w:type="dxa"/>
              <w:end w:w="100" w:type="dxa"/>
            </w:tcMar>
            <w:vAlign w:val="center"/>
            <w:shd w:fill="EAF2F8"/>
          </w:tcPr>
          <w:p>
            <w:r>
              <w:rPr>
                <w:b/>
                <w:color w:val="1F4E79"/>
                <w:sz w:val="16"/>
              </w:rPr>
              <w:t>Object storage</w:t>
            </w:r>
          </w:p>
        </w:tc>
        <w:tc>
          <w:tcPr>
            <w:tcW w:type="dxa" w:w="3312"/>
            <w:tcMar>
              <w:top w:w="80" w:type="dxa"/>
              <w:start w:w="100" w:type="dxa"/>
              <w:bottom w:w="80" w:type="dxa"/>
              <w:end w:w="100" w:type="dxa"/>
            </w:tcMar>
            <w:vAlign w:val="center"/>
          </w:tcPr>
          <w:p>
            <w:r>
              <w:rPr>
                <w:sz w:val="16"/>
              </w:rPr>
              <w:t>S3-compatible object storage</w:t>
            </w:r>
          </w:p>
        </w:tc>
        <w:tc>
          <w:tcPr>
            <w:tcW w:type="dxa" w:w="3312"/>
            <w:tcMar>
              <w:top w:w="80" w:type="dxa"/>
              <w:start w:w="100" w:type="dxa"/>
              <w:bottom w:w="80" w:type="dxa"/>
              <w:end w:w="100" w:type="dxa"/>
            </w:tcMar>
            <w:vAlign w:val="center"/>
          </w:tcPr>
          <w:p>
            <w:r>
              <w:rPr>
                <w:sz w:val="16"/>
              </w:rPr>
              <w:t>Versioned storage for artifacts, datasets, reports, trace exports, and large evaluation outputs.</w:t>
            </w:r>
          </w:p>
        </w:tc>
      </w:tr>
      <w:tr>
        <w:tc>
          <w:tcPr>
            <w:tcW w:type="dxa" w:w="3312"/>
            <w:tcMar>
              <w:top w:w="80" w:type="dxa"/>
              <w:start w:w="100" w:type="dxa"/>
              <w:bottom w:w="80" w:type="dxa"/>
              <w:end w:w="100" w:type="dxa"/>
            </w:tcMar>
            <w:vAlign w:val="center"/>
            <w:shd w:fill="EAF2F8"/>
          </w:tcPr>
          <w:p>
            <w:r>
              <w:rPr>
                <w:b/>
                <w:color w:val="1F4E79"/>
                <w:sz w:val="16"/>
              </w:rPr>
              <w:t>Identity &amp; access</w:t>
            </w:r>
          </w:p>
        </w:tc>
        <w:tc>
          <w:tcPr>
            <w:tcW w:type="dxa" w:w="3312"/>
            <w:tcMar>
              <w:top w:w="80" w:type="dxa"/>
              <w:start w:w="100" w:type="dxa"/>
              <w:bottom w:w="80" w:type="dxa"/>
              <w:end w:w="100" w:type="dxa"/>
            </w:tcMar>
            <w:vAlign w:val="center"/>
          </w:tcPr>
          <w:p>
            <w:r>
              <w:rPr>
                <w:sz w:val="16"/>
              </w:rPr>
              <w:t>Keycloak or cloud-native OIDC provider, plus OPA or Cedar-based policy service</w:t>
            </w:r>
          </w:p>
        </w:tc>
        <w:tc>
          <w:tcPr>
            <w:tcW w:type="dxa" w:w="3312"/>
            <w:tcMar>
              <w:top w:w="80" w:type="dxa"/>
              <w:start w:w="100" w:type="dxa"/>
              <w:bottom w:w="80" w:type="dxa"/>
              <w:end w:w="100" w:type="dxa"/>
            </w:tcMar>
            <w:vAlign w:val="center"/>
          </w:tcPr>
          <w:p>
            <w:r>
              <w:rPr>
                <w:sz w:val="16"/>
              </w:rPr>
              <w:t>Standards-based SSO and centralized policy enforcement with room for enterprise RBAC/ABAC evolution.</w:t>
            </w:r>
          </w:p>
        </w:tc>
      </w:tr>
      <w:tr>
        <w:tc>
          <w:tcPr>
            <w:tcW w:type="dxa" w:w="3312"/>
            <w:tcMar>
              <w:top w:w="80" w:type="dxa"/>
              <w:start w:w="100" w:type="dxa"/>
              <w:bottom w:w="80" w:type="dxa"/>
              <w:end w:w="100" w:type="dxa"/>
            </w:tcMar>
            <w:vAlign w:val="center"/>
            <w:shd w:fill="EAF2F8"/>
          </w:tcPr>
          <w:p>
            <w:r>
              <w:rPr>
                <w:b/>
                <w:color w:val="1F4E79"/>
                <w:sz w:val="16"/>
              </w:rPr>
              <w:t>Container &amp; platform</w:t>
            </w:r>
          </w:p>
        </w:tc>
        <w:tc>
          <w:tcPr>
            <w:tcW w:type="dxa" w:w="3312"/>
            <w:tcMar>
              <w:top w:w="80" w:type="dxa"/>
              <w:start w:w="100" w:type="dxa"/>
              <w:bottom w:w="80" w:type="dxa"/>
              <w:end w:w="100" w:type="dxa"/>
            </w:tcMar>
            <w:vAlign w:val="center"/>
          </w:tcPr>
          <w:p>
            <w:r>
              <w:rPr>
                <w:sz w:val="16"/>
              </w:rPr>
              <w:t>Docker, Kubernetes, Helm, Argo CD</w:t>
            </w:r>
          </w:p>
        </w:tc>
        <w:tc>
          <w:tcPr>
            <w:tcW w:type="dxa" w:w="3312"/>
            <w:tcMar>
              <w:top w:w="80" w:type="dxa"/>
              <w:start w:w="100" w:type="dxa"/>
              <w:bottom w:w="80" w:type="dxa"/>
              <w:end w:w="100" w:type="dxa"/>
            </w:tcMar>
            <w:vAlign w:val="center"/>
          </w:tcPr>
          <w:p>
            <w:r>
              <w:rPr>
                <w:sz w:val="16"/>
              </w:rPr>
              <w:t>Standard packaging, scheduling, self-healing, declarative deployments, and GitOps promotion flow.</w:t>
            </w:r>
          </w:p>
        </w:tc>
      </w:tr>
      <w:tr>
        <w:tc>
          <w:tcPr>
            <w:tcW w:type="dxa" w:w="3312"/>
            <w:tcMar>
              <w:top w:w="80" w:type="dxa"/>
              <w:start w:w="100" w:type="dxa"/>
              <w:bottom w:w="80" w:type="dxa"/>
              <w:end w:w="100" w:type="dxa"/>
            </w:tcMar>
            <w:vAlign w:val="center"/>
            <w:shd w:fill="EAF2F8"/>
          </w:tcPr>
          <w:p>
            <w:r>
              <w:rPr>
                <w:b/>
                <w:color w:val="1F4E79"/>
                <w:sz w:val="16"/>
              </w:rPr>
              <w:t>Observability</w:t>
            </w:r>
          </w:p>
        </w:tc>
        <w:tc>
          <w:tcPr>
            <w:tcW w:type="dxa" w:w="3312"/>
            <w:tcMar>
              <w:top w:w="80" w:type="dxa"/>
              <w:start w:w="100" w:type="dxa"/>
              <w:bottom w:w="80" w:type="dxa"/>
              <w:end w:w="100" w:type="dxa"/>
            </w:tcMar>
            <w:vAlign w:val="center"/>
          </w:tcPr>
          <w:p>
            <w:r>
              <w:rPr>
                <w:sz w:val="16"/>
              </w:rPr>
              <w:t>OpenTelemetry, Prometheus, Grafana, Loki, Tempo/Jaeger</w:t>
            </w:r>
          </w:p>
        </w:tc>
        <w:tc>
          <w:tcPr>
            <w:tcW w:type="dxa" w:w="3312"/>
            <w:tcMar>
              <w:top w:w="80" w:type="dxa"/>
              <w:start w:w="100" w:type="dxa"/>
              <w:bottom w:w="80" w:type="dxa"/>
              <w:end w:w="100" w:type="dxa"/>
            </w:tcMar>
            <w:vAlign w:val="center"/>
          </w:tcPr>
          <w:p>
            <w:r>
              <w:rPr>
                <w:sz w:val="16"/>
              </w:rPr>
              <w:t>Unified traces/metrics/logs, vendor-neutral instrumentation, and deep correlation across services.</w:t>
            </w:r>
          </w:p>
        </w:tc>
      </w:tr>
      <w:tr>
        <w:tc>
          <w:tcPr>
            <w:tcW w:type="dxa" w:w="3312"/>
            <w:tcMar>
              <w:top w:w="80" w:type="dxa"/>
              <w:start w:w="100" w:type="dxa"/>
              <w:bottom w:w="80" w:type="dxa"/>
              <w:end w:w="100" w:type="dxa"/>
            </w:tcMar>
            <w:vAlign w:val="center"/>
            <w:shd w:fill="EAF2F8"/>
          </w:tcPr>
          <w:p>
            <w:r>
              <w:rPr>
                <w:b/>
                <w:color w:val="1F4E79"/>
                <w:sz w:val="16"/>
              </w:rPr>
              <w:t>CI/CD and release</w:t>
            </w:r>
          </w:p>
        </w:tc>
        <w:tc>
          <w:tcPr>
            <w:tcW w:type="dxa" w:w="3312"/>
            <w:tcMar>
              <w:top w:w="80" w:type="dxa"/>
              <w:start w:w="100" w:type="dxa"/>
              <w:bottom w:w="80" w:type="dxa"/>
              <w:end w:w="100" w:type="dxa"/>
            </w:tcMar>
            <w:vAlign w:val="center"/>
          </w:tcPr>
          <w:p>
            <w:r>
              <w:rPr>
                <w:sz w:val="16"/>
              </w:rPr>
              <w:t>GitHub Actions or GitLab CI, Argo CD, Trivy, Cosign, SBOM generation</w:t>
            </w:r>
          </w:p>
        </w:tc>
        <w:tc>
          <w:tcPr>
            <w:tcW w:type="dxa" w:w="3312"/>
            <w:tcMar>
              <w:top w:w="80" w:type="dxa"/>
              <w:start w:w="100" w:type="dxa"/>
              <w:bottom w:w="80" w:type="dxa"/>
              <w:end w:w="100" w:type="dxa"/>
            </w:tcMar>
            <w:vAlign w:val="center"/>
          </w:tcPr>
          <w:p>
            <w:r>
              <w:rPr>
                <w:sz w:val="16"/>
              </w:rPr>
              <w:t>Automated build/test/sign/scan/deploy flow aligned to signed artifacts and governed releases.</w:t>
            </w:r>
          </w:p>
        </w:tc>
      </w:tr>
      <w:tr>
        <w:tc>
          <w:tcPr>
            <w:tcW w:type="dxa" w:w="3312"/>
            <w:tcMar>
              <w:top w:w="80" w:type="dxa"/>
              <w:start w:w="100" w:type="dxa"/>
              <w:bottom w:w="80" w:type="dxa"/>
              <w:end w:w="100" w:type="dxa"/>
            </w:tcMar>
            <w:vAlign w:val="center"/>
            <w:shd w:fill="EAF2F8"/>
          </w:tcPr>
          <w:p>
            <w:r>
              <w:rPr>
                <w:b/>
                <w:color w:val="1F4E79"/>
                <w:sz w:val="16"/>
              </w:rPr>
              <w:t>ML / evaluation</w:t>
            </w:r>
          </w:p>
        </w:tc>
        <w:tc>
          <w:tcPr>
            <w:tcW w:type="dxa" w:w="3312"/>
            <w:tcMar>
              <w:top w:w="80" w:type="dxa"/>
              <w:start w:w="100" w:type="dxa"/>
              <w:bottom w:w="80" w:type="dxa"/>
              <w:end w:w="100" w:type="dxa"/>
            </w:tcMar>
            <w:vAlign w:val="center"/>
          </w:tcPr>
          <w:p>
            <w:r>
              <w:rPr>
                <w:sz w:val="16"/>
              </w:rPr>
              <w:t>MLflow for experiment tracking, pytest + custom eval harnesses, Jupyter only for research not production</w:t>
            </w:r>
          </w:p>
        </w:tc>
        <w:tc>
          <w:tcPr>
            <w:tcW w:type="dxa" w:w="3312"/>
            <w:tcMar>
              <w:top w:w="80" w:type="dxa"/>
              <w:start w:w="100" w:type="dxa"/>
              <w:bottom w:w="80" w:type="dxa"/>
              <w:end w:w="100" w:type="dxa"/>
            </w:tcMar>
            <w:vAlign w:val="center"/>
          </w:tcPr>
          <w:p>
            <w:r>
              <w:rPr>
                <w:sz w:val="16"/>
              </w:rPr>
              <w:t>Clear boundary between production platform and experimentation/benchmark evidence.</w:t>
            </w:r>
          </w:p>
        </w:tc>
      </w:tr>
    </w:tbl>
    <w:p/>
    <w:p>
      <w:pPr>
        <w:pStyle w:val="HeadingBlue"/>
      </w:pPr>
      <w:r>
        <w:t>10. Reference implementation view</w:t>
      </w:r>
    </w:p>
    <w:p>
      <w:pPr>
        <w:pStyle w:val="HeadingBlue2"/>
      </w:pPr>
      <w:r>
        <w:t>10.1 Core service decomposition</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088"/>
        <w:gridCol w:w="4608"/>
        <w:gridCol w:w="2232"/>
      </w:tblGrid>
      <w:tr>
        <w:trPr>
          <w:tblHeader w:val="true"/>
        </w:trPr>
        <w:tc>
          <w:tcPr>
            <w:tcW w:type="dxa" w:w="3312"/>
            <w:shd w:fill="1F4E79"/>
            <w:tcMar>
              <w:top w:w="80" w:type="dxa"/>
              <w:start w:w="100" w:type="dxa"/>
              <w:bottom w:w="80" w:type="dxa"/>
              <w:end w:w="100" w:type="dxa"/>
            </w:tcMar>
          </w:tcPr>
          <w:p>
            <w:pPr>
              <w:jc w:val="center"/>
            </w:pPr>
            <w:r>
              <w:rPr>
                <w:b/>
                <w:color w:val="FFFFFF"/>
                <w:sz w:val="17"/>
              </w:rPr>
              <w:t>Service</w:t>
            </w:r>
          </w:p>
        </w:tc>
        <w:tc>
          <w:tcPr>
            <w:tcW w:type="dxa" w:w="3312"/>
            <w:shd w:fill="1F4E79"/>
            <w:tcMar>
              <w:top w:w="80" w:type="dxa"/>
              <w:start w:w="100" w:type="dxa"/>
              <w:bottom w:w="80" w:type="dxa"/>
              <w:end w:w="100" w:type="dxa"/>
            </w:tcMar>
          </w:tcPr>
          <w:p>
            <w:pPr>
              <w:jc w:val="center"/>
            </w:pPr>
            <w:r>
              <w:rPr>
                <w:b/>
                <w:color w:val="FFFFFF"/>
                <w:sz w:val="17"/>
              </w:rPr>
              <w:t>Primary responsibilities</w:t>
            </w:r>
          </w:p>
        </w:tc>
        <w:tc>
          <w:tcPr>
            <w:tcW w:type="dxa" w:w="3312"/>
            <w:shd w:fill="1F4E79"/>
            <w:tcMar>
              <w:top w:w="80" w:type="dxa"/>
              <w:start w:w="100" w:type="dxa"/>
              <w:bottom w:w="80" w:type="dxa"/>
              <w:end w:w="100" w:type="dxa"/>
            </w:tcMar>
          </w:tcPr>
          <w:p>
            <w:pPr>
              <w:jc w:val="center"/>
            </w:pPr>
            <w:r>
              <w:rPr>
                <w:b/>
                <w:color w:val="FFFFFF"/>
                <w:sz w:val="17"/>
              </w:rPr>
              <w:t>Preferred language/runtime</w:t>
            </w:r>
          </w:p>
        </w:tc>
      </w:tr>
      <w:tr>
        <w:tc>
          <w:tcPr>
            <w:tcW w:type="dxa" w:w="3312"/>
            <w:tcMar>
              <w:top w:w="80" w:type="dxa"/>
              <w:start w:w="100" w:type="dxa"/>
              <w:bottom w:w="80" w:type="dxa"/>
              <w:end w:w="100" w:type="dxa"/>
            </w:tcMar>
            <w:vAlign w:val="center"/>
            <w:shd w:fill="EAF2F8"/>
          </w:tcPr>
          <w:p>
            <w:r>
              <w:rPr>
                <w:b/>
                <w:color w:val="1F4E79"/>
                <w:sz w:val="16"/>
              </w:rPr>
              <w:t>api-gateway / web-bff</w:t>
            </w:r>
          </w:p>
        </w:tc>
        <w:tc>
          <w:tcPr>
            <w:tcW w:type="dxa" w:w="3312"/>
            <w:tcMar>
              <w:top w:w="80" w:type="dxa"/>
              <w:start w:w="100" w:type="dxa"/>
              <w:bottom w:w="80" w:type="dxa"/>
              <w:end w:w="100" w:type="dxa"/>
            </w:tcMar>
            <w:vAlign w:val="center"/>
          </w:tcPr>
          <w:p>
            <w:r>
              <w:rPr>
                <w:sz w:val="16"/>
              </w:rPr>
              <w:t>Authentication handoff, tenant context, API aggregation, rate limiting, UI support.</w:t>
            </w:r>
          </w:p>
        </w:tc>
        <w:tc>
          <w:tcPr>
            <w:tcW w:type="dxa" w:w="3312"/>
            <w:tcMar>
              <w:top w:w="80" w:type="dxa"/>
              <w:start w:w="100" w:type="dxa"/>
              <w:bottom w:w="80" w:type="dxa"/>
              <w:end w:w="100" w:type="dxa"/>
            </w:tcMar>
            <w:vAlign w:val="center"/>
          </w:tcPr>
          <w:p>
            <w:r>
              <w:rPr>
                <w:sz w:val="16"/>
              </w:rPr>
              <w:t>TypeScript / Node.js or managed API gateway + Next.js BFF.</w:t>
            </w:r>
          </w:p>
        </w:tc>
      </w:tr>
      <w:tr>
        <w:tc>
          <w:tcPr>
            <w:tcW w:type="dxa" w:w="3312"/>
            <w:tcMar>
              <w:top w:w="80" w:type="dxa"/>
              <w:start w:w="100" w:type="dxa"/>
              <w:bottom w:w="80" w:type="dxa"/>
              <w:end w:w="100" w:type="dxa"/>
            </w:tcMar>
            <w:vAlign w:val="center"/>
            <w:shd w:fill="EAF2F8"/>
          </w:tcPr>
          <w:p>
            <w:r>
              <w:rPr>
                <w:b/>
                <w:color w:val="1F4E79"/>
                <w:sz w:val="16"/>
              </w:rPr>
              <w:t>supervisor-service</w:t>
            </w:r>
          </w:p>
        </w:tc>
        <w:tc>
          <w:tcPr>
            <w:tcW w:type="dxa" w:w="3312"/>
            <w:tcMar>
              <w:top w:w="80" w:type="dxa"/>
              <w:start w:w="100" w:type="dxa"/>
              <w:bottom w:w="80" w:type="dxa"/>
              <w:end w:w="100" w:type="dxa"/>
            </w:tcMar>
            <w:vAlign w:val="center"/>
          </w:tcPr>
          <w:p>
            <w:r>
              <w:rPr>
                <w:sz w:val="16"/>
              </w:rPr>
              <w:t>Run lifecycle, orchestration state, approval checks, final response assembly.</w:t>
            </w:r>
          </w:p>
        </w:tc>
        <w:tc>
          <w:tcPr>
            <w:tcW w:type="dxa" w:w="3312"/>
            <w:tcMar>
              <w:top w:w="80" w:type="dxa"/>
              <w:start w:w="100" w:type="dxa"/>
              <w:bottom w:w="80" w:type="dxa"/>
              <w:end w:w="100" w:type="dxa"/>
            </w:tcMar>
            <w:vAlign w:val="center"/>
          </w:tcPr>
          <w:p>
            <w:r>
              <w:rPr>
                <w:sz w:val="16"/>
              </w:rPr>
              <w:t>Python + Temporal SDK.</w:t>
            </w:r>
          </w:p>
        </w:tc>
      </w:tr>
      <w:tr>
        <w:tc>
          <w:tcPr>
            <w:tcW w:type="dxa" w:w="3312"/>
            <w:tcMar>
              <w:top w:w="80" w:type="dxa"/>
              <w:start w:w="100" w:type="dxa"/>
              <w:bottom w:w="80" w:type="dxa"/>
              <w:end w:w="100" w:type="dxa"/>
            </w:tcMar>
            <w:vAlign w:val="center"/>
            <w:shd w:fill="EAF2F8"/>
          </w:tcPr>
          <w:p>
            <w:r>
              <w:rPr>
                <w:b/>
                <w:color w:val="1F4E79"/>
                <w:sz w:val="16"/>
              </w:rPr>
              <w:t>planner-service</w:t>
            </w:r>
          </w:p>
        </w:tc>
        <w:tc>
          <w:tcPr>
            <w:tcW w:type="dxa" w:w="3312"/>
            <w:tcMar>
              <w:top w:w="80" w:type="dxa"/>
              <w:start w:w="100" w:type="dxa"/>
              <w:bottom w:w="80" w:type="dxa"/>
              <w:end w:w="100" w:type="dxa"/>
            </w:tcMar>
            <w:vAlign w:val="center"/>
          </w:tcPr>
          <w:p>
            <w:r>
              <w:rPr>
                <w:sz w:val="16"/>
              </w:rPr>
              <w:t>Task DAG generation and budget-aware planning.</w:t>
            </w:r>
          </w:p>
        </w:tc>
        <w:tc>
          <w:tcPr>
            <w:tcW w:type="dxa" w:w="3312"/>
            <w:tcMar>
              <w:top w:w="80" w:type="dxa"/>
              <w:start w:w="100" w:type="dxa"/>
              <w:bottom w:w="80" w:type="dxa"/>
              <w:end w:w="100" w:type="dxa"/>
            </w:tcMar>
            <w:vAlign w:val="center"/>
          </w:tcPr>
          <w:p>
            <w:r>
              <w:rPr>
                <w:sz w:val="16"/>
              </w:rPr>
              <w:t>Python.</w:t>
            </w:r>
          </w:p>
        </w:tc>
      </w:tr>
      <w:tr>
        <w:tc>
          <w:tcPr>
            <w:tcW w:type="dxa" w:w="3312"/>
            <w:tcMar>
              <w:top w:w="80" w:type="dxa"/>
              <w:start w:w="100" w:type="dxa"/>
              <w:bottom w:w="80" w:type="dxa"/>
              <w:end w:w="100" w:type="dxa"/>
            </w:tcMar>
            <w:vAlign w:val="center"/>
            <w:shd w:fill="EAF2F8"/>
          </w:tcPr>
          <w:p>
            <w:r>
              <w:rPr>
                <w:b/>
                <w:color w:val="1F4E79"/>
                <w:sz w:val="16"/>
              </w:rPr>
              <w:t>retrieval-service</w:t>
            </w:r>
          </w:p>
        </w:tc>
        <w:tc>
          <w:tcPr>
            <w:tcW w:type="dxa" w:w="3312"/>
            <w:tcMar>
              <w:top w:w="80" w:type="dxa"/>
              <w:start w:w="100" w:type="dxa"/>
              <w:bottom w:w="80" w:type="dxa"/>
              <w:end w:w="100" w:type="dxa"/>
            </w:tcMar>
            <w:vAlign w:val="center"/>
          </w:tcPr>
          <w:p>
            <w:r>
              <w:rPr>
                <w:sz w:val="16"/>
              </w:rPr>
              <w:t>Knowledge indexing, retrieval, rerank, source lineage.</w:t>
            </w:r>
          </w:p>
        </w:tc>
        <w:tc>
          <w:tcPr>
            <w:tcW w:type="dxa" w:w="3312"/>
            <w:tcMar>
              <w:top w:w="80" w:type="dxa"/>
              <w:start w:w="100" w:type="dxa"/>
              <w:bottom w:w="80" w:type="dxa"/>
              <w:end w:w="100" w:type="dxa"/>
            </w:tcMar>
            <w:vAlign w:val="center"/>
          </w:tcPr>
          <w:p>
            <w:r>
              <w:rPr>
                <w:sz w:val="16"/>
              </w:rPr>
              <w:t>Python.</w:t>
            </w:r>
          </w:p>
        </w:tc>
      </w:tr>
      <w:tr>
        <w:tc>
          <w:tcPr>
            <w:tcW w:type="dxa" w:w="3312"/>
            <w:tcMar>
              <w:top w:w="80" w:type="dxa"/>
              <w:start w:w="100" w:type="dxa"/>
              <w:bottom w:w="80" w:type="dxa"/>
              <w:end w:w="100" w:type="dxa"/>
            </w:tcMar>
            <w:vAlign w:val="center"/>
            <w:shd w:fill="EAF2F8"/>
          </w:tcPr>
          <w:p>
            <w:r>
              <w:rPr>
                <w:b/>
                <w:color w:val="1F4E79"/>
                <w:sz w:val="16"/>
              </w:rPr>
              <w:t>tool-broker</w:t>
            </w:r>
          </w:p>
        </w:tc>
        <w:tc>
          <w:tcPr>
            <w:tcW w:type="dxa" w:w="3312"/>
            <w:tcMar>
              <w:top w:w="80" w:type="dxa"/>
              <w:start w:w="100" w:type="dxa"/>
              <w:bottom w:w="80" w:type="dxa"/>
              <w:end w:w="100" w:type="dxa"/>
            </w:tcMar>
            <w:vAlign w:val="center"/>
          </w:tcPr>
          <w:p>
            <w:r>
              <w:rPr>
                <w:sz w:val="16"/>
              </w:rPr>
              <w:t>Mediated tool execution, secret brokerage, tool audit events.</w:t>
            </w:r>
          </w:p>
        </w:tc>
        <w:tc>
          <w:tcPr>
            <w:tcW w:type="dxa" w:w="3312"/>
            <w:tcMar>
              <w:top w:w="80" w:type="dxa"/>
              <w:start w:w="100" w:type="dxa"/>
              <w:bottom w:w="80" w:type="dxa"/>
              <w:end w:w="100" w:type="dxa"/>
            </w:tcMar>
            <w:vAlign w:val="center"/>
          </w:tcPr>
          <w:p>
            <w:r>
              <w:rPr>
                <w:sz w:val="16"/>
              </w:rPr>
              <w:t>Python or Go.</w:t>
            </w:r>
          </w:p>
        </w:tc>
      </w:tr>
      <w:tr>
        <w:tc>
          <w:tcPr>
            <w:tcW w:type="dxa" w:w="3312"/>
            <w:tcMar>
              <w:top w:w="80" w:type="dxa"/>
              <w:start w:w="100" w:type="dxa"/>
              <w:bottom w:w="80" w:type="dxa"/>
              <w:end w:w="100" w:type="dxa"/>
            </w:tcMar>
            <w:vAlign w:val="center"/>
            <w:shd w:fill="EAF2F8"/>
          </w:tcPr>
          <w:p>
            <w:r>
              <w:rPr>
                <w:b/>
                <w:color w:val="1F4E79"/>
                <w:sz w:val="16"/>
              </w:rPr>
              <w:t>runtime-worker</w:t>
            </w:r>
          </w:p>
        </w:tc>
        <w:tc>
          <w:tcPr>
            <w:tcW w:type="dxa" w:w="3312"/>
            <w:tcMar>
              <w:top w:w="80" w:type="dxa"/>
              <w:start w:w="100" w:type="dxa"/>
              <w:bottom w:w="80" w:type="dxa"/>
              <w:end w:w="100" w:type="dxa"/>
            </w:tcMar>
            <w:vAlign w:val="center"/>
          </w:tcPr>
          <w:p>
            <w:r>
              <w:rPr>
                <w:sz w:val="16"/>
              </w:rPr>
              <w:t>Task execution, prompt/model calls, checkpointing, result emission.</w:t>
            </w:r>
          </w:p>
        </w:tc>
        <w:tc>
          <w:tcPr>
            <w:tcW w:type="dxa" w:w="3312"/>
            <w:tcMar>
              <w:top w:w="80" w:type="dxa"/>
              <w:start w:w="100" w:type="dxa"/>
              <w:bottom w:w="80" w:type="dxa"/>
              <w:end w:w="100" w:type="dxa"/>
            </w:tcMar>
            <w:vAlign w:val="center"/>
          </w:tcPr>
          <w:p>
            <w:r>
              <w:rPr>
                <w:sz w:val="16"/>
              </w:rPr>
              <w:t>Python.</w:t>
            </w:r>
          </w:p>
        </w:tc>
      </w:tr>
      <w:tr>
        <w:tc>
          <w:tcPr>
            <w:tcW w:type="dxa" w:w="3312"/>
            <w:tcMar>
              <w:top w:w="80" w:type="dxa"/>
              <w:start w:w="100" w:type="dxa"/>
              <w:bottom w:w="80" w:type="dxa"/>
              <w:end w:w="100" w:type="dxa"/>
            </w:tcMar>
            <w:vAlign w:val="center"/>
            <w:shd w:fill="EAF2F8"/>
          </w:tcPr>
          <w:p>
            <w:r>
              <w:rPr>
                <w:b/>
                <w:color w:val="1F4E79"/>
                <w:sz w:val="16"/>
              </w:rPr>
              <w:t>evaluation-service</w:t>
            </w:r>
          </w:p>
        </w:tc>
        <w:tc>
          <w:tcPr>
            <w:tcW w:type="dxa" w:w="3312"/>
            <w:tcMar>
              <w:top w:w="80" w:type="dxa"/>
              <w:start w:w="100" w:type="dxa"/>
              <w:bottom w:w="80" w:type="dxa"/>
              <w:end w:w="100" w:type="dxa"/>
            </w:tcMar>
            <w:vAlign w:val="center"/>
          </w:tcPr>
          <w:p>
            <w:r>
              <w:rPr>
                <w:sz w:val="16"/>
              </w:rPr>
              <w:t>Benchmark jobs, replay, adversarial testing, report generation.</w:t>
            </w:r>
          </w:p>
        </w:tc>
        <w:tc>
          <w:tcPr>
            <w:tcW w:type="dxa" w:w="3312"/>
            <w:tcMar>
              <w:top w:w="80" w:type="dxa"/>
              <w:start w:w="100" w:type="dxa"/>
              <w:bottom w:w="80" w:type="dxa"/>
              <w:end w:w="100" w:type="dxa"/>
            </w:tcMar>
            <w:vAlign w:val="center"/>
          </w:tcPr>
          <w:p>
            <w:r>
              <w:rPr>
                <w:sz w:val="16"/>
              </w:rPr>
              <w:t>Python.</w:t>
            </w:r>
          </w:p>
        </w:tc>
      </w:tr>
      <w:tr>
        <w:tc>
          <w:tcPr>
            <w:tcW w:type="dxa" w:w="3312"/>
            <w:tcMar>
              <w:top w:w="80" w:type="dxa"/>
              <w:start w:w="100" w:type="dxa"/>
              <w:bottom w:w="80" w:type="dxa"/>
              <w:end w:w="100" w:type="dxa"/>
            </w:tcMar>
            <w:vAlign w:val="center"/>
            <w:shd w:fill="EAF2F8"/>
          </w:tcPr>
          <w:p>
            <w:r>
              <w:rPr>
                <w:b/>
                <w:color w:val="1F4E79"/>
                <w:sz w:val="16"/>
              </w:rPr>
              <w:t>identity/audit service</w:t>
            </w:r>
          </w:p>
        </w:tc>
        <w:tc>
          <w:tcPr>
            <w:tcW w:type="dxa" w:w="3312"/>
            <w:tcMar>
              <w:top w:w="80" w:type="dxa"/>
              <w:start w:w="100" w:type="dxa"/>
              <w:bottom w:w="80" w:type="dxa"/>
              <w:end w:w="100" w:type="dxa"/>
            </w:tcMar>
            <w:vAlign w:val="center"/>
          </w:tcPr>
          <w:p>
            <w:r>
              <w:rPr>
                <w:sz w:val="16"/>
              </w:rPr>
              <w:t>Workload tokens, audit ingestion, release signatures, policy integration.</w:t>
            </w:r>
          </w:p>
        </w:tc>
        <w:tc>
          <w:tcPr>
            <w:tcW w:type="dxa" w:w="3312"/>
            <w:tcMar>
              <w:top w:w="80" w:type="dxa"/>
              <w:start w:w="100" w:type="dxa"/>
              <w:bottom w:w="80" w:type="dxa"/>
              <w:end w:w="100" w:type="dxa"/>
            </w:tcMar>
            <w:vAlign w:val="center"/>
          </w:tcPr>
          <w:p>
            <w:r>
              <w:rPr>
                <w:sz w:val="16"/>
              </w:rPr>
              <w:t>Go or Python.</w:t>
            </w:r>
          </w:p>
        </w:tc>
      </w:tr>
      <w:tr>
        <w:tc>
          <w:tcPr>
            <w:tcW w:type="dxa" w:w="3312"/>
            <w:tcMar>
              <w:top w:w="80" w:type="dxa"/>
              <w:start w:w="100" w:type="dxa"/>
              <w:bottom w:w="80" w:type="dxa"/>
              <w:end w:w="100" w:type="dxa"/>
            </w:tcMar>
            <w:vAlign w:val="center"/>
            <w:shd w:fill="EAF2F8"/>
          </w:tcPr>
          <w:p>
            <w:r>
              <w:rPr>
                <w:b/>
                <w:color w:val="1F4E79"/>
                <w:sz w:val="16"/>
              </w:rPr>
              <w:t>telemetry pipeline</w:t>
            </w:r>
          </w:p>
        </w:tc>
        <w:tc>
          <w:tcPr>
            <w:tcW w:type="dxa" w:w="3312"/>
            <w:tcMar>
              <w:top w:w="80" w:type="dxa"/>
              <w:start w:w="100" w:type="dxa"/>
              <w:bottom w:w="80" w:type="dxa"/>
              <w:end w:w="100" w:type="dxa"/>
            </w:tcMar>
            <w:vAlign w:val="center"/>
          </w:tcPr>
          <w:p>
            <w:r>
              <w:rPr>
                <w:sz w:val="16"/>
              </w:rPr>
              <w:t>OTel collectors, metrics/logs/traces routing, alerting.</w:t>
            </w:r>
          </w:p>
        </w:tc>
        <w:tc>
          <w:tcPr>
            <w:tcW w:type="dxa" w:w="3312"/>
            <w:tcMar>
              <w:top w:w="80" w:type="dxa"/>
              <w:start w:w="100" w:type="dxa"/>
              <w:bottom w:w="80" w:type="dxa"/>
              <w:end w:w="100" w:type="dxa"/>
            </w:tcMar>
            <w:vAlign w:val="center"/>
          </w:tcPr>
          <w:p>
            <w:r>
              <w:rPr>
                <w:sz w:val="16"/>
              </w:rPr>
              <w:t>OpenTelemetry Collector + observability backends.</w:t>
            </w:r>
          </w:p>
        </w:tc>
      </w:tr>
    </w:tbl>
    <w:p/>
    <w:p>
      <w:pPr>
        <w:pStyle w:val="HeadingBlue2"/>
      </w:pPr>
      <w:r>
        <w:t>10.2 Deployment environments</w:t>
      </w:r>
    </w:p>
    <w:p>
      <w:pPr>
        <w:spacing w:after="30"/>
        <w:ind w:left="288" w:hanging="202"/>
      </w:pPr>
      <w:r>
        <w:rPr>
          <w:sz w:val="20"/>
        </w:rPr>
        <w:t>• Development: local containers, mocked integrations, lightweight Postgres/Redis/Kafka, seeded demo data.</w:t>
      </w:r>
    </w:p>
    <w:p>
      <w:pPr>
        <w:spacing w:after="30"/>
        <w:ind w:left="288" w:hanging="202"/>
      </w:pPr>
      <w:r>
        <w:rPr>
          <w:sz w:val="20"/>
        </w:rPr>
        <w:t>• Staging: production-like cluster with safe datasets, full workflow/evaluation/deployment path, synthetic observability load.</w:t>
      </w:r>
    </w:p>
    <w:p>
      <w:pPr>
        <w:spacing w:after="30"/>
        <w:ind w:left="288" w:hanging="202"/>
      </w:pPr>
      <w:r>
        <w:rPr>
          <w:sz w:val="20"/>
        </w:rPr>
        <w:t>• Production: managed services where possible, environment separation, restricted admin actions, backups, disaster recovery, and controlled rollout patterns.</w:t>
      </w:r>
    </w:p>
    <w:p>
      <w:pPr>
        <w:pStyle w:val="HeadingBlue"/>
      </w:pPr>
      <w:r>
        <w:t>11. Delivery phases and milestones</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944"/>
        <w:gridCol w:w="2448"/>
        <w:gridCol w:w="4536"/>
      </w:tblGrid>
      <w:tr>
        <w:trPr>
          <w:tblHeader w:val="true"/>
        </w:trPr>
        <w:tc>
          <w:tcPr>
            <w:tcW w:type="dxa" w:w="3312"/>
            <w:shd w:fill="1F4E79"/>
            <w:tcMar>
              <w:top w:w="80" w:type="dxa"/>
              <w:start w:w="100" w:type="dxa"/>
              <w:bottom w:w="80" w:type="dxa"/>
              <w:end w:w="100" w:type="dxa"/>
            </w:tcMar>
          </w:tcPr>
          <w:p>
            <w:pPr>
              <w:jc w:val="center"/>
            </w:pPr>
            <w:r>
              <w:rPr>
                <w:b/>
                <w:color w:val="FFFFFF"/>
                <w:sz w:val="18"/>
              </w:rPr>
              <w:t>Phase</w:t>
            </w:r>
          </w:p>
        </w:tc>
        <w:tc>
          <w:tcPr>
            <w:tcW w:type="dxa" w:w="3312"/>
            <w:shd w:fill="1F4E79"/>
            <w:tcMar>
              <w:top w:w="80" w:type="dxa"/>
              <w:start w:w="100" w:type="dxa"/>
              <w:bottom w:w="80" w:type="dxa"/>
              <w:end w:w="100" w:type="dxa"/>
            </w:tcMar>
          </w:tcPr>
          <w:p>
            <w:pPr>
              <w:jc w:val="center"/>
            </w:pPr>
            <w:r>
              <w:rPr>
                <w:b/>
                <w:color w:val="FFFFFF"/>
                <w:sz w:val="18"/>
              </w:rPr>
              <w:t>Goal</w:t>
            </w:r>
          </w:p>
        </w:tc>
        <w:tc>
          <w:tcPr>
            <w:tcW w:type="dxa" w:w="3312"/>
            <w:shd w:fill="1F4E79"/>
            <w:tcMar>
              <w:top w:w="80" w:type="dxa"/>
              <w:start w:w="100" w:type="dxa"/>
              <w:bottom w:w="80" w:type="dxa"/>
              <w:end w:w="100" w:type="dxa"/>
            </w:tcMar>
          </w:tcPr>
          <w:p>
            <w:pPr>
              <w:jc w:val="center"/>
            </w:pPr>
            <w:r>
              <w:rPr>
                <w:b/>
                <w:color w:val="FFFFFF"/>
                <w:sz w:val="18"/>
              </w:rPr>
              <w:t>Deliverables</w:t>
            </w:r>
          </w:p>
        </w:tc>
      </w:tr>
      <w:tr>
        <w:tc>
          <w:tcPr>
            <w:tcW w:type="dxa" w:w="3312"/>
            <w:tcMar>
              <w:top w:w="80" w:type="dxa"/>
              <w:start w:w="100" w:type="dxa"/>
              <w:bottom w:w="80" w:type="dxa"/>
              <w:end w:w="100" w:type="dxa"/>
            </w:tcMar>
            <w:vAlign w:val="center"/>
            <w:shd w:fill="EAF2F8"/>
          </w:tcPr>
          <w:p>
            <w:r>
              <w:rPr>
                <w:b/>
                <w:color w:val="1F4E79"/>
                <w:sz w:val="18"/>
              </w:rPr>
              <w:t>Phase 1 — Core platform</w:t>
            </w:r>
          </w:p>
        </w:tc>
        <w:tc>
          <w:tcPr>
            <w:tcW w:type="dxa" w:w="3312"/>
            <w:tcMar>
              <w:top w:w="80" w:type="dxa"/>
              <w:start w:w="100" w:type="dxa"/>
              <w:bottom w:w="80" w:type="dxa"/>
              <w:end w:w="100" w:type="dxa"/>
            </w:tcMar>
            <w:vAlign w:val="center"/>
          </w:tcPr>
          <w:p>
            <w:r>
              <w:rPr>
                <w:sz w:val="18"/>
              </w:rPr>
              <w:t>Establish the online control path.</w:t>
            </w:r>
          </w:p>
        </w:tc>
        <w:tc>
          <w:tcPr>
            <w:tcW w:type="dxa" w:w="3312"/>
            <w:tcMar>
              <w:top w:w="80" w:type="dxa"/>
              <w:start w:w="100" w:type="dxa"/>
              <w:bottom w:w="80" w:type="dxa"/>
              <w:end w:w="100" w:type="dxa"/>
            </w:tcMar>
            <w:vAlign w:val="center"/>
          </w:tcPr>
          <w:p>
            <w:r>
              <w:rPr>
                <w:sz w:val="18"/>
              </w:rPr>
              <w:t>Gateway, web shell, supervisor, planner, runtime workers, retrieval, Postgres, Redis, object storage, basic telemetry, basic auth.</w:t>
            </w:r>
          </w:p>
        </w:tc>
      </w:tr>
      <w:tr>
        <w:tc>
          <w:tcPr>
            <w:tcW w:type="dxa" w:w="3312"/>
            <w:tcMar>
              <w:top w:w="80" w:type="dxa"/>
              <w:start w:w="100" w:type="dxa"/>
              <w:bottom w:w="80" w:type="dxa"/>
              <w:end w:w="100" w:type="dxa"/>
            </w:tcMar>
            <w:vAlign w:val="center"/>
            <w:shd w:fill="EAF2F8"/>
          </w:tcPr>
          <w:p>
            <w:r>
              <w:rPr>
                <w:b/>
                <w:color w:val="1F4E79"/>
                <w:sz w:val="18"/>
              </w:rPr>
              <w:t>Phase 2 — Governance &amp; release</w:t>
            </w:r>
          </w:p>
        </w:tc>
        <w:tc>
          <w:tcPr>
            <w:tcW w:type="dxa" w:w="3312"/>
            <w:tcMar>
              <w:top w:w="80" w:type="dxa"/>
              <w:start w:w="100" w:type="dxa"/>
              <w:bottom w:w="80" w:type="dxa"/>
              <w:end w:w="100" w:type="dxa"/>
            </w:tcMar>
            <w:vAlign w:val="center"/>
          </w:tcPr>
          <w:p>
            <w:r>
              <w:rPr>
                <w:sz w:val="18"/>
              </w:rPr>
              <w:t>Make production safe.</w:t>
            </w:r>
          </w:p>
        </w:tc>
        <w:tc>
          <w:tcPr>
            <w:tcW w:type="dxa" w:w="3312"/>
            <w:tcMar>
              <w:top w:w="80" w:type="dxa"/>
              <w:start w:w="100" w:type="dxa"/>
              <w:bottom w:w="80" w:type="dxa"/>
              <w:end w:w="100" w:type="dxa"/>
            </w:tcMar>
            <w:vAlign w:val="center"/>
          </w:tcPr>
          <w:p>
            <w:r>
              <w:rPr>
                <w:sz w:val="18"/>
              </w:rPr>
              <w:t>Approval flows, audit ledger, artifact signing, canary/rollback, policy service, environment controls.</w:t>
            </w:r>
          </w:p>
        </w:tc>
      </w:tr>
      <w:tr>
        <w:tc>
          <w:tcPr>
            <w:tcW w:type="dxa" w:w="3312"/>
            <w:tcMar>
              <w:top w:w="80" w:type="dxa"/>
              <w:start w:w="100" w:type="dxa"/>
              <w:bottom w:w="80" w:type="dxa"/>
              <w:end w:w="100" w:type="dxa"/>
            </w:tcMar>
            <w:vAlign w:val="center"/>
            <w:shd w:fill="EAF2F8"/>
          </w:tcPr>
          <w:p>
            <w:r>
              <w:rPr>
                <w:b/>
                <w:color w:val="1F4E79"/>
                <w:sz w:val="18"/>
              </w:rPr>
              <w:t>Phase 3 — Quality plane</w:t>
            </w:r>
          </w:p>
        </w:tc>
        <w:tc>
          <w:tcPr>
            <w:tcW w:type="dxa" w:w="3312"/>
            <w:tcMar>
              <w:top w:w="80" w:type="dxa"/>
              <w:start w:w="100" w:type="dxa"/>
              <w:bottom w:w="80" w:type="dxa"/>
              <w:end w:w="100" w:type="dxa"/>
            </w:tcMar>
            <w:vAlign w:val="center"/>
          </w:tcPr>
          <w:p>
            <w:r>
              <w:rPr>
                <w:sz w:val="18"/>
              </w:rPr>
              <w:t>Prove candidate quality before rollout.</w:t>
            </w:r>
          </w:p>
        </w:tc>
        <w:tc>
          <w:tcPr>
            <w:tcW w:type="dxa" w:w="3312"/>
            <w:tcMar>
              <w:top w:w="80" w:type="dxa"/>
              <w:start w:w="100" w:type="dxa"/>
              <w:bottom w:w="80" w:type="dxa"/>
              <w:end w:w="100" w:type="dxa"/>
            </w:tcMar>
            <w:vAlign w:val="center"/>
          </w:tcPr>
          <w:p>
            <w:r>
              <w:rPr>
                <w:sz w:val="18"/>
              </w:rPr>
              <w:t>Evaluation service, replay jobs, scenario simulation, benchmark packs, release packets.</w:t>
            </w:r>
          </w:p>
        </w:tc>
      </w:tr>
      <w:tr>
        <w:tc>
          <w:tcPr>
            <w:tcW w:type="dxa" w:w="3312"/>
            <w:tcMar>
              <w:top w:w="80" w:type="dxa"/>
              <w:start w:w="100" w:type="dxa"/>
              <w:bottom w:w="80" w:type="dxa"/>
              <w:end w:w="100" w:type="dxa"/>
            </w:tcMar>
            <w:vAlign w:val="center"/>
            <w:shd w:fill="EAF2F8"/>
          </w:tcPr>
          <w:p>
            <w:r>
              <w:rPr>
                <w:b/>
                <w:color w:val="1F4E79"/>
                <w:sz w:val="18"/>
              </w:rPr>
              <w:t>Phase 4 — UX maturity</w:t>
            </w:r>
          </w:p>
        </w:tc>
        <w:tc>
          <w:tcPr>
            <w:tcW w:type="dxa" w:w="3312"/>
            <w:tcMar>
              <w:top w:w="80" w:type="dxa"/>
              <w:start w:w="100" w:type="dxa"/>
              <w:bottom w:w="80" w:type="dxa"/>
              <w:end w:w="100" w:type="dxa"/>
            </w:tcMar>
            <w:vAlign w:val="center"/>
          </w:tcPr>
          <w:p>
            <w:r>
              <w:rPr>
                <w:sz w:val="18"/>
              </w:rPr>
              <w:t>Deliver role-based product usability.</w:t>
            </w:r>
          </w:p>
        </w:tc>
        <w:tc>
          <w:tcPr>
            <w:tcW w:type="dxa" w:w="3312"/>
            <w:tcMar>
              <w:top w:w="80" w:type="dxa"/>
              <w:start w:w="100" w:type="dxa"/>
              <w:bottom w:w="80" w:type="dxa"/>
              <w:end w:w="100" w:type="dxa"/>
            </w:tcMar>
            <w:vAlign w:val="center"/>
          </w:tcPr>
          <w:p>
            <w:r>
              <w:rPr>
                <w:sz w:val="18"/>
              </w:rPr>
              <w:t>Studio, Evaluation Lab, Deployments, Observability, Governance, Executive views.</w:t>
            </w:r>
          </w:p>
        </w:tc>
      </w:tr>
      <w:tr>
        <w:tc>
          <w:tcPr>
            <w:tcW w:type="dxa" w:w="3312"/>
            <w:tcMar>
              <w:top w:w="80" w:type="dxa"/>
              <w:start w:w="100" w:type="dxa"/>
              <w:bottom w:w="80" w:type="dxa"/>
              <w:end w:w="100" w:type="dxa"/>
            </w:tcMar>
            <w:vAlign w:val="center"/>
            <w:shd w:fill="EAF2F8"/>
          </w:tcPr>
          <w:p>
            <w:r>
              <w:rPr>
                <w:b/>
                <w:color w:val="1F4E79"/>
                <w:sz w:val="18"/>
              </w:rPr>
              <w:t>Phase 5 — Improvement plane</w:t>
            </w:r>
          </w:p>
        </w:tc>
        <w:tc>
          <w:tcPr>
            <w:tcW w:type="dxa" w:w="3312"/>
            <w:tcMar>
              <w:top w:w="80" w:type="dxa"/>
              <w:start w:w="100" w:type="dxa"/>
              <w:bottom w:w="80" w:type="dxa"/>
              <w:end w:w="100" w:type="dxa"/>
            </w:tcMar>
            <w:vAlign w:val="center"/>
          </w:tcPr>
          <w:p>
            <w:r>
              <w:rPr>
                <w:sz w:val="18"/>
              </w:rPr>
              <w:t>Leverage historical evidence for better future runs.</w:t>
            </w:r>
          </w:p>
        </w:tc>
        <w:tc>
          <w:tcPr>
            <w:tcW w:type="dxa" w:w="3312"/>
            <w:tcMar>
              <w:top w:w="80" w:type="dxa"/>
              <w:start w:w="100" w:type="dxa"/>
              <w:bottom w:w="80" w:type="dxa"/>
              <w:end w:w="100" w:type="dxa"/>
            </w:tcMar>
            <w:vAlign w:val="center"/>
          </w:tcPr>
          <w:p>
            <w:r>
              <w:rPr>
                <w:sz w:val="18"/>
              </w:rPr>
              <w:t>Episodic memory, experiment tracking, recommendation support, candidate ranking.</w:t>
            </w:r>
          </w:p>
        </w:tc>
      </w:tr>
    </w:tbl>
    <w:p/>
    <w:p>
      <w:pPr>
        <w:pStyle w:val="HeadingBlue"/>
      </w:pPr>
      <w:r>
        <w:t>12. Acceptance criteria summary</w:t>
      </w:r>
    </w:p>
    <w:p>
      <w:pPr>
        <w:spacing w:after="30"/>
        <w:ind w:left="288" w:hanging="202"/>
      </w:pPr>
      <w:r>
        <w:rPr>
          <w:sz w:val="20"/>
        </w:rPr>
        <w:t>• A user can define a goal and receive a reviewable candidate agent package through the product UI.</w:t>
      </w:r>
    </w:p>
    <w:p>
      <w:pPr>
        <w:spacing w:after="30"/>
        <w:ind w:left="288" w:hanging="202"/>
      </w:pPr>
      <w:r>
        <w:rPr>
          <w:sz w:val="20"/>
        </w:rPr>
        <w:t>• A candidate package cannot reach production without an evaluation packet, release controls, and required approvals.</w:t>
      </w:r>
    </w:p>
    <w:p>
      <w:pPr>
        <w:spacing w:after="30"/>
        <w:ind w:left="288" w:hanging="202"/>
      </w:pPr>
      <w:r>
        <w:rPr>
          <w:sz w:val="20"/>
        </w:rPr>
        <w:t>• Operators can trace a production issue from deployment to run to task to tool/model activity.</w:t>
      </w:r>
    </w:p>
    <w:p>
      <w:pPr>
        <w:spacing w:after="30"/>
        <w:ind w:left="288" w:hanging="202"/>
      </w:pPr>
      <w:r>
        <w:rPr>
          <w:sz w:val="20"/>
        </w:rPr>
        <w:t>• Every production action is attributable to a human or machine identity and preserved in audit evidence.</w:t>
      </w:r>
    </w:p>
    <w:p>
      <w:pPr>
        <w:spacing w:after="30"/>
        <w:ind w:left="288" w:hanging="202"/>
      </w:pPr>
      <w:r>
        <w:rPr>
          <w:sz w:val="20"/>
        </w:rPr>
        <w:t>• The platform can scale runtime workers independently from the control APIs.</w:t>
      </w:r>
    </w:p>
    <w:p>
      <w:pPr>
        <w:spacing w:after="30"/>
        <w:ind w:left="288" w:hanging="202"/>
      </w:pPr>
      <w:r>
        <w:rPr>
          <w:sz w:val="20"/>
        </w:rPr>
        <w:t>• The architecture supports iterative expansion without rewriting the core control path.</w:t>
      </w:r>
    </w:p>
    <w:p>
      <w:pPr>
        <w:pStyle w:val="HeadingBlue"/>
      </w:pPr>
      <w:r>
        <w:t>13. Key architectural decisions</w:t>
      </w:r>
    </w:p>
    <w:p>
      <w:pPr>
        <w:spacing w:after="30"/>
        <w:ind w:left="288" w:hanging="202"/>
      </w:pPr>
      <w:r>
        <w:rPr>
          <w:sz w:val="20"/>
        </w:rPr>
        <w:t>• Use Temporal for durable orchestration instead of hand-rolled workflow state machines.</w:t>
      </w:r>
    </w:p>
    <w:p>
      <w:pPr>
        <w:spacing w:after="30"/>
        <w:ind w:left="288" w:hanging="202"/>
      </w:pPr>
      <w:r>
        <w:rPr>
          <w:sz w:val="20"/>
        </w:rPr>
        <w:t>• Use PostgreSQL as the source of truth; extend with pgvector before introducing a separate vector database.</w:t>
      </w:r>
    </w:p>
    <w:p>
      <w:pPr>
        <w:spacing w:after="30"/>
        <w:ind w:left="288" w:hanging="202"/>
      </w:pPr>
      <w:r>
        <w:rPr>
          <w:sz w:val="20"/>
        </w:rPr>
        <w:t>• Keep model access and tool access behind dedicated choke points: Model Gateway and Tool Broker.</w:t>
      </w:r>
    </w:p>
    <w:p>
      <w:pPr>
        <w:spacing w:after="30"/>
        <w:ind w:left="288" w:hanging="202"/>
      </w:pPr>
      <w:r>
        <w:rPr>
          <w:sz w:val="20"/>
        </w:rPr>
        <w:t>• Do not put experimental self-improvement directly on the live production path.</w:t>
      </w:r>
    </w:p>
    <w:p>
      <w:pPr>
        <w:spacing w:after="30"/>
        <w:ind w:left="288" w:hanging="202"/>
      </w:pPr>
      <w:r>
        <w:rPr>
          <w:sz w:val="20"/>
        </w:rPr>
        <w:t>• Use append-only audit evidence and signed artifacts before considering blockchain-style anchoring.</w:t>
      </w:r>
    </w:p>
    <w:p>
      <w:pPr>
        <w:pStyle w:val="HeadingBlue"/>
      </w:pPr>
      <w:r>
        <w:t>14. Risks and mitigations</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664"/>
        <w:gridCol w:w="1872"/>
        <w:gridCol w:w="4392"/>
      </w:tblGrid>
      <w:tr>
        <w:trPr>
          <w:tblHeader w:val="true"/>
        </w:trPr>
        <w:tc>
          <w:tcPr>
            <w:tcW w:type="dxa" w:w="3312"/>
            <w:shd w:fill="1F4E79"/>
            <w:tcMar>
              <w:top w:w="80" w:type="dxa"/>
              <w:start w:w="100" w:type="dxa"/>
              <w:bottom w:w="80" w:type="dxa"/>
              <w:end w:w="100" w:type="dxa"/>
            </w:tcMar>
          </w:tcPr>
          <w:p>
            <w:pPr>
              <w:jc w:val="center"/>
            </w:pPr>
            <w:r>
              <w:rPr>
                <w:b/>
                <w:color w:val="FFFFFF"/>
                <w:sz w:val="17"/>
              </w:rPr>
              <w:t>Risk</w:t>
            </w:r>
          </w:p>
        </w:tc>
        <w:tc>
          <w:tcPr>
            <w:tcW w:type="dxa" w:w="3312"/>
            <w:shd w:fill="1F4E79"/>
            <w:tcMar>
              <w:top w:w="80" w:type="dxa"/>
              <w:start w:w="100" w:type="dxa"/>
              <w:bottom w:w="80" w:type="dxa"/>
              <w:end w:w="100" w:type="dxa"/>
            </w:tcMar>
          </w:tcPr>
          <w:p>
            <w:pPr>
              <w:jc w:val="center"/>
            </w:pPr>
            <w:r>
              <w:rPr>
                <w:b/>
                <w:color w:val="FFFFFF"/>
                <w:sz w:val="17"/>
              </w:rPr>
              <w:t>Impact</w:t>
            </w:r>
          </w:p>
        </w:tc>
        <w:tc>
          <w:tcPr>
            <w:tcW w:type="dxa" w:w="3312"/>
            <w:shd w:fill="1F4E79"/>
            <w:tcMar>
              <w:top w:w="80" w:type="dxa"/>
              <w:start w:w="100" w:type="dxa"/>
              <w:bottom w:w="80" w:type="dxa"/>
              <w:end w:w="100" w:type="dxa"/>
            </w:tcMar>
          </w:tcPr>
          <w:p>
            <w:pPr>
              <w:jc w:val="center"/>
            </w:pPr>
            <w:r>
              <w:rPr>
                <w:b/>
                <w:color w:val="FFFFFF"/>
                <w:sz w:val="17"/>
              </w:rPr>
              <w:t>Mitigation</w:t>
            </w:r>
          </w:p>
        </w:tc>
      </w:tr>
      <w:tr>
        <w:tc>
          <w:tcPr>
            <w:tcW w:type="dxa" w:w="3312"/>
            <w:tcMar>
              <w:top w:w="80" w:type="dxa"/>
              <w:start w:w="100" w:type="dxa"/>
              <w:bottom w:w="80" w:type="dxa"/>
              <w:end w:w="100" w:type="dxa"/>
            </w:tcMar>
            <w:vAlign w:val="center"/>
            <w:shd w:fill="EAF2F8"/>
          </w:tcPr>
          <w:p>
            <w:r>
              <w:rPr>
                <w:b/>
                <w:color w:val="1F4E79"/>
                <w:sz w:val="16"/>
              </w:rPr>
              <w:t>Over-centralized supervisor logic</w:t>
            </w:r>
          </w:p>
        </w:tc>
        <w:tc>
          <w:tcPr>
            <w:tcW w:type="dxa" w:w="3312"/>
            <w:tcMar>
              <w:top w:w="80" w:type="dxa"/>
              <w:start w:w="100" w:type="dxa"/>
              <w:bottom w:w="80" w:type="dxa"/>
              <w:end w:w="100" w:type="dxa"/>
            </w:tcMar>
            <w:vAlign w:val="center"/>
          </w:tcPr>
          <w:p>
            <w:r>
              <w:rPr>
                <w:sz w:val="16"/>
              </w:rPr>
              <w:t>Bottlenecks and brittle workflows.</w:t>
            </w:r>
          </w:p>
        </w:tc>
        <w:tc>
          <w:tcPr>
            <w:tcW w:type="dxa" w:w="3312"/>
            <w:tcMar>
              <w:top w:w="80" w:type="dxa"/>
              <w:start w:w="100" w:type="dxa"/>
              <w:bottom w:w="80" w:type="dxa"/>
              <w:end w:w="100" w:type="dxa"/>
            </w:tcMar>
            <w:vAlign w:val="center"/>
          </w:tcPr>
          <w:p>
            <w:r>
              <w:rPr>
                <w:sz w:val="16"/>
              </w:rPr>
              <w:t>Keep planning, orchestration, scheduling, retrieval, and execution as separate services with explicit contracts.</w:t>
            </w:r>
          </w:p>
        </w:tc>
      </w:tr>
      <w:tr>
        <w:tc>
          <w:tcPr>
            <w:tcW w:type="dxa" w:w="3312"/>
            <w:tcMar>
              <w:top w:w="80" w:type="dxa"/>
              <w:start w:w="100" w:type="dxa"/>
              <w:bottom w:w="80" w:type="dxa"/>
              <w:end w:w="100" w:type="dxa"/>
            </w:tcMar>
            <w:vAlign w:val="center"/>
            <w:shd w:fill="EAF2F8"/>
          </w:tcPr>
          <w:p>
            <w:r>
              <w:rPr>
                <w:b/>
                <w:color w:val="1F4E79"/>
                <w:sz w:val="16"/>
              </w:rPr>
              <w:t>RAG / memory ambiguity</w:t>
            </w:r>
          </w:p>
        </w:tc>
        <w:tc>
          <w:tcPr>
            <w:tcW w:type="dxa" w:w="3312"/>
            <w:tcMar>
              <w:top w:w="80" w:type="dxa"/>
              <w:start w:w="100" w:type="dxa"/>
              <w:bottom w:w="80" w:type="dxa"/>
              <w:end w:w="100" w:type="dxa"/>
            </w:tcMar>
            <w:vAlign w:val="center"/>
          </w:tcPr>
          <w:p>
            <w:r>
              <w:rPr>
                <w:sz w:val="16"/>
              </w:rPr>
              <w:t>Poor explainability and unstable behavior.</w:t>
            </w:r>
          </w:p>
        </w:tc>
        <w:tc>
          <w:tcPr>
            <w:tcW w:type="dxa" w:w="3312"/>
            <w:tcMar>
              <w:top w:w="80" w:type="dxa"/>
              <w:start w:w="100" w:type="dxa"/>
              <w:bottom w:w="80" w:type="dxa"/>
              <w:end w:w="100" w:type="dxa"/>
            </w:tcMar>
            <w:vAlign w:val="center"/>
          </w:tcPr>
          <w:p>
            <w:r>
              <w:rPr>
                <w:sz w:val="16"/>
              </w:rPr>
              <w:t>Separate semantic retrieval, episodic memory, scratchpad state, and source-of-truth records.</w:t>
            </w:r>
          </w:p>
        </w:tc>
      </w:tr>
      <w:tr>
        <w:tc>
          <w:tcPr>
            <w:tcW w:type="dxa" w:w="3312"/>
            <w:tcMar>
              <w:top w:w="80" w:type="dxa"/>
              <w:start w:w="100" w:type="dxa"/>
              <w:bottom w:w="80" w:type="dxa"/>
              <w:end w:w="100" w:type="dxa"/>
            </w:tcMar>
            <w:vAlign w:val="center"/>
            <w:shd w:fill="EAF2F8"/>
          </w:tcPr>
          <w:p>
            <w:r>
              <w:rPr>
                <w:b/>
                <w:color w:val="1F4E79"/>
                <w:sz w:val="16"/>
              </w:rPr>
              <w:t>Unsafe tool usage</w:t>
            </w:r>
          </w:p>
        </w:tc>
        <w:tc>
          <w:tcPr>
            <w:tcW w:type="dxa" w:w="3312"/>
            <w:tcMar>
              <w:top w:w="80" w:type="dxa"/>
              <w:start w:w="100" w:type="dxa"/>
              <w:bottom w:w="80" w:type="dxa"/>
              <w:end w:w="100" w:type="dxa"/>
            </w:tcMar>
            <w:vAlign w:val="center"/>
          </w:tcPr>
          <w:p>
            <w:r>
              <w:rPr>
                <w:sz w:val="16"/>
              </w:rPr>
              <w:t>Security incidents or data exfiltration.</w:t>
            </w:r>
          </w:p>
        </w:tc>
        <w:tc>
          <w:tcPr>
            <w:tcW w:type="dxa" w:w="3312"/>
            <w:tcMar>
              <w:top w:w="80" w:type="dxa"/>
              <w:start w:w="100" w:type="dxa"/>
              <w:bottom w:w="80" w:type="dxa"/>
              <w:end w:w="100" w:type="dxa"/>
            </w:tcMar>
            <w:vAlign w:val="center"/>
          </w:tcPr>
          <w:p>
            <w:r>
              <w:rPr>
                <w:sz w:val="16"/>
              </w:rPr>
              <w:t>Tool Broker, short-lived tokens, allowlists, egress control, and audit-by-default.</w:t>
            </w:r>
          </w:p>
        </w:tc>
      </w:tr>
      <w:tr>
        <w:tc>
          <w:tcPr>
            <w:tcW w:type="dxa" w:w="3312"/>
            <w:tcMar>
              <w:top w:w="80" w:type="dxa"/>
              <w:start w:w="100" w:type="dxa"/>
              <w:bottom w:w="80" w:type="dxa"/>
              <w:end w:w="100" w:type="dxa"/>
            </w:tcMar>
            <w:vAlign w:val="center"/>
            <w:shd w:fill="EAF2F8"/>
          </w:tcPr>
          <w:p>
            <w:r>
              <w:rPr>
                <w:b/>
                <w:color w:val="1F4E79"/>
                <w:sz w:val="16"/>
              </w:rPr>
              <w:t>Telemetry cost explosion</w:t>
            </w:r>
          </w:p>
        </w:tc>
        <w:tc>
          <w:tcPr>
            <w:tcW w:type="dxa" w:w="3312"/>
            <w:tcMar>
              <w:top w:w="80" w:type="dxa"/>
              <w:start w:w="100" w:type="dxa"/>
              <w:bottom w:w="80" w:type="dxa"/>
              <w:end w:w="100" w:type="dxa"/>
            </w:tcMar>
            <w:vAlign w:val="center"/>
          </w:tcPr>
          <w:p>
            <w:r>
              <w:rPr>
                <w:sz w:val="16"/>
              </w:rPr>
              <w:t>Observability becomes too expensive.</w:t>
            </w:r>
          </w:p>
        </w:tc>
        <w:tc>
          <w:tcPr>
            <w:tcW w:type="dxa" w:w="3312"/>
            <w:tcMar>
              <w:top w:w="80" w:type="dxa"/>
              <w:start w:w="100" w:type="dxa"/>
              <w:bottom w:w="80" w:type="dxa"/>
              <w:end w:w="100" w:type="dxa"/>
            </w:tcMar>
            <w:vAlign w:val="center"/>
          </w:tcPr>
          <w:p>
            <w:r>
              <w:rPr>
                <w:sz w:val="16"/>
              </w:rPr>
              <w:t>Sampling, retention tiers, aggregated dashboards, and clear trace IDs only where needed.</w:t>
            </w:r>
          </w:p>
        </w:tc>
      </w:tr>
      <w:tr>
        <w:tc>
          <w:tcPr>
            <w:tcW w:type="dxa" w:w="3312"/>
            <w:tcMar>
              <w:top w:w="80" w:type="dxa"/>
              <w:start w:w="100" w:type="dxa"/>
              <w:bottom w:w="80" w:type="dxa"/>
              <w:end w:w="100" w:type="dxa"/>
            </w:tcMar>
            <w:vAlign w:val="center"/>
            <w:shd w:fill="EAF2F8"/>
          </w:tcPr>
          <w:p>
            <w:r>
              <w:rPr>
                <w:b/>
                <w:color w:val="1F4E79"/>
                <w:sz w:val="16"/>
              </w:rPr>
              <w:t>Premature tech sprawl</w:t>
            </w:r>
          </w:p>
        </w:tc>
        <w:tc>
          <w:tcPr>
            <w:tcW w:type="dxa" w:w="3312"/>
            <w:tcMar>
              <w:top w:w="80" w:type="dxa"/>
              <w:start w:w="100" w:type="dxa"/>
              <w:bottom w:w="80" w:type="dxa"/>
              <w:end w:w="100" w:type="dxa"/>
            </w:tcMar>
            <w:vAlign w:val="center"/>
          </w:tcPr>
          <w:p>
            <w:r>
              <w:rPr>
                <w:sz w:val="16"/>
              </w:rPr>
              <w:t>Slow delivery and difficult operations.</w:t>
            </w:r>
          </w:p>
        </w:tc>
        <w:tc>
          <w:tcPr>
            <w:tcW w:type="dxa" w:w="3312"/>
            <w:tcMar>
              <w:top w:w="80" w:type="dxa"/>
              <w:start w:w="100" w:type="dxa"/>
              <w:bottom w:w="80" w:type="dxa"/>
              <w:end w:w="100" w:type="dxa"/>
            </w:tcMar>
            <w:vAlign w:val="center"/>
          </w:tcPr>
          <w:p>
            <w:r>
              <w:rPr>
                <w:sz w:val="16"/>
              </w:rPr>
              <w:t>Prefer managed Postgres/Redis/Kafka/Kubernetes services and avoid multi-database sprawl early.</w:t>
            </w:r>
          </w:p>
        </w:tc>
      </w:tr>
    </w:tbl>
    <w:p/>
    <w:p>
      <w:pPr>
        <w:pStyle w:val="HeadingBlue"/>
      </w:pPr>
      <w:r>
        <w:t>15. Appendix — glossary</w:t>
      </w:r>
    </w:p>
    <w:tbl>
      <w:tblPr>
        <w:tblW w:type="auto" w:w="0"/>
        <w:jc w:val="center"/>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232"/>
        <w:gridCol w:w="6768"/>
      </w:tblGrid>
      <w:tr>
        <w:trPr>
          <w:tblHeader w:val="true"/>
        </w:trPr>
        <w:tc>
          <w:tcPr>
            <w:tcW w:type="dxa" w:w="4968"/>
            <w:shd w:fill="1F4E79"/>
            <w:tcMar>
              <w:top w:w="80" w:type="dxa"/>
              <w:start w:w="100" w:type="dxa"/>
              <w:bottom w:w="80" w:type="dxa"/>
              <w:end w:w="100" w:type="dxa"/>
            </w:tcMar>
          </w:tcPr>
          <w:p>
            <w:pPr>
              <w:jc w:val="center"/>
            </w:pPr>
            <w:r>
              <w:rPr>
                <w:b/>
                <w:color w:val="FFFFFF"/>
                <w:sz w:val="18"/>
              </w:rPr>
              <w:t>Term</w:t>
            </w:r>
          </w:p>
        </w:tc>
        <w:tc>
          <w:tcPr>
            <w:tcW w:type="dxa" w:w="4968"/>
            <w:shd w:fill="1F4E79"/>
            <w:tcMar>
              <w:top w:w="80" w:type="dxa"/>
              <w:start w:w="100" w:type="dxa"/>
              <w:bottom w:w="80" w:type="dxa"/>
              <w:end w:w="100" w:type="dxa"/>
            </w:tcMar>
          </w:tcPr>
          <w:p>
            <w:pPr>
              <w:jc w:val="center"/>
            </w:pPr>
            <w:r>
              <w:rPr>
                <w:b/>
                <w:color w:val="FFFFFF"/>
                <w:sz w:val="18"/>
              </w:rPr>
              <w:t>Definition</w:t>
            </w:r>
          </w:p>
        </w:tc>
      </w:tr>
      <w:tr>
        <w:tc>
          <w:tcPr>
            <w:tcW w:type="dxa" w:w="4968"/>
            <w:tcMar>
              <w:top w:w="80" w:type="dxa"/>
              <w:start w:w="100" w:type="dxa"/>
              <w:bottom w:w="80" w:type="dxa"/>
              <w:end w:w="100" w:type="dxa"/>
            </w:tcMar>
            <w:vAlign w:val="center"/>
            <w:shd w:fill="EAF2F8"/>
          </w:tcPr>
          <w:p>
            <w:r>
              <w:rPr>
                <w:b/>
                <w:color w:val="1F4E79"/>
                <w:sz w:val="18"/>
              </w:rPr>
              <w:t>Run</w:t>
            </w:r>
          </w:p>
        </w:tc>
        <w:tc>
          <w:tcPr>
            <w:tcW w:type="dxa" w:w="4968"/>
            <w:tcMar>
              <w:top w:w="80" w:type="dxa"/>
              <w:start w:w="100" w:type="dxa"/>
              <w:bottom w:w="80" w:type="dxa"/>
              <w:end w:w="100" w:type="dxa"/>
            </w:tcMar>
            <w:vAlign w:val="center"/>
          </w:tcPr>
          <w:p>
            <w:r>
              <w:rPr>
                <w:sz w:val="18"/>
              </w:rPr>
              <w:t>A full end-to-end execution of a user or API request through the platform.</w:t>
            </w:r>
          </w:p>
        </w:tc>
      </w:tr>
      <w:tr>
        <w:tc>
          <w:tcPr>
            <w:tcW w:type="dxa" w:w="4968"/>
            <w:tcMar>
              <w:top w:w="80" w:type="dxa"/>
              <w:start w:w="100" w:type="dxa"/>
              <w:bottom w:w="80" w:type="dxa"/>
              <w:end w:w="100" w:type="dxa"/>
            </w:tcMar>
            <w:vAlign w:val="center"/>
            <w:shd w:fill="EAF2F8"/>
          </w:tcPr>
          <w:p>
            <w:r>
              <w:rPr>
                <w:b/>
                <w:color w:val="1F4E79"/>
                <w:sz w:val="18"/>
              </w:rPr>
              <w:t>Plan</w:t>
            </w:r>
          </w:p>
        </w:tc>
        <w:tc>
          <w:tcPr>
            <w:tcW w:type="dxa" w:w="4968"/>
            <w:tcMar>
              <w:top w:w="80" w:type="dxa"/>
              <w:start w:w="100" w:type="dxa"/>
              <w:bottom w:w="80" w:type="dxa"/>
              <w:end w:w="100" w:type="dxa"/>
            </w:tcMar>
            <w:vAlign w:val="center"/>
          </w:tcPr>
          <w:p>
            <w:r>
              <w:rPr>
                <w:sz w:val="18"/>
              </w:rPr>
              <w:t>A task graph that decomposes a run into executable units with dependencies and budgets.</w:t>
            </w:r>
          </w:p>
        </w:tc>
      </w:tr>
      <w:tr>
        <w:tc>
          <w:tcPr>
            <w:tcW w:type="dxa" w:w="4968"/>
            <w:tcMar>
              <w:top w:w="80" w:type="dxa"/>
              <w:start w:w="100" w:type="dxa"/>
              <w:bottom w:w="80" w:type="dxa"/>
              <w:end w:w="100" w:type="dxa"/>
            </w:tcMar>
            <w:vAlign w:val="center"/>
            <w:shd w:fill="EAF2F8"/>
          </w:tcPr>
          <w:p>
            <w:r>
              <w:rPr>
                <w:b/>
                <w:color w:val="1F4E79"/>
                <w:sz w:val="18"/>
              </w:rPr>
              <w:t>Agent package</w:t>
            </w:r>
          </w:p>
        </w:tc>
        <w:tc>
          <w:tcPr>
            <w:tcW w:type="dxa" w:w="4968"/>
            <w:tcMar>
              <w:top w:w="80" w:type="dxa"/>
              <w:start w:w="100" w:type="dxa"/>
              <w:bottom w:w="80" w:type="dxa"/>
              <w:end w:w="100" w:type="dxa"/>
            </w:tcMar>
            <w:vAlign w:val="center"/>
          </w:tcPr>
          <w:p>
            <w:r>
              <w:rPr>
                <w:sz w:val="18"/>
              </w:rPr>
              <w:t>The versioned set of prompts, configs, manifests, policies, and evaluation metadata needed to deploy an agent.</w:t>
            </w:r>
          </w:p>
        </w:tc>
      </w:tr>
      <w:tr>
        <w:tc>
          <w:tcPr>
            <w:tcW w:type="dxa" w:w="4968"/>
            <w:tcMar>
              <w:top w:w="80" w:type="dxa"/>
              <w:start w:w="100" w:type="dxa"/>
              <w:bottom w:w="80" w:type="dxa"/>
              <w:end w:w="100" w:type="dxa"/>
            </w:tcMar>
            <w:vAlign w:val="center"/>
            <w:shd w:fill="EAF2F8"/>
          </w:tcPr>
          <w:p>
            <w:r>
              <w:rPr>
                <w:b/>
                <w:color w:val="1F4E79"/>
                <w:sz w:val="18"/>
              </w:rPr>
              <w:t>Evaluation report</w:t>
            </w:r>
          </w:p>
        </w:tc>
        <w:tc>
          <w:tcPr>
            <w:tcW w:type="dxa" w:w="4968"/>
            <w:tcMar>
              <w:top w:w="80" w:type="dxa"/>
              <w:start w:w="100" w:type="dxa"/>
              <w:bottom w:w="80" w:type="dxa"/>
              <w:end w:w="100" w:type="dxa"/>
            </w:tcMar>
            <w:vAlign w:val="center"/>
          </w:tcPr>
          <w:p>
            <w:r>
              <w:rPr>
                <w:sz w:val="18"/>
              </w:rPr>
              <w:t>A structured evidence packet describing candidate quality, safety, cost, and release recommendation.</w:t>
            </w:r>
          </w:p>
        </w:tc>
      </w:tr>
      <w:tr>
        <w:tc>
          <w:tcPr>
            <w:tcW w:type="dxa" w:w="4968"/>
            <w:tcMar>
              <w:top w:w="80" w:type="dxa"/>
              <w:start w:w="100" w:type="dxa"/>
              <w:bottom w:w="80" w:type="dxa"/>
              <w:end w:w="100" w:type="dxa"/>
            </w:tcMar>
            <w:vAlign w:val="center"/>
            <w:shd w:fill="EAF2F8"/>
          </w:tcPr>
          <w:p>
            <w:r>
              <w:rPr>
                <w:b/>
                <w:color w:val="1F4E79"/>
                <w:sz w:val="18"/>
              </w:rPr>
              <w:t>Tool Broker</w:t>
            </w:r>
          </w:p>
        </w:tc>
        <w:tc>
          <w:tcPr>
            <w:tcW w:type="dxa" w:w="4968"/>
            <w:tcMar>
              <w:top w:w="80" w:type="dxa"/>
              <w:start w:w="100" w:type="dxa"/>
              <w:bottom w:w="80" w:type="dxa"/>
              <w:end w:w="100" w:type="dxa"/>
            </w:tcMar>
            <w:vAlign w:val="center"/>
          </w:tcPr>
          <w:p>
            <w:r>
              <w:rPr>
                <w:sz w:val="18"/>
              </w:rPr>
              <w:t>A controlled service that mediates and audits external tool actions.</w:t>
            </w:r>
          </w:p>
        </w:tc>
      </w:tr>
      <w:tr>
        <w:tc>
          <w:tcPr>
            <w:tcW w:type="dxa" w:w="4968"/>
            <w:tcMar>
              <w:top w:w="80" w:type="dxa"/>
              <w:start w:w="100" w:type="dxa"/>
              <w:bottom w:w="80" w:type="dxa"/>
              <w:end w:w="100" w:type="dxa"/>
            </w:tcMar>
            <w:vAlign w:val="center"/>
            <w:shd w:fill="EAF2F8"/>
          </w:tcPr>
          <w:p>
            <w:r>
              <w:rPr>
                <w:b/>
                <w:color w:val="1F4E79"/>
                <w:sz w:val="18"/>
              </w:rPr>
              <w:t>Model Gateway</w:t>
            </w:r>
          </w:p>
        </w:tc>
        <w:tc>
          <w:tcPr>
            <w:tcW w:type="dxa" w:w="4968"/>
            <w:tcMar>
              <w:top w:w="80" w:type="dxa"/>
              <w:start w:w="100" w:type="dxa"/>
              <w:bottom w:w="80" w:type="dxa"/>
              <w:end w:w="100" w:type="dxa"/>
            </w:tcMar>
            <w:vAlign w:val="center"/>
          </w:tcPr>
          <w:p>
            <w:r>
              <w:rPr>
                <w:sz w:val="18"/>
              </w:rPr>
              <w:t>A controlled service that routes, meters, and observes all model inference requests.</w:t>
            </w:r>
          </w:p>
        </w:tc>
      </w:tr>
    </w:tbl>
    <w:p/>
    <w:sectPr w:rsidR="00FC693F" w:rsidRPr="0006063C" w:rsidSect="00034616">
      <w:headerReference w:type="default" r:id="rId9"/>
      <w:footerReference w:type="default" r:id="rId10"/>
      <w:pgSz w:w="12240" w:h="15840"/>
      <w:pgMar w:top="1008" w:right="1152" w:bottom="936"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Agent Architect Pro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before="0" w:after="100"/>
    </w:pPr>
    <w:rPr>
      <w:rFonts w:ascii="Aptos Display" w:hAnsi="Aptos Display"/>
      <w:b/>
      <w:color w:val="1F4E79"/>
      <w:sz w:val="44"/>
    </w:rPr>
  </w:style>
  <w:style w:type="paragraph" w:customStyle="1" w:styleId="SubtitleCustom">
    <w:name w:val="SubtitleCustom"/>
    <w:basedOn w:val="Normal"/>
    <w:pPr>
      <w:spacing w:before="0" w:after="160"/>
    </w:pPr>
    <w:rPr>
      <w:rFonts w:ascii="Aptos" w:hAnsi="Aptos"/>
      <w:b w:val="0"/>
      <w:color w:val="606060"/>
      <w:sz w:val="22"/>
    </w:rPr>
  </w:style>
  <w:style w:type="paragraph" w:customStyle="1" w:styleId="HeadingBlue">
    <w:name w:val="HeadingBlue"/>
    <w:basedOn w:val="Heading1"/>
    <w:pPr>
      <w:spacing w:before="180" w:after="80"/>
    </w:pPr>
    <w:rPr>
      <w:rFonts w:ascii="Aptos Display" w:hAnsi="Aptos Display"/>
      <w:b/>
      <w:color w:val="1F4E79"/>
      <w:sz w:val="30"/>
    </w:rPr>
  </w:style>
  <w:style w:type="paragraph" w:customStyle="1" w:styleId="HeadingBlue2">
    <w:name w:val="HeadingBlue2"/>
    <w:basedOn w:val="Heading2"/>
    <w:pPr>
      <w:spacing w:before="120" w:after="40"/>
    </w:pPr>
    <w:rPr>
      <w:rFonts w:ascii="Aptos Display" w:hAnsi="Aptos Display"/>
      <w:b/>
      <w:color w:val="1F4E79"/>
      <w:sz w:val="23"/>
    </w:rPr>
  </w:style>
  <w:style w:type="paragraph" w:customStyle="1" w:styleId="SmallText">
    <w:name w:val="SmallText"/>
    <w:basedOn w:val="Normal"/>
    <w:pPr>
      <w:spacing w:before="0" w:after="40"/>
    </w:pPr>
    <w:rPr>
      <w:rFonts w:ascii="Aptos" w:hAnsi="Aptos"/>
      <w:b w:val="0"/>
      <w:color w:val="606060"/>
      <w:sz w:val="17"/>
    </w:rPr>
  </w:style>
  <w:style w:type="paragraph" w:customStyle="1" w:styleId="Callout">
    <w:name w:val="Callout"/>
    <w:basedOn w:val="Normal"/>
    <w:pPr>
      <w:spacing w:before="0" w:after="40"/>
    </w:pPr>
    <w:rPr>
      <w:rFonts w:ascii="Aptos" w:hAnsi="Aptos"/>
      <w:b w:val="0"/>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