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pPr>
      <w:r>
        <w:t>Agent Architect Pro — Team-by-Team Implementation Pack</w:t>
      </w:r>
    </w:p>
    <w:p>
      <w:pPr>
        <w:pStyle w:val="SubtitleCustom"/>
      </w:pPr>
      <w:r>
        <w:t>Execution pack for Backend, Frontend, ML/AI, DevOps/SRE, and Governance/Security teams.</w:t>
      </w:r>
    </w:p>
    <w:tbl>
      <w:tblPr>
        <w:tblW w:type="auto" w:w="0"/>
        <w:jc w:val="left"/>
        <w:tblLayout w:type="fixed"/>
        <w:tblLook w:firstColumn="1" w:firstRow="1" w:lastColumn="0" w:lastRow="0" w:noHBand="0" w:noVBand="1" w:val="04A0"/>
      </w:tblPr>
      <w:tblGrid>
        <w:gridCol w:w="10008"/>
      </w:tblGrid>
      <w:tr>
        <w:tc>
          <w:tcPr>
            <w:tcW w:type="dxa" w:w="10080"/>
            <w:shd w:fill="D9EAF7"/>
            <w:tcMar>
              <w:top w:w="90" w:type="dxa"/>
              <w:start w:w="120" w:type="dxa"/>
              <w:bottom w:w="90" w:type="dxa"/>
              <w:end w:w="120" w:type="dxa"/>
            </w:tcMar>
          </w:tcPr>
          <w:p>
            <w:r>
              <w:rPr>
                <w:b/>
                <w:color w:val="1F4E79"/>
                <w:sz w:val="18"/>
              </w:rPr>
              <w:t>Purpose: convert the architecture, roadmap, API contract pack, UX plan, and execution manuals into clear team ownership, work instructions, handoffs, and delivery expectations.</w:t>
            </w:r>
          </w:p>
        </w:tc>
      </w:tr>
    </w:tbl>
    <w:p/>
    <w:p>
      <w:pPr>
        <w:pStyle w:val="HeadingBlue"/>
      </w:pPr>
      <w:r>
        <w:t>1. How to use this pack</w:t>
      </w:r>
    </w:p>
    <w:p>
      <w:pPr>
        <w:spacing w:after="20"/>
        <w:ind w:left="259" w:hanging="173"/>
      </w:pPr>
      <w:r>
        <w:rPr>
          <w:sz w:val="20"/>
        </w:rPr>
        <w:t>• Use this document as the working operating brief for team leads and individual contributors.</w:t>
      </w:r>
    </w:p>
    <w:p>
      <w:pPr>
        <w:spacing w:after="20"/>
        <w:ind w:left="259" w:hanging="173"/>
      </w:pPr>
      <w:r>
        <w:rPr>
          <w:sz w:val="20"/>
        </w:rPr>
        <w:t>• Each team section defines ownership, deliverables, dependencies, cadence, and definition of done.</w:t>
      </w:r>
    </w:p>
    <w:p>
      <w:pPr>
        <w:spacing w:after="20"/>
        <w:ind w:left="259" w:hanging="173"/>
      </w:pPr>
      <w:r>
        <w:rPr>
          <w:sz w:val="20"/>
        </w:rPr>
        <w:t>• Treat this as the bridge between architecture documents and day-to-day execution.</w:t>
      </w:r>
    </w:p>
    <w:p>
      <w:pPr>
        <w:spacing w:after="20"/>
        <w:ind w:left="259" w:hanging="173"/>
      </w:pPr>
      <w:r>
        <w:rPr>
          <w:sz w:val="20"/>
        </w:rPr>
        <w:t>• Do not start work only from ideas; start from the assigned team charter and its first-30-days checklist.</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936"/>
      </w:tblGrid>
      <w:tr>
        <w:tc>
          <w:tcPr>
            <w:tcW w:type="dxa" w:w="10080"/>
            <w:shd w:fill="E2F0D9"/>
            <w:tcMar>
              <w:top w:w="90" w:type="dxa"/>
              <w:start w:w="120" w:type="dxa"/>
              <w:bottom w:w="90" w:type="dxa"/>
              <w:end w:w="120" w:type="dxa"/>
            </w:tcMar>
          </w:tcPr>
          <w:p>
            <w:r>
              <w:rPr>
                <w:b/>
                <w:color w:val="1F4E79"/>
                <w:sz w:val="20"/>
              </w:rPr>
              <w:t>Operating principle</w:t>
              <w:br/>
            </w:r>
            <w:r>
              <w:rPr>
                <w:sz w:val="18"/>
              </w:rPr>
              <w:t>This project should not be executed as one giant undifferentiated engineering stream. Each team must own a bounded slice of the system, but all teams must align on shared contracts, telemetry, release gates, and governance requirements.</w:t>
            </w:r>
          </w:p>
        </w:tc>
      </w:tr>
    </w:tbl>
    <w:p/>
    <w:p>
      <w:pPr>
        <w:pStyle w:val="HeadingBlue"/>
      </w:pPr>
      <w:r>
        <w:t>2. Cross-team operating model</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16"/>
        <w:gridCol w:w="2304"/>
        <w:gridCol w:w="2520"/>
        <w:gridCol w:w="2880"/>
      </w:tblGrid>
      <w:tr>
        <w:tc>
          <w:tcPr>
            <w:tcW w:type="dxa" w:w="2520"/>
            <w:shd w:fill="1F4E79"/>
            <w:tcMar>
              <w:top w:w="80" w:type="dxa"/>
              <w:start w:w="110" w:type="dxa"/>
              <w:bottom w:w="80" w:type="dxa"/>
              <w:end w:w="110" w:type="dxa"/>
            </w:tcMar>
          </w:tcPr>
          <w:p>
            <w:pPr>
              <w:jc w:val="center"/>
            </w:pPr>
            <w:r>
              <w:rPr>
                <w:b/>
                <w:color w:val="FFFFFF"/>
                <w:sz w:val="17"/>
              </w:rPr>
              <w:t>Layer</w:t>
            </w:r>
          </w:p>
        </w:tc>
        <w:tc>
          <w:tcPr>
            <w:tcW w:type="dxa" w:w="2520"/>
            <w:shd w:fill="1F4E79"/>
            <w:tcMar>
              <w:top w:w="80" w:type="dxa"/>
              <w:start w:w="110" w:type="dxa"/>
              <w:bottom w:w="80" w:type="dxa"/>
              <w:end w:w="110" w:type="dxa"/>
            </w:tcMar>
          </w:tcPr>
          <w:p>
            <w:pPr>
              <w:jc w:val="center"/>
            </w:pPr>
            <w:r>
              <w:rPr>
                <w:b/>
                <w:color w:val="FFFFFF"/>
                <w:sz w:val="17"/>
              </w:rPr>
              <w:t>Primary owner</w:t>
            </w:r>
          </w:p>
        </w:tc>
        <w:tc>
          <w:tcPr>
            <w:tcW w:type="dxa" w:w="2520"/>
            <w:shd w:fill="1F4E79"/>
            <w:tcMar>
              <w:top w:w="80" w:type="dxa"/>
              <w:start w:w="110" w:type="dxa"/>
              <w:bottom w:w="80" w:type="dxa"/>
              <w:end w:w="110" w:type="dxa"/>
            </w:tcMar>
          </w:tcPr>
          <w:p>
            <w:pPr>
              <w:jc w:val="center"/>
            </w:pPr>
            <w:r>
              <w:rPr>
                <w:b/>
                <w:color w:val="FFFFFF"/>
                <w:sz w:val="17"/>
              </w:rPr>
              <w:t>Secondary owners</w:t>
            </w:r>
          </w:p>
        </w:tc>
        <w:tc>
          <w:tcPr>
            <w:tcW w:type="dxa" w:w="2520"/>
            <w:shd w:fill="1F4E79"/>
            <w:tcMar>
              <w:top w:w="80" w:type="dxa"/>
              <w:start w:w="110" w:type="dxa"/>
              <w:bottom w:w="80" w:type="dxa"/>
              <w:end w:w="110" w:type="dxa"/>
            </w:tcMar>
          </w:tcPr>
          <w:p>
            <w:pPr>
              <w:jc w:val="center"/>
            </w:pPr>
            <w:r>
              <w:rPr>
                <w:b/>
                <w:color w:val="FFFFFF"/>
                <w:sz w:val="17"/>
              </w:rPr>
              <w:t>Critical artifact</w:t>
            </w:r>
          </w:p>
        </w:tc>
      </w:tr>
      <w:tr>
        <w:tc>
          <w:tcPr>
            <w:tcW w:type="dxa" w:w="2520"/>
            <w:shd w:fill="EAF2F8"/>
            <w:tcMar>
              <w:top w:w="80" w:type="dxa"/>
              <w:start w:w="110" w:type="dxa"/>
              <w:bottom w:w="80" w:type="dxa"/>
              <w:end w:w="110" w:type="dxa"/>
            </w:tcMar>
            <w:vAlign w:val="center"/>
          </w:tcPr>
          <w:p>
            <w:r>
              <w:rPr>
                <w:b/>
                <w:color w:val="1F4E79"/>
                <w:sz w:val="16"/>
              </w:rPr>
              <w:t>Control plane</w:t>
            </w:r>
          </w:p>
        </w:tc>
        <w:tc>
          <w:tcPr>
            <w:tcW w:type="dxa" w:w="2520"/>
            <w:tcMar>
              <w:top w:w="80" w:type="dxa"/>
              <w:start w:w="110" w:type="dxa"/>
              <w:bottom w:w="80" w:type="dxa"/>
              <w:end w:w="110" w:type="dxa"/>
            </w:tcMar>
            <w:vAlign w:val="center"/>
          </w:tcPr>
          <w:p>
            <w:r>
              <w:rPr>
                <w:sz w:val="16"/>
              </w:rPr>
              <w:t>Backend / Platform</w:t>
            </w:r>
          </w:p>
        </w:tc>
        <w:tc>
          <w:tcPr>
            <w:tcW w:type="dxa" w:w="2520"/>
            <w:tcMar>
              <w:top w:w="80" w:type="dxa"/>
              <w:start w:w="110" w:type="dxa"/>
              <w:bottom w:w="80" w:type="dxa"/>
              <w:end w:w="110" w:type="dxa"/>
            </w:tcMar>
            <w:vAlign w:val="center"/>
          </w:tcPr>
          <w:p>
            <w:r>
              <w:rPr>
                <w:sz w:val="16"/>
              </w:rPr>
              <w:t>Frontend, Governance</w:t>
            </w:r>
          </w:p>
        </w:tc>
        <w:tc>
          <w:tcPr>
            <w:tcW w:type="dxa" w:w="2520"/>
            <w:tcMar>
              <w:top w:w="80" w:type="dxa"/>
              <w:start w:w="110" w:type="dxa"/>
              <w:bottom w:w="80" w:type="dxa"/>
              <w:end w:w="110" w:type="dxa"/>
            </w:tcMar>
            <w:vAlign w:val="center"/>
          </w:tcPr>
          <w:p>
            <w:r>
              <w:rPr>
                <w:sz w:val="16"/>
              </w:rPr>
              <w:t>Run and plan contracts</w:t>
            </w:r>
          </w:p>
        </w:tc>
      </w:tr>
      <w:tr>
        <w:tc>
          <w:tcPr>
            <w:tcW w:type="dxa" w:w="2520"/>
            <w:shd w:fill="EAF2F8"/>
            <w:tcMar>
              <w:top w:w="80" w:type="dxa"/>
              <w:start w:w="110" w:type="dxa"/>
              <w:bottom w:w="80" w:type="dxa"/>
              <w:end w:w="110" w:type="dxa"/>
            </w:tcMar>
            <w:vAlign w:val="center"/>
          </w:tcPr>
          <w:p>
            <w:r>
              <w:rPr>
                <w:b/>
                <w:color w:val="1F4E79"/>
                <w:sz w:val="16"/>
              </w:rPr>
              <w:t>Execution plane</w:t>
            </w:r>
          </w:p>
        </w:tc>
        <w:tc>
          <w:tcPr>
            <w:tcW w:type="dxa" w:w="2520"/>
            <w:tcMar>
              <w:top w:w="80" w:type="dxa"/>
              <w:start w:w="110" w:type="dxa"/>
              <w:bottom w:w="80" w:type="dxa"/>
              <w:end w:w="110" w:type="dxa"/>
            </w:tcMar>
            <w:vAlign w:val="center"/>
          </w:tcPr>
          <w:p>
            <w:r>
              <w:rPr>
                <w:sz w:val="16"/>
              </w:rPr>
              <w:t>Backend / Platform</w:t>
            </w:r>
          </w:p>
        </w:tc>
        <w:tc>
          <w:tcPr>
            <w:tcW w:type="dxa" w:w="2520"/>
            <w:tcMar>
              <w:top w:w="80" w:type="dxa"/>
              <w:start w:w="110" w:type="dxa"/>
              <w:bottom w:w="80" w:type="dxa"/>
              <w:end w:w="110" w:type="dxa"/>
            </w:tcMar>
            <w:vAlign w:val="center"/>
          </w:tcPr>
          <w:p>
            <w:r>
              <w:rPr>
                <w:sz w:val="16"/>
              </w:rPr>
              <w:t>DevOps, ML</w:t>
            </w:r>
          </w:p>
        </w:tc>
        <w:tc>
          <w:tcPr>
            <w:tcW w:type="dxa" w:w="2520"/>
            <w:tcMar>
              <w:top w:w="80" w:type="dxa"/>
              <w:start w:w="110" w:type="dxa"/>
              <w:bottom w:w="80" w:type="dxa"/>
              <w:end w:w="110" w:type="dxa"/>
            </w:tcMar>
            <w:vAlign w:val="center"/>
          </w:tcPr>
          <w:p>
            <w:r>
              <w:rPr>
                <w:sz w:val="16"/>
              </w:rPr>
              <w:t>Task execution and tool mediation contracts</w:t>
            </w:r>
          </w:p>
        </w:tc>
      </w:tr>
      <w:tr>
        <w:tc>
          <w:tcPr>
            <w:tcW w:type="dxa" w:w="2520"/>
            <w:shd w:fill="EAF2F8"/>
            <w:tcMar>
              <w:top w:w="80" w:type="dxa"/>
              <w:start w:w="110" w:type="dxa"/>
              <w:bottom w:w="80" w:type="dxa"/>
              <w:end w:w="110" w:type="dxa"/>
            </w:tcMar>
            <w:vAlign w:val="center"/>
          </w:tcPr>
          <w:p>
            <w:r>
              <w:rPr>
                <w:b/>
                <w:color w:val="1F4E79"/>
                <w:sz w:val="16"/>
              </w:rPr>
              <w:t>Knowledge plane</w:t>
            </w:r>
          </w:p>
        </w:tc>
        <w:tc>
          <w:tcPr>
            <w:tcW w:type="dxa" w:w="2520"/>
            <w:tcMar>
              <w:top w:w="80" w:type="dxa"/>
              <w:start w:w="110" w:type="dxa"/>
              <w:bottom w:w="80" w:type="dxa"/>
              <w:end w:w="110" w:type="dxa"/>
            </w:tcMar>
            <w:vAlign w:val="center"/>
          </w:tcPr>
          <w:p>
            <w:r>
              <w:rPr>
                <w:sz w:val="16"/>
              </w:rPr>
              <w:t>ML / AI</w:t>
            </w:r>
          </w:p>
        </w:tc>
        <w:tc>
          <w:tcPr>
            <w:tcW w:type="dxa" w:w="2520"/>
            <w:tcMar>
              <w:top w:w="80" w:type="dxa"/>
              <w:start w:w="110" w:type="dxa"/>
              <w:bottom w:w="80" w:type="dxa"/>
              <w:end w:w="110" w:type="dxa"/>
            </w:tcMar>
            <w:vAlign w:val="center"/>
          </w:tcPr>
          <w:p>
            <w:r>
              <w:rPr>
                <w:sz w:val="16"/>
              </w:rPr>
              <w:t>Backend, Frontend</w:t>
            </w:r>
          </w:p>
        </w:tc>
        <w:tc>
          <w:tcPr>
            <w:tcW w:type="dxa" w:w="2520"/>
            <w:tcMar>
              <w:top w:w="80" w:type="dxa"/>
              <w:start w:w="110" w:type="dxa"/>
              <w:bottom w:w="80" w:type="dxa"/>
              <w:end w:w="110" w:type="dxa"/>
            </w:tcMar>
            <w:vAlign w:val="center"/>
          </w:tcPr>
          <w:p>
            <w:r>
              <w:rPr>
                <w:sz w:val="16"/>
              </w:rPr>
              <w:t>Retrieval schemas and evidence payloads</w:t>
            </w:r>
          </w:p>
        </w:tc>
      </w:tr>
      <w:tr>
        <w:tc>
          <w:tcPr>
            <w:tcW w:type="dxa" w:w="2520"/>
            <w:shd w:fill="EAF2F8"/>
            <w:tcMar>
              <w:top w:w="80" w:type="dxa"/>
              <w:start w:w="110" w:type="dxa"/>
              <w:bottom w:w="80" w:type="dxa"/>
              <w:end w:w="110" w:type="dxa"/>
            </w:tcMar>
            <w:vAlign w:val="center"/>
          </w:tcPr>
          <w:p>
            <w:r>
              <w:rPr>
                <w:b/>
                <w:color w:val="1F4E79"/>
                <w:sz w:val="16"/>
              </w:rPr>
              <w:t>Release and environments</w:t>
            </w:r>
          </w:p>
        </w:tc>
        <w:tc>
          <w:tcPr>
            <w:tcW w:type="dxa" w:w="2520"/>
            <w:tcMar>
              <w:top w:w="80" w:type="dxa"/>
              <w:start w:w="110" w:type="dxa"/>
              <w:bottom w:w="80" w:type="dxa"/>
              <w:end w:w="110" w:type="dxa"/>
            </w:tcMar>
            <w:vAlign w:val="center"/>
          </w:tcPr>
          <w:p>
            <w:r>
              <w:rPr>
                <w:sz w:val="16"/>
              </w:rPr>
              <w:t>DevOps / SRE</w:t>
            </w:r>
          </w:p>
        </w:tc>
        <w:tc>
          <w:tcPr>
            <w:tcW w:type="dxa" w:w="2520"/>
            <w:tcMar>
              <w:top w:w="80" w:type="dxa"/>
              <w:start w:w="110" w:type="dxa"/>
              <w:bottom w:w="80" w:type="dxa"/>
              <w:end w:w="110" w:type="dxa"/>
            </w:tcMar>
            <w:vAlign w:val="center"/>
          </w:tcPr>
          <w:p>
            <w:r>
              <w:rPr>
                <w:sz w:val="16"/>
              </w:rPr>
              <w:t>Backend, Governance</w:t>
            </w:r>
          </w:p>
        </w:tc>
        <w:tc>
          <w:tcPr>
            <w:tcW w:type="dxa" w:w="2520"/>
            <w:tcMar>
              <w:top w:w="80" w:type="dxa"/>
              <w:start w:w="110" w:type="dxa"/>
              <w:bottom w:w="80" w:type="dxa"/>
              <w:end w:w="110" w:type="dxa"/>
            </w:tcMar>
            <w:vAlign w:val="center"/>
          </w:tcPr>
          <w:p>
            <w:r>
              <w:rPr>
                <w:sz w:val="16"/>
              </w:rPr>
              <w:t>Signed artifacts and rollout pipeline</w:t>
            </w:r>
          </w:p>
        </w:tc>
      </w:tr>
      <w:tr>
        <w:tc>
          <w:tcPr>
            <w:tcW w:type="dxa" w:w="2520"/>
            <w:shd w:fill="EAF2F8"/>
            <w:tcMar>
              <w:top w:w="80" w:type="dxa"/>
              <w:start w:w="110" w:type="dxa"/>
              <w:bottom w:w="80" w:type="dxa"/>
              <w:end w:w="110" w:type="dxa"/>
            </w:tcMar>
            <w:vAlign w:val="center"/>
          </w:tcPr>
          <w:p>
            <w:r>
              <w:rPr>
                <w:b/>
                <w:color w:val="1F4E79"/>
                <w:sz w:val="16"/>
              </w:rPr>
              <w:t>Governance and approvals</w:t>
            </w:r>
          </w:p>
        </w:tc>
        <w:tc>
          <w:tcPr>
            <w:tcW w:type="dxa" w:w="2520"/>
            <w:tcMar>
              <w:top w:w="80" w:type="dxa"/>
              <w:start w:w="110" w:type="dxa"/>
              <w:bottom w:w="80" w:type="dxa"/>
              <w:end w:w="110" w:type="dxa"/>
            </w:tcMar>
            <w:vAlign w:val="center"/>
          </w:tcPr>
          <w:p>
            <w:r>
              <w:rPr>
                <w:sz w:val="16"/>
              </w:rPr>
              <w:t>Governance / Security</w:t>
            </w:r>
          </w:p>
        </w:tc>
        <w:tc>
          <w:tcPr>
            <w:tcW w:type="dxa" w:w="2520"/>
            <w:tcMar>
              <w:top w:w="80" w:type="dxa"/>
              <w:start w:w="110" w:type="dxa"/>
              <w:bottom w:w="80" w:type="dxa"/>
              <w:end w:w="110" w:type="dxa"/>
            </w:tcMar>
            <w:vAlign w:val="center"/>
          </w:tcPr>
          <w:p>
            <w:r>
              <w:rPr>
                <w:sz w:val="16"/>
              </w:rPr>
              <w:t>Frontend, Backend</w:t>
            </w:r>
          </w:p>
        </w:tc>
        <w:tc>
          <w:tcPr>
            <w:tcW w:type="dxa" w:w="2520"/>
            <w:tcMar>
              <w:top w:w="80" w:type="dxa"/>
              <w:start w:w="110" w:type="dxa"/>
              <w:bottom w:w="80" w:type="dxa"/>
              <w:end w:w="110" w:type="dxa"/>
            </w:tcMar>
            <w:vAlign w:val="center"/>
          </w:tcPr>
          <w:p>
            <w:r>
              <w:rPr>
                <w:sz w:val="16"/>
              </w:rPr>
              <w:t>Approval packet and policy rules</w:t>
            </w:r>
          </w:p>
        </w:tc>
      </w:tr>
      <w:tr>
        <w:tc>
          <w:tcPr>
            <w:tcW w:type="dxa" w:w="2520"/>
            <w:shd w:fill="EAF2F8"/>
            <w:tcMar>
              <w:top w:w="80" w:type="dxa"/>
              <w:start w:w="110" w:type="dxa"/>
              <w:bottom w:w="80" w:type="dxa"/>
              <w:end w:w="110" w:type="dxa"/>
            </w:tcMar>
            <w:vAlign w:val="center"/>
          </w:tcPr>
          <w:p>
            <w:r>
              <w:rPr>
                <w:b/>
                <w:color w:val="1F4E79"/>
                <w:sz w:val="16"/>
              </w:rPr>
              <w:t>Product experience</w:t>
            </w:r>
          </w:p>
        </w:tc>
        <w:tc>
          <w:tcPr>
            <w:tcW w:type="dxa" w:w="2520"/>
            <w:tcMar>
              <w:top w:w="80" w:type="dxa"/>
              <w:start w:w="110" w:type="dxa"/>
              <w:bottom w:w="80" w:type="dxa"/>
              <w:end w:w="110" w:type="dxa"/>
            </w:tcMar>
            <w:vAlign w:val="center"/>
          </w:tcPr>
          <w:p>
            <w:r>
              <w:rPr>
                <w:sz w:val="16"/>
              </w:rPr>
              <w:t>Frontend / Product Design</w:t>
            </w:r>
          </w:p>
        </w:tc>
        <w:tc>
          <w:tcPr>
            <w:tcW w:type="dxa" w:w="2520"/>
            <w:tcMar>
              <w:top w:w="80" w:type="dxa"/>
              <w:start w:w="110" w:type="dxa"/>
              <w:bottom w:w="80" w:type="dxa"/>
              <w:end w:w="110" w:type="dxa"/>
            </w:tcMar>
            <w:vAlign w:val="center"/>
          </w:tcPr>
          <w:p>
            <w:r>
              <w:rPr>
                <w:sz w:val="16"/>
              </w:rPr>
              <w:t>All teams</w:t>
            </w:r>
          </w:p>
        </w:tc>
        <w:tc>
          <w:tcPr>
            <w:tcW w:type="dxa" w:w="2520"/>
            <w:tcMar>
              <w:top w:w="80" w:type="dxa"/>
              <w:start w:w="110" w:type="dxa"/>
              <w:bottom w:w="80" w:type="dxa"/>
              <w:end w:w="110" w:type="dxa"/>
            </w:tcMar>
            <w:vAlign w:val="center"/>
          </w:tcPr>
          <w:p>
            <w:r>
              <w:rPr>
                <w:sz w:val="16"/>
              </w:rPr>
              <w:t>Lifecycle-driven screens and UX states</w:t>
            </w:r>
          </w:p>
        </w:tc>
      </w:tr>
    </w:tbl>
    <w:p/>
    <w:p>
      <w:pPr>
        <w:pStyle w:val="HeadingBlue"/>
      </w:pPr>
      <w:r>
        <w:t>3. Shared rules for all teams</w:t>
      </w:r>
    </w:p>
    <w:p>
      <w:pPr>
        <w:spacing w:after="20"/>
        <w:ind w:left="259" w:hanging="173"/>
      </w:pPr>
      <w:r>
        <w:rPr>
          <w:sz w:val="20"/>
        </w:rPr>
        <w:t>• Every team must work from versioned contracts, not informal assumptions.</w:t>
      </w:r>
    </w:p>
    <w:p>
      <w:pPr>
        <w:spacing w:after="20"/>
        <w:ind w:left="259" w:hanging="173"/>
      </w:pPr>
      <w:r>
        <w:rPr>
          <w:sz w:val="20"/>
        </w:rPr>
        <w:t>• Every feature must emit usable telemetry: logs, traces, metrics, and contextual identifiers.</w:t>
      </w:r>
    </w:p>
    <w:p>
      <w:pPr>
        <w:spacing w:after="20"/>
        <w:ind w:left="259" w:hanging="173"/>
      </w:pPr>
      <w:r>
        <w:rPr>
          <w:sz w:val="20"/>
        </w:rPr>
        <w:t>• No team may introduce undocumented fields or hidden workflow branches into production paths.</w:t>
      </w:r>
    </w:p>
    <w:p>
      <w:pPr>
        <w:spacing w:after="20"/>
        <w:ind w:left="259" w:hanging="173"/>
      </w:pPr>
      <w:r>
        <w:rPr>
          <w:sz w:val="20"/>
        </w:rPr>
        <w:t>• Security and governance are not a final hardening step; they are part of feature completion.</w:t>
      </w:r>
    </w:p>
    <w:p>
      <w:pPr>
        <w:spacing w:after="20"/>
        <w:ind w:left="259" w:hanging="173"/>
      </w:pPr>
      <w:r>
        <w:rPr>
          <w:sz w:val="20"/>
        </w:rPr>
        <w:t>• Release readiness requires code, tests, docs, telemetry, and rollback understanding.</w:t>
      </w:r>
    </w:p>
    <w:p>
      <w:pPr>
        <w:pStyle w:val="HeadingBlue"/>
      </w:pPr>
      <w:r>
        <w:t>4. Backend / Platform Team</w:t>
      </w:r>
    </w:p>
    <w:p>
      <w:r>
        <w:t>Mission: build and stabilize the core services that make the product operationally real — API gateway integration, supervisor, planner, swarm orchestration, runtime lifecycle, tool broker, model gateway, and release manager support.</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376"/>
        <w:gridCol w:w="6984"/>
      </w:tblGrid>
      <w:tr>
        <w:tc>
          <w:tcPr>
            <w:tcW w:type="dxa" w:w="5040"/>
            <w:shd w:fill="1F4E79"/>
            <w:tcMar>
              <w:top w:w="80" w:type="dxa"/>
              <w:start w:w="110" w:type="dxa"/>
              <w:bottom w:w="80" w:type="dxa"/>
              <w:end w:w="110" w:type="dxa"/>
            </w:tcMar>
          </w:tcPr>
          <w:p>
            <w:pPr>
              <w:jc w:val="center"/>
            </w:pPr>
            <w:r>
              <w:rPr>
                <w:b/>
                <w:color w:val="FFFFFF"/>
                <w:sz w:val="17"/>
              </w:rPr>
              <w:t>Area</w:t>
            </w:r>
          </w:p>
        </w:tc>
        <w:tc>
          <w:tcPr>
            <w:tcW w:type="dxa" w:w="5040"/>
            <w:shd w:fill="1F4E79"/>
            <w:tcMar>
              <w:top w:w="80" w:type="dxa"/>
              <w:start w:w="110" w:type="dxa"/>
              <w:bottom w:w="80" w:type="dxa"/>
              <w:end w:w="110" w:type="dxa"/>
            </w:tcMar>
          </w:tcPr>
          <w:p>
            <w:pPr>
              <w:jc w:val="center"/>
            </w:pPr>
            <w:r>
              <w:rPr>
                <w:b/>
                <w:color w:val="FFFFFF"/>
                <w:sz w:val="17"/>
              </w:rPr>
              <w:t>Details</w:t>
            </w:r>
          </w:p>
        </w:tc>
      </w:tr>
      <w:tr>
        <w:tc>
          <w:tcPr>
            <w:tcW w:type="dxa" w:w="5040"/>
            <w:shd w:fill="EAF2F8"/>
            <w:tcMar>
              <w:top w:w="80" w:type="dxa"/>
              <w:start w:w="110" w:type="dxa"/>
              <w:bottom w:w="80" w:type="dxa"/>
              <w:end w:w="110" w:type="dxa"/>
            </w:tcMar>
            <w:vAlign w:val="center"/>
          </w:tcPr>
          <w:p>
            <w:r>
              <w:rPr>
                <w:b/>
                <w:color w:val="1F4E79"/>
                <w:sz w:val="16"/>
              </w:rPr>
              <w:t>Owns</w:t>
            </w:r>
          </w:p>
        </w:tc>
        <w:tc>
          <w:tcPr>
            <w:tcW w:type="dxa" w:w="5040"/>
            <w:tcMar>
              <w:top w:w="80" w:type="dxa"/>
              <w:start w:w="110" w:type="dxa"/>
              <w:bottom w:w="80" w:type="dxa"/>
              <w:end w:w="110" w:type="dxa"/>
            </w:tcMar>
            <w:vAlign w:val="center"/>
          </w:tcPr>
          <w:p>
            <w:r>
              <w:rPr>
                <w:sz w:val="16"/>
              </w:rPr>
              <w:t>Supervisor service</w:t>
            </w:r>
            <w:r>
              <w:br/>
            </w:r>
            <w:r>
              <w:rPr>
                <w:sz w:val="16"/>
              </w:rPr>
              <w:t>Planner service</w:t>
            </w:r>
            <w:r>
              <w:br/>
            </w:r>
            <w:r>
              <w:rPr>
                <w:sz w:val="16"/>
              </w:rPr>
              <w:t>Swarm orchestrator</w:t>
            </w:r>
            <w:r>
              <w:br/>
            </w:r>
            <w:r>
              <w:rPr>
                <w:sz w:val="16"/>
              </w:rPr>
              <w:t>Runtime manager</w:t>
            </w:r>
            <w:r>
              <w:br/>
            </w:r>
            <w:r>
              <w:rPr>
                <w:sz w:val="16"/>
              </w:rPr>
              <w:t>Tool broker</w:t>
            </w:r>
            <w:r>
              <w:br/>
            </w:r>
            <w:r>
              <w:rPr>
                <w:sz w:val="16"/>
              </w:rPr>
              <w:t>Model gateway</w:t>
            </w:r>
            <w:r>
              <w:br/>
            </w:r>
            <w:r>
              <w:rPr>
                <w:sz w:val="16"/>
              </w:rPr>
              <w:t>Result aggregation</w:t>
            </w:r>
            <w:r>
              <w:br/>
            </w:r>
            <w:r>
              <w:rPr>
                <w:sz w:val="16"/>
              </w:rPr>
              <w:t>Core contracts and persistence models</w:t>
            </w:r>
          </w:p>
        </w:tc>
      </w:tr>
      <w:tr>
        <w:tc>
          <w:tcPr>
            <w:tcW w:type="dxa" w:w="5040"/>
            <w:shd w:fill="EAF2F8"/>
            <w:tcMar>
              <w:top w:w="80" w:type="dxa"/>
              <w:start w:w="110" w:type="dxa"/>
              <w:bottom w:w="80" w:type="dxa"/>
              <w:end w:w="110" w:type="dxa"/>
            </w:tcMar>
            <w:vAlign w:val="center"/>
          </w:tcPr>
          <w:p>
            <w:r>
              <w:rPr>
                <w:b/>
                <w:color w:val="1F4E79"/>
                <w:sz w:val="16"/>
              </w:rPr>
              <w:t>Must deliver</w:t>
            </w:r>
          </w:p>
        </w:tc>
        <w:tc>
          <w:tcPr>
            <w:tcW w:type="dxa" w:w="5040"/>
            <w:tcMar>
              <w:top w:w="80" w:type="dxa"/>
              <w:start w:w="110" w:type="dxa"/>
              <w:bottom w:w="80" w:type="dxa"/>
              <w:end w:w="110" w:type="dxa"/>
            </w:tcMar>
            <w:vAlign w:val="center"/>
          </w:tcPr>
          <w:p>
            <w:r>
              <w:rPr>
                <w:sz w:val="16"/>
              </w:rPr>
              <w:t>Production-grade service skeletons</w:t>
            </w:r>
            <w:r>
              <w:br/>
            </w:r>
            <w:r>
              <w:rPr>
                <w:sz w:val="16"/>
              </w:rPr>
              <w:t>Versioned API contracts</w:t>
            </w:r>
            <w:r>
              <w:br/>
            </w:r>
            <w:r>
              <w:rPr>
                <w:sz w:val="16"/>
              </w:rPr>
              <w:t>Task lifecycle implementation</w:t>
            </w:r>
            <w:r>
              <w:br/>
            </w:r>
            <w:r>
              <w:rPr>
                <w:sz w:val="16"/>
              </w:rPr>
              <w:t>Policy-aware tool execution</w:t>
            </w:r>
            <w:r>
              <w:br/>
            </w:r>
            <w:r>
              <w:rPr>
                <w:sz w:val="16"/>
              </w:rPr>
              <w:t>Audit and telemetry integration</w:t>
            </w:r>
            <w:r>
              <w:br/>
            </w:r>
            <w:r>
              <w:rPr>
                <w:sz w:val="16"/>
              </w:rPr>
              <w:t>Readme + runbook for every service</w:t>
            </w:r>
          </w:p>
        </w:tc>
      </w:tr>
      <w:tr>
        <w:tc>
          <w:tcPr>
            <w:tcW w:type="dxa" w:w="5040"/>
            <w:shd w:fill="EAF2F8"/>
            <w:tcMar>
              <w:top w:w="80" w:type="dxa"/>
              <w:start w:w="110" w:type="dxa"/>
              <w:bottom w:w="80" w:type="dxa"/>
              <w:end w:w="110" w:type="dxa"/>
            </w:tcMar>
            <w:vAlign w:val="center"/>
          </w:tcPr>
          <w:p>
            <w:r>
              <w:rPr>
                <w:b/>
                <w:color w:val="1F4E79"/>
                <w:sz w:val="16"/>
              </w:rPr>
              <w:t>Depends on</w:t>
            </w:r>
          </w:p>
        </w:tc>
        <w:tc>
          <w:tcPr>
            <w:tcW w:type="dxa" w:w="5040"/>
            <w:tcMar>
              <w:top w:w="80" w:type="dxa"/>
              <w:start w:w="110" w:type="dxa"/>
              <w:bottom w:w="80" w:type="dxa"/>
              <w:end w:w="110" w:type="dxa"/>
            </w:tcMar>
            <w:vAlign w:val="center"/>
          </w:tcPr>
          <w:p>
            <w:r>
              <w:rPr>
                <w:sz w:val="16"/>
              </w:rPr>
              <w:t>Identity/token services from Governance/Security</w:t>
            </w:r>
            <w:r>
              <w:br/>
            </w:r>
            <w:r>
              <w:rPr>
                <w:sz w:val="16"/>
              </w:rPr>
              <w:t>Cluster/runtime controls from DevOps</w:t>
            </w:r>
            <w:r>
              <w:br/>
            </w:r>
            <w:r>
              <w:rPr>
                <w:sz w:val="16"/>
              </w:rPr>
              <w:t>Retrieval and evaluation payloads from ML</w:t>
            </w:r>
            <w:r>
              <w:br/>
            </w:r>
            <w:r>
              <w:rPr>
                <w:sz w:val="16"/>
              </w:rPr>
              <w:t>UI contract expectations from Frontend</w:t>
            </w:r>
          </w:p>
        </w:tc>
      </w:tr>
      <w:tr>
        <w:tc>
          <w:tcPr>
            <w:tcW w:type="dxa" w:w="5040"/>
            <w:shd w:fill="EAF2F8"/>
            <w:tcMar>
              <w:top w:w="80" w:type="dxa"/>
              <w:start w:w="110" w:type="dxa"/>
              <w:bottom w:w="80" w:type="dxa"/>
              <w:end w:w="110" w:type="dxa"/>
            </w:tcMar>
            <w:vAlign w:val="center"/>
          </w:tcPr>
          <w:p>
            <w:r>
              <w:rPr>
                <w:b/>
                <w:color w:val="1F4E79"/>
                <w:sz w:val="16"/>
              </w:rPr>
              <w:t>Cadence</w:t>
            </w:r>
          </w:p>
        </w:tc>
        <w:tc>
          <w:tcPr>
            <w:tcW w:type="dxa" w:w="5040"/>
            <w:tcMar>
              <w:top w:w="80" w:type="dxa"/>
              <w:start w:w="110" w:type="dxa"/>
              <w:bottom w:w="80" w:type="dxa"/>
              <w:end w:w="110" w:type="dxa"/>
            </w:tcMar>
            <w:vAlign w:val="center"/>
          </w:tcPr>
          <w:p>
            <w:r>
              <w:rPr>
                <w:sz w:val="16"/>
              </w:rPr>
              <w:t>Daily: standup + blockers review</w:t>
            </w:r>
            <w:r>
              <w:br/>
            </w:r>
            <w:r>
              <w:rPr>
                <w:sz w:val="16"/>
              </w:rPr>
              <w:t>Twice weekly: contract sync with Frontend and ML</w:t>
            </w:r>
            <w:r>
              <w:br/>
            </w:r>
            <w:r>
              <w:rPr>
                <w:sz w:val="16"/>
              </w:rPr>
              <w:t>Weekly: integration demo and telemetry review</w:t>
            </w:r>
            <w:r>
              <w:br/>
            </w:r>
            <w:r>
              <w:rPr>
                <w:sz w:val="16"/>
              </w:rPr>
              <w:t>Per sprint: architecture review and backlog refinement</w:t>
            </w:r>
          </w:p>
        </w:tc>
      </w:tr>
      <w:tr>
        <w:tc>
          <w:tcPr>
            <w:tcW w:type="dxa" w:w="5040"/>
            <w:shd w:fill="EAF2F8"/>
            <w:tcMar>
              <w:top w:w="80" w:type="dxa"/>
              <w:start w:w="110" w:type="dxa"/>
              <w:bottom w:w="80" w:type="dxa"/>
              <w:end w:w="110" w:type="dxa"/>
            </w:tcMar>
            <w:vAlign w:val="center"/>
          </w:tcPr>
          <w:p>
            <w:r>
              <w:rPr>
                <w:b/>
                <w:color w:val="1F4E79"/>
                <w:sz w:val="16"/>
              </w:rPr>
              <w:t>Definition of done</w:t>
            </w:r>
          </w:p>
        </w:tc>
        <w:tc>
          <w:tcPr>
            <w:tcW w:type="dxa" w:w="5040"/>
            <w:tcMar>
              <w:top w:w="80" w:type="dxa"/>
              <w:start w:w="110" w:type="dxa"/>
              <w:bottom w:w="80" w:type="dxa"/>
              <w:end w:w="110" w:type="dxa"/>
            </w:tcMar>
            <w:vAlign w:val="center"/>
          </w:tcPr>
          <w:p>
            <w:r>
              <w:rPr>
                <w:sz w:val="16"/>
              </w:rPr>
              <w:t>A backend feature is done only when the API/worker path is implemented, tested, observable, documented, and wired to policy and audit behavior.</w:t>
            </w:r>
          </w:p>
        </w:tc>
      </w:tr>
      <w:tr>
        <w:tc>
          <w:tcPr>
            <w:tcW w:type="dxa" w:w="5040"/>
            <w:shd w:fill="EAF2F8"/>
            <w:tcMar>
              <w:top w:w="80" w:type="dxa"/>
              <w:start w:w="110" w:type="dxa"/>
              <w:bottom w:w="80" w:type="dxa"/>
              <w:end w:w="110" w:type="dxa"/>
            </w:tcMar>
            <w:vAlign w:val="center"/>
          </w:tcPr>
          <w:p>
            <w:r>
              <w:rPr>
                <w:b/>
                <w:color w:val="1F4E79"/>
                <w:sz w:val="16"/>
              </w:rPr>
              <w:t>First 30 days command list</w:t>
            </w:r>
          </w:p>
        </w:tc>
        <w:tc>
          <w:tcPr>
            <w:tcW w:type="dxa" w:w="5040"/>
            <w:tcMar>
              <w:top w:w="80" w:type="dxa"/>
              <w:start w:w="110" w:type="dxa"/>
              <w:bottom w:w="80" w:type="dxa"/>
              <w:end w:w="110" w:type="dxa"/>
            </w:tcMar>
            <w:vAlign w:val="center"/>
          </w:tcPr>
          <w:p>
            <w:r>
              <w:rPr>
                <w:sz w:val="16"/>
              </w:rPr>
              <w:t>Week 1: freeze core contracts for RunSpec, PlanSpec, TaskSpec, TaskResult, EvaluationReport.</w:t>
            </w:r>
            <w:r>
              <w:br/>
            </w:r>
            <w:r>
              <w:rPr>
                <w:sz w:val="16"/>
              </w:rPr>
              <w:t>Week 2: scaffold Supervisor, Planner, Tool Broker, Model Gateway.</w:t>
            </w:r>
            <w:r>
              <w:br/>
            </w:r>
            <w:r>
              <w:rPr>
                <w:sz w:val="16"/>
              </w:rPr>
              <w:t>Week 3: wire tracing + audit metadata into every service.</w:t>
            </w:r>
            <w:r>
              <w:br/>
            </w:r>
            <w:r>
              <w:rPr>
                <w:sz w:val="16"/>
              </w:rPr>
              <w:t>Week 4: deliver first vertical slice from run creation to task completion.</w:t>
            </w:r>
          </w:p>
        </w:tc>
      </w:tr>
    </w:tbl>
    <w:p/>
    <w:p>
      <w:pPr>
        <w:pStyle w:val="HeadingBlue"/>
      </w:pPr>
      <w:r>
        <w:t>5. Frontend / Product Experience Team</w:t>
      </w:r>
    </w:p>
    <w:p>
      <w:r>
        <w:t>Mission: turn the platform into an understandable product using the lifecycle-first experience model — Home, Studio, Evaluation, Release, Runtime, Governance, and Executive surfaces.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376"/>
        <w:gridCol w:w="6984"/>
      </w:tblGrid>
      <w:tr>
        <w:tc>
          <w:tcPr>
            <w:tcW w:type="dxa" w:w="5040"/>
            <w:shd w:fill="1F4E79"/>
            <w:tcMar>
              <w:top w:w="80" w:type="dxa"/>
              <w:start w:w="110" w:type="dxa"/>
              <w:bottom w:w="80" w:type="dxa"/>
              <w:end w:w="110" w:type="dxa"/>
            </w:tcMar>
          </w:tcPr>
          <w:p>
            <w:pPr>
              <w:jc w:val="center"/>
            </w:pPr>
            <w:r>
              <w:rPr>
                <w:b/>
                <w:color w:val="FFFFFF"/>
                <w:sz w:val="17"/>
              </w:rPr>
              <w:t>Area</w:t>
            </w:r>
          </w:p>
        </w:tc>
        <w:tc>
          <w:tcPr>
            <w:tcW w:type="dxa" w:w="5040"/>
            <w:shd w:fill="1F4E79"/>
            <w:tcMar>
              <w:top w:w="80" w:type="dxa"/>
              <w:start w:w="110" w:type="dxa"/>
              <w:bottom w:w="80" w:type="dxa"/>
              <w:end w:w="110" w:type="dxa"/>
            </w:tcMar>
          </w:tcPr>
          <w:p>
            <w:pPr>
              <w:jc w:val="center"/>
            </w:pPr>
            <w:r>
              <w:rPr>
                <w:b/>
                <w:color w:val="FFFFFF"/>
                <w:sz w:val="17"/>
              </w:rPr>
              <w:t>Details</w:t>
            </w:r>
          </w:p>
        </w:tc>
      </w:tr>
      <w:tr>
        <w:tc>
          <w:tcPr>
            <w:tcW w:type="dxa" w:w="5040"/>
            <w:shd w:fill="EAF2F8"/>
            <w:tcMar>
              <w:top w:w="80" w:type="dxa"/>
              <w:start w:w="110" w:type="dxa"/>
              <w:bottom w:w="80" w:type="dxa"/>
              <w:end w:w="110" w:type="dxa"/>
            </w:tcMar>
            <w:vAlign w:val="center"/>
          </w:tcPr>
          <w:p>
            <w:r>
              <w:rPr>
                <w:b/>
                <w:color w:val="1F4E79"/>
                <w:sz w:val="16"/>
              </w:rPr>
              <w:t>Owns</w:t>
            </w:r>
          </w:p>
        </w:tc>
        <w:tc>
          <w:tcPr>
            <w:tcW w:type="dxa" w:w="5040"/>
            <w:tcMar>
              <w:top w:w="80" w:type="dxa"/>
              <w:start w:w="110" w:type="dxa"/>
              <w:bottom w:w="80" w:type="dxa"/>
              <w:end w:w="110" w:type="dxa"/>
            </w:tcMar>
            <w:vAlign w:val="center"/>
          </w:tcPr>
          <w:p>
            <w:r>
              <w:rPr>
                <w:sz w:val="16"/>
              </w:rPr>
              <w:t>App shell</w:t>
            </w:r>
            <w:r>
              <w:br/>
            </w:r>
            <w:r>
              <w:rPr>
                <w:sz w:val="16"/>
              </w:rPr>
              <w:t>Design system implementation</w:t>
            </w:r>
            <w:r>
              <w:br/>
            </w:r>
            <w:r>
              <w:rPr>
                <w:sz w:val="16"/>
              </w:rPr>
              <w:t>Home Dashboard</w:t>
            </w:r>
            <w:r>
              <w:br/>
            </w:r>
            <w:r>
              <w:rPr>
                <w:sz w:val="16"/>
              </w:rPr>
              <w:t>Brief Builder</w:t>
            </w:r>
            <w:r>
              <w:br/>
            </w:r>
            <w:r>
              <w:rPr>
                <w:sz w:val="16"/>
              </w:rPr>
              <w:t>Architecture Comparison</w:t>
            </w:r>
            <w:r>
              <w:br/>
            </w:r>
            <w:r>
              <w:rPr>
                <w:sz w:val="16"/>
              </w:rPr>
              <w:t>Evaluation Lab</w:t>
            </w:r>
            <w:r>
              <w:br/>
            </w:r>
            <w:r>
              <w:rPr>
                <w:sz w:val="16"/>
              </w:rPr>
              <w:t>Release Center</w:t>
            </w:r>
            <w:r>
              <w:br/>
            </w:r>
            <w:r>
              <w:rPr>
                <w:sz w:val="16"/>
              </w:rPr>
              <w:t>Runtime Overview</w:t>
            </w:r>
            <w:r>
              <w:br/>
            </w:r>
            <w:r>
              <w:rPr>
                <w:sz w:val="16"/>
              </w:rPr>
              <w:t>Governance views</w:t>
            </w:r>
            <w:r>
              <w:br/>
            </w:r>
            <w:r>
              <w:rPr>
                <w:sz w:val="16"/>
              </w:rPr>
              <w:t>Executive views</w:t>
            </w:r>
          </w:p>
        </w:tc>
      </w:tr>
      <w:tr>
        <w:tc>
          <w:tcPr>
            <w:tcW w:type="dxa" w:w="5040"/>
            <w:shd w:fill="EAF2F8"/>
            <w:tcMar>
              <w:top w:w="80" w:type="dxa"/>
              <w:start w:w="110" w:type="dxa"/>
              <w:bottom w:w="80" w:type="dxa"/>
              <w:end w:w="110" w:type="dxa"/>
            </w:tcMar>
            <w:vAlign w:val="center"/>
          </w:tcPr>
          <w:p>
            <w:r>
              <w:rPr>
                <w:b/>
                <w:color w:val="1F4E79"/>
                <w:sz w:val="16"/>
              </w:rPr>
              <w:t>Must deliver</w:t>
            </w:r>
          </w:p>
        </w:tc>
        <w:tc>
          <w:tcPr>
            <w:tcW w:type="dxa" w:w="5040"/>
            <w:tcMar>
              <w:top w:w="80" w:type="dxa"/>
              <w:start w:w="110" w:type="dxa"/>
              <w:bottom w:w="80" w:type="dxa"/>
              <w:end w:w="110" w:type="dxa"/>
            </w:tcMar>
            <w:vAlign w:val="center"/>
          </w:tcPr>
          <w:p>
            <w:r>
              <w:rPr>
                <w:sz w:val="16"/>
              </w:rPr>
              <w:t>Frame-accurate UI implementation</w:t>
            </w:r>
            <w:r>
              <w:br/>
            </w:r>
            <w:r>
              <w:rPr>
                <w:sz w:val="16"/>
              </w:rPr>
              <w:t>Componentized frontend code</w:t>
            </w:r>
            <w:r>
              <w:br/>
            </w:r>
            <w:r>
              <w:rPr>
                <w:sz w:val="16"/>
              </w:rPr>
              <w:t>State coverage (default/loading/empty/error/restricted)</w:t>
            </w:r>
            <w:r>
              <w:br/>
            </w:r>
            <w:r>
              <w:rPr>
                <w:sz w:val="16"/>
              </w:rPr>
              <w:t>API integration against documented contracts</w:t>
            </w:r>
            <w:r>
              <w:br/>
            </w:r>
            <w:r>
              <w:rPr>
                <w:sz w:val="16"/>
              </w:rPr>
              <w:t>Design system usage documentation</w:t>
            </w:r>
          </w:p>
        </w:tc>
      </w:tr>
      <w:tr>
        <w:tc>
          <w:tcPr>
            <w:tcW w:type="dxa" w:w="5040"/>
            <w:shd w:fill="EAF2F8"/>
            <w:tcMar>
              <w:top w:w="80" w:type="dxa"/>
              <w:start w:w="110" w:type="dxa"/>
              <w:bottom w:w="80" w:type="dxa"/>
              <w:end w:w="110" w:type="dxa"/>
            </w:tcMar>
            <w:vAlign w:val="center"/>
          </w:tcPr>
          <w:p>
            <w:r>
              <w:rPr>
                <w:b/>
                <w:color w:val="1F4E79"/>
                <w:sz w:val="16"/>
              </w:rPr>
              <w:t>Depends on</w:t>
            </w:r>
          </w:p>
        </w:tc>
        <w:tc>
          <w:tcPr>
            <w:tcW w:type="dxa" w:w="5040"/>
            <w:tcMar>
              <w:top w:w="80" w:type="dxa"/>
              <w:start w:w="110" w:type="dxa"/>
              <w:bottom w:w="80" w:type="dxa"/>
              <w:end w:w="110" w:type="dxa"/>
            </w:tcMar>
            <w:vAlign w:val="center"/>
          </w:tcPr>
          <w:p>
            <w:r>
              <w:rPr>
                <w:sz w:val="16"/>
              </w:rPr>
              <w:t>Stable backend contract schemas</w:t>
            </w:r>
            <w:r>
              <w:br/>
            </w:r>
            <w:r>
              <w:rPr>
                <w:sz w:val="16"/>
              </w:rPr>
              <w:t>Product/design direction</w:t>
            </w:r>
            <w:r>
              <w:br/>
            </w:r>
            <w:r>
              <w:rPr>
                <w:sz w:val="16"/>
              </w:rPr>
              <w:t>Governance review criteria</w:t>
            </w:r>
            <w:r>
              <w:br/>
            </w:r>
            <w:r>
              <w:rPr>
                <w:sz w:val="16"/>
              </w:rPr>
              <w:t>Observability event fields for UI drill-down</w:t>
            </w:r>
          </w:p>
        </w:tc>
      </w:tr>
      <w:tr>
        <w:tc>
          <w:tcPr>
            <w:tcW w:type="dxa" w:w="5040"/>
            <w:shd w:fill="EAF2F8"/>
            <w:tcMar>
              <w:top w:w="80" w:type="dxa"/>
              <w:start w:w="110" w:type="dxa"/>
              <w:bottom w:w="80" w:type="dxa"/>
              <w:end w:w="110" w:type="dxa"/>
            </w:tcMar>
            <w:vAlign w:val="center"/>
          </w:tcPr>
          <w:p>
            <w:r>
              <w:rPr>
                <w:b/>
                <w:color w:val="1F4E79"/>
                <w:sz w:val="16"/>
              </w:rPr>
              <w:t>Cadence</w:t>
            </w:r>
          </w:p>
        </w:tc>
        <w:tc>
          <w:tcPr>
            <w:tcW w:type="dxa" w:w="5040"/>
            <w:tcMar>
              <w:top w:w="80" w:type="dxa"/>
              <w:start w:w="110" w:type="dxa"/>
              <w:bottom w:w="80" w:type="dxa"/>
              <w:end w:w="110" w:type="dxa"/>
            </w:tcMar>
            <w:vAlign w:val="center"/>
          </w:tcPr>
          <w:p>
            <w:r>
              <w:rPr>
                <w:sz w:val="16"/>
              </w:rPr>
              <w:t>Daily: standup + design/engineering sync</w:t>
            </w:r>
            <w:r>
              <w:br/>
            </w:r>
            <w:r>
              <w:rPr>
                <w:sz w:val="16"/>
              </w:rPr>
              <w:t>Twice weekly: API alignment review</w:t>
            </w:r>
            <w:r>
              <w:br/>
            </w:r>
            <w:r>
              <w:rPr>
                <w:sz w:val="16"/>
              </w:rPr>
              <w:t>Weekly: usability and interaction review</w:t>
            </w:r>
            <w:r>
              <w:br/>
            </w:r>
            <w:r>
              <w:rPr>
                <w:sz w:val="16"/>
              </w:rPr>
              <w:t>Per sprint: clickable prototype or integrated demo</w:t>
            </w:r>
          </w:p>
        </w:tc>
      </w:tr>
      <w:tr>
        <w:tc>
          <w:tcPr>
            <w:tcW w:type="dxa" w:w="5040"/>
            <w:shd w:fill="EAF2F8"/>
            <w:tcMar>
              <w:top w:w="80" w:type="dxa"/>
              <w:start w:w="110" w:type="dxa"/>
              <w:bottom w:w="80" w:type="dxa"/>
              <w:end w:w="110" w:type="dxa"/>
            </w:tcMar>
            <w:vAlign w:val="center"/>
          </w:tcPr>
          <w:p>
            <w:r>
              <w:rPr>
                <w:b/>
                <w:color w:val="1F4E79"/>
                <w:sz w:val="16"/>
              </w:rPr>
              <w:t>Definition of done</w:t>
            </w:r>
          </w:p>
        </w:tc>
        <w:tc>
          <w:tcPr>
            <w:tcW w:type="dxa" w:w="5040"/>
            <w:tcMar>
              <w:top w:w="80" w:type="dxa"/>
              <w:start w:w="110" w:type="dxa"/>
              <w:bottom w:w="80" w:type="dxa"/>
              <w:end w:w="110" w:type="dxa"/>
            </w:tcMar>
            <w:vAlign w:val="center"/>
          </w:tcPr>
          <w:p>
            <w:r>
              <w:rPr>
                <w:sz w:val="16"/>
              </w:rPr>
              <w:t>A frontend feature is done only when the screen flow works end-to-end, uses approved components, handles critical states, and does not depend on undocumented backend behavior.</w:t>
            </w:r>
          </w:p>
        </w:tc>
      </w:tr>
      <w:tr>
        <w:tc>
          <w:tcPr>
            <w:tcW w:type="dxa" w:w="5040"/>
            <w:shd w:fill="EAF2F8"/>
            <w:tcMar>
              <w:top w:w="80" w:type="dxa"/>
              <w:start w:w="110" w:type="dxa"/>
              <w:bottom w:w="80" w:type="dxa"/>
              <w:end w:w="110" w:type="dxa"/>
            </w:tcMar>
            <w:vAlign w:val="center"/>
          </w:tcPr>
          <w:p>
            <w:r>
              <w:rPr>
                <w:b/>
                <w:color w:val="1F4E79"/>
                <w:sz w:val="16"/>
              </w:rPr>
              <w:t>First 30 days command list</w:t>
            </w:r>
          </w:p>
        </w:tc>
        <w:tc>
          <w:tcPr>
            <w:tcW w:type="dxa" w:w="5040"/>
            <w:tcMar>
              <w:top w:w="80" w:type="dxa"/>
              <w:start w:w="110" w:type="dxa"/>
              <w:bottom w:w="80" w:type="dxa"/>
              <w:end w:w="110" w:type="dxa"/>
            </w:tcMar>
            <w:vAlign w:val="center"/>
          </w:tcPr>
          <w:p>
            <w:r>
              <w:rPr>
                <w:sz w:val="16"/>
              </w:rPr>
              <w:t>Week 1: implement app shell, navigation, and layout tokens.</w:t>
            </w:r>
            <w:r>
              <w:br/>
            </w:r>
            <w:r>
              <w:rPr>
                <w:sz w:val="16"/>
              </w:rPr>
              <w:t>Week 2: ship Home and Studio skeletons against mocked APIs.</w:t>
            </w:r>
            <w:r>
              <w:br/>
            </w:r>
            <w:r>
              <w:rPr>
                <w:sz w:val="16"/>
              </w:rPr>
              <w:t>Week 3: implement Brief Builder and Architecture Comparison.</w:t>
            </w:r>
            <w:r>
              <w:br/>
            </w:r>
            <w:r>
              <w:rPr>
                <w:sz w:val="16"/>
              </w:rPr>
              <w:t>Week 4: integrate first real backend vertical slice and prove end-to-end UI flow.</w:t>
            </w:r>
          </w:p>
        </w:tc>
      </w:tr>
    </w:tbl>
    <w:p/>
    <w:p>
      <w:pPr>
        <w:pStyle w:val="HeadingBlue"/>
      </w:pPr>
      <w:r>
        <w:t>6. ML / AI Team</w:t>
      </w:r>
    </w:p>
    <w:p>
      <w:r>
        <w:t>Mission: own the intelligence plane — retrieval quality, model routing policy, candidate generation, evaluation harnesses, replay/simulation, and evidence packaging that makes the system trustworthy.</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376"/>
        <w:gridCol w:w="6984"/>
      </w:tblGrid>
      <w:tr>
        <w:tc>
          <w:tcPr>
            <w:tcW w:type="dxa" w:w="5040"/>
            <w:shd w:fill="1F4E79"/>
            <w:tcMar>
              <w:top w:w="80" w:type="dxa"/>
              <w:start w:w="110" w:type="dxa"/>
              <w:bottom w:w="80" w:type="dxa"/>
              <w:end w:w="110" w:type="dxa"/>
            </w:tcMar>
          </w:tcPr>
          <w:p>
            <w:pPr>
              <w:jc w:val="center"/>
            </w:pPr>
            <w:r>
              <w:rPr>
                <w:b/>
                <w:color w:val="FFFFFF"/>
                <w:sz w:val="17"/>
              </w:rPr>
              <w:t>Area</w:t>
            </w:r>
          </w:p>
        </w:tc>
        <w:tc>
          <w:tcPr>
            <w:tcW w:type="dxa" w:w="5040"/>
            <w:shd w:fill="1F4E79"/>
            <w:tcMar>
              <w:top w:w="80" w:type="dxa"/>
              <w:start w:w="110" w:type="dxa"/>
              <w:bottom w:w="80" w:type="dxa"/>
              <w:end w:w="110" w:type="dxa"/>
            </w:tcMar>
          </w:tcPr>
          <w:p>
            <w:pPr>
              <w:jc w:val="center"/>
            </w:pPr>
            <w:r>
              <w:rPr>
                <w:b/>
                <w:color w:val="FFFFFF"/>
                <w:sz w:val="17"/>
              </w:rPr>
              <w:t>Details</w:t>
            </w:r>
          </w:p>
        </w:tc>
      </w:tr>
      <w:tr>
        <w:tc>
          <w:tcPr>
            <w:tcW w:type="dxa" w:w="5040"/>
            <w:shd w:fill="EAF2F8"/>
            <w:tcMar>
              <w:top w:w="80" w:type="dxa"/>
              <w:start w:w="110" w:type="dxa"/>
              <w:bottom w:w="80" w:type="dxa"/>
              <w:end w:w="110" w:type="dxa"/>
            </w:tcMar>
            <w:vAlign w:val="center"/>
          </w:tcPr>
          <w:p>
            <w:r>
              <w:rPr>
                <w:b/>
                <w:color w:val="1F4E79"/>
                <w:sz w:val="16"/>
              </w:rPr>
              <w:t>Owns</w:t>
            </w:r>
          </w:p>
        </w:tc>
        <w:tc>
          <w:tcPr>
            <w:tcW w:type="dxa" w:w="5040"/>
            <w:tcMar>
              <w:top w:w="80" w:type="dxa"/>
              <w:start w:w="110" w:type="dxa"/>
              <w:bottom w:w="80" w:type="dxa"/>
              <w:end w:w="110" w:type="dxa"/>
            </w:tcMar>
            <w:vAlign w:val="center"/>
          </w:tcPr>
          <w:p>
            <w:r>
              <w:rPr>
                <w:sz w:val="16"/>
              </w:rPr>
              <w:t>Retrieval service quality</w:t>
            </w:r>
            <w:r>
              <w:br/>
            </w:r>
            <w:r>
              <w:rPr>
                <w:sz w:val="16"/>
              </w:rPr>
              <w:t>Reranking and grounding</w:t>
            </w:r>
            <w:r>
              <w:br/>
            </w:r>
            <w:r>
              <w:rPr>
                <w:sz w:val="16"/>
              </w:rPr>
              <w:t>Model policy and route profiles</w:t>
            </w:r>
            <w:r>
              <w:br/>
            </w:r>
            <w:r>
              <w:rPr>
                <w:sz w:val="16"/>
              </w:rPr>
              <w:t>Evaluation harnesses</w:t>
            </w:r>
            <w:r>
              <w:br/>
            </w:r>
            <w:r>
              <w:rPr>
                <w:sz w:val="16"/>
              </w:rPr>
              <w:t>Replay and simulation inputs</w:t>
            </w:r>
            <w:r>
              <w:br/>
            </w:r>
            <w:r>
              <w:rPr>
                <w:sz w:val="16"/>
              </w:rPr>
              <w:t>Episode summarization</w:t>
            </w:r>
            <w:r>
              <w:br/>
            </w:r>
            <w:r>
              <w:rPr>
                <w:sz w:val="16"/>
              </w:rPr>
              <w:t>Evidence packaging for decisions</w:t>
            </w:r>
          </w:p>
        </w:tc>
      </w:tr>
      <w:tr>
        <w:tc>
          <w:tcPr>
            <w:tcW w:type="dxa" w:w="5040"/>
            <w:shd w:fill="EAF2F8"/>
            <w:tcMar>
              <w:top w:w="80" w:type="dxa"/>
              <w:start w:w="110" w:type="dxa"/>
              <w:bottom w:w="80" w:type="dxa"/>
              <w:end w:w="110" w:type="dxa"/>
            </w:tcMar>
            <w:vAlign w:val="center"/>
          </w:tcPr>
          <w:p>
            <w:r>
              <w:rPr>
                <w:b/>
                <w:color w:val="1F4E79"/>
                <w:sz w:val="16"/>
              </w:rPr>
              <w:t>Must deliver</w:t>
            </w:r>
          </w:p>
        </w:tc>
        <w:tc>
          <w:tcPr>
            <w:tcW w:type="dxa" w:w="5040"/>
            <w:tcMar>
              <w:top w:w="80" w:type="dxa"/>
              <w:start w:w="110" w:type="dxa"/>
              <w:bottom w:w="80" w:type="dxa"/>
              <w:end w:w="110" w:type="dxa"/>
            </w:tcMar>
            <w:vAlign w:val="center"/>
          </w:tcPr>
          <w:p>
            <w:r>
              <w:rPr>
                <w:sz w:val="16"/>
              </w:rPr>
              <w:t>Retrieval schemas and ranking logic</w:t>
            </w:r>
            <w:r>
              <w:br/>
            </w:r>
            <w:r>
              <w:rPr>
                <w:sz w:val="16"/>
              </w:rPr>
              <w:t>Model task_type policy definitions</w:t>
            </w:r>
            <w:r>
              <w:br/>
            </w:r>
            <w:r>
              <w:rPr>
                <w:sz w:val="16"/>
              </w:rPr>
              <w:t>Benchmark packs</w:t>
            </w:r>
            <w:r>
              <w:br/>
            </w:r>
            <w:r>
              <w:rPr>
                <w:sz w:val="16"/>
              </w:rPr>
              <w:t>Scenario simulation suites</w:t>
            </w:r>
            <w:r>
              <w:br/>
            </w:r>
            <w:r>
              <w:rPr>
                <w:sz w:val="16"/>
              </w:rPr>
              <w:t>EvaluationReport generation</w:t>
            </w:r>
            <w:r>
              <w:br/>
            </w:r>
            <w:r>
              <w:rPr>
                <w:sz w:val="16"/>
              </w:rPr>
              <w:t>Quality dashboards for model/tool decisions</w:t>
            </w:r>
          </w:p>
        </w:tc>
      </w:tr>
      <w:tr>
        <w:tc>
          <w:tcPr>
            <w:tcW w:type="dxa" w:w="5040"/>
            <w:shd w:fill="EAF2F8"/>
            <w:tcMar>
              <w:top w:w="80" w:type="dxa"/>
              <w:start w:w="110" w:type="dxa"/>
              <w:bottom w:w="80" w:type="dxa"/>
              <w:end w:w="110" w:type="dxa"/>
            </w:tcMar>
            <w:vAlign w:val="center"/>
          </w:tcPr>
          <w:p>
            <w:r>
              <w:rPr>
                <w:b/>
                <w:color w:val="1F4E79"/>
                <w:sz w:val="16"/>
              </w:rPr>
              <w:t>Depends on</w:t>
            </w:r>
          </w:p>
        </w:tc>
        <w:tc>
          <w:tcPr>
            <w:tcW w:type="dxa" w:w="5040"/>
            <w:tcMar>
              <w:top w:w="80" w:type="dxa"/>
              <w:start w:w="110" w:type="dxa"/>
              <w:bottom w:w="80" w:type="dxa"/>
              <w:end w:w="110" w:type="dxa"/>
            </w:tcMar>
            <w:vAlign w:val="center"/>
          </w:tcPr>
          <w:p>
            <w:r>
              <w:rPr>
                <w:sz w:val="16"/>
              </w:rPr>
              <w:t>Runtime hooks from Backend</w:t>
            </w:r>
            <w:r>
              <w:br/>
            </w:r>
            <w:r>
              <w:rPr>
                <w:sz w:val="16"/>
              </w:rPr>
              <w:t>Telemetry from DevOps/SRE</w:t>
            </w:r>
            <w:r>
              <w:br/>
            </w:r>
            <w:r>
              <w:rPr>
                <w:sz w:val="16"/>
              </w:rPr>
              <w:t>Approval criteria from Governance</w:t>
            </w:r>
            <w:r>
              <w:br/>
            </w:r>
            <w:r>
              <w:rPr>
                <w:sz w:val="16"/>
              </w:rPr>
              <w:t>UI presentation needs from Frontend</w:t>
            </w:r>
          </w:p>
        </w:tc>
      </w:tr>
      <w:tr>
        <w:tc>
          <w:tcPr>
            <w:tcW w:type="dxa" w:w="5040"/>
            <w:shd w:fill="EAF2F8"/>
            <w:tcMar>
              <w:top w:w="80" w:type="dxa"/>
              <w:start w:w="110" w:type="dxa"/>
              <w:bottom w:w="80" w:type="dxa"/>
              <w:end w:w="110" w:type="dxa"/>
            </w:tcMar>
            <w:vAlign w:val="center"/>
          </w:tcPr>
          <w:p>
            <w:r>
              <w:rPr>
                <w:b/>
                <w:color w:val="1F4E79"/>
                <w:sz w:val="16"/>
              </w:rPr>
              <w:t>Cadence</w:t>
            </w:r>
          </w:p>
        </w:tc>
        <w:tc>
          <w:tcPr>
            <w:tcW w:type="dxa" w:w="5040"/>
            <w:tcMar>
              <w:top w:w="80" w:type="dxa"/>
              <w:start w:w="110" w:type="dxa"/>
              <w:bottom w:w="80" w:type="dxa"/>
              <w:end w:w="110" w:type="dxa"/>
            </w:tcMar>
            <w:vAlign w:val="center"/>
          </w:tcPr>
          <w:p>
            <w:r>
              <w:rPr>
                <w:sz w:val="16"/>
              </w:rPr>
              <w:t>Daily: standup + data/quality issue review</w:t>
            </w:r>
            <w:r>
              <w:br/>
            </w:r>
            <w:r>
              <w:rPr>
                <w:sz w:val="16"/>
              </w:rPr>
              <w:t>Twice weekly: evaluation sync with Backend and Governance</w:t>
            </w:r>
            <w:r>
              <w:br/>
            </w:r>
            <w:r>
              <w:rPr>
                <w:sz w:val="16"/>
              </w:rPr>
              <w:t>Weekly: benchmark review and regression analysis</w:t>
            </w:r>
            <w:r>
              <w:br/>
            </w:r>
            <w:r>
              <w:rPr>
                <w:sz w:val="16"/>
              </w:rPr>
              <w:t>Per sprint: release evidence report</w:t>
            </w:r>
          </w:p>
        </w:tc>
      </w:tr>
      <w:tr>
        <w:tc>
          <w:tcPr>
            <w:tcW w:type="dxa" w:w="5040"/>
            <w:shd w:fill="EAF2F8"/>
            <w:tcMar>
              <w:top w:w="80" w:type="dxa"/>
              <w:start w:w="110" w:type="dxa"/>
              <w:bottom w:w="80" w:type="dxa"/>
              <w:end w:w="110" w:type="dxa"/>
            </w:tcMar>
            <w:vAlign w:val="center"/>
          </w:tcPr>
          <w:p>
            <w:r>
              <w:rPr>
                <w:b/>
                <w:color w:val="1F4E79"/>
                <w:sz w:val="16"/>
              </w:rPr>
              <w:t>Definition of done</w:t>
            </w:r>
          </w:p>
        </w:tc>
        <w:tc>
          <w:tcPr>
            <w:tcW w:type="dxa" w:w="5040"/>
            <w:tcMar>
              <w:top w:w="80" w:type="dxa"/>
              <w:start w:w="110" w:type="dxa"/>
              <w:bottom w:w="80" w:type="dxa"/>
              <w:end w:w="110" w:type="dxa"/>
            </w:tcMar>
            <w:vAlign w:val="center"/>
          </w:tcPr>
          <w:p>
            <w:r>
              <w:rPr>
                <w:sz w:val="16"/>
              </w:rPr>
              <w:t>An ML feature is done only when its outputs are measurable, reproducible, integrated into evaluation, and explainable through evidence surfaced to product and governance layers.</w:t>
            </w:r>
          </w:p>
        </w:tc>
      </w:tr>
      <w:tr>
        <w:tc>
          <w:tcPr>
            <w:tcW w:type="dxa" w:w="5040"/>
            <w:shd w:fill="EAF2F8"/>
            <w:tcMar>
              <w:top w:w="80" w:type="dxa"/>
              <w:start w:w="110" w:type="dxa"/>
              <w:bottom w:w="80" w:type="dxa"/>
              <w:end w:w="110" w:type="dxa"/>
            </w:tcMar>
            <w:vAlign w:val="center"/>
          </w:tcPr>
          <w:p>
            <w:r>
              <w:rPr>
                <w:b/>
                <w:color w:val="1F4E79"/>
                <w:sz w:val="16"/>
              </w:rPr>
              <w:t>First 30 days command list</w:t>
            </w:r>
          </w:p>
        </w:tc>
        <w:tc>
          <w:tcPr>
            <w:tcW w:type="dxa" w:w="5040"/>
            <w:tcMar>
              <w:top w:w="80" w:type="dxa"/>
              <w:start w:w="110" w:type="dxa"/>
              <w:bottom w:w="80" w:type="dxa"/>
              <w:end w:w="110" w:type="dxa"/>
            </w:tcMar>
            <w:vAlign w:val="center"/>
          </w:tcPr>
          <w:p>
            <w:r>
              <w:rPr>
                <w:sz w:val="16"/>
              </w:rPr>
              <w:t>Week 1: define benchmark categories and evidence schema.</w:t>
            </w:r>
            <w:r>
              <w:br/>
            </w:r>
            <w:r>
              <w:rPr>
                <w:sz w:val="16"/>
              </w:rPr>
              <w:t>Week 2: stand up retrieval indexing and relevance baselines.</w:t>
            </w:r>
            <w:r>
              <w:br/>
            </w:r>
            <w:r>
              <w:rPr>
                <w:sz w:val="16"/>
              </w:rPr>
              <w:t>Week 3: implement first evaluation harness with pass/caution/fail outcomes.</w:t>
            </w:r>
            <w:r>
              <w:br/>
            </w:r>
            <w:r>
              <w:rPr>
                <w:sz w:val="16"/>
              </w:rPr>
              <w:t>Week 4: attach evaluation outputs to release candidate packets.</w:t>
            </w:r>
          </w:p>
        </w:tc>
      </w:tr>
    </w:tbl>
    <w:p/>
    <w:p>
      <w:pPr>
        <w:pStyle w:val="HeadingBlue"/>
      </w:pPr>
      <w:r>
        <w:t>7. DevOps / SRE Team</w:t>
      </w:r>
    </w:p>
    <w:p>
      <w:r>
        <w:t>Mission: make the platform deployable, observable, recoverable, and safe to operate through environments, pipelines, secrets, scaling, and incident response readiness.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376"/>
        <w:gridCol w:w="6984"/>
      </w:tblGrid>
      <w:tr>
        <w:tc>
          <w:tcPr>
            <w:tcW w:type="dxa" w:w="5040"/>
            <w:shd w:fill="1F4E79"/>
            <w:tcMar>
              <w:top w:w="80" w:type="dxa"/>
              <w:start w:w="110" w:type="dxa"/>
              <w:bottom w:w="80" w:type="dxa"/>
              <w:end w:w="110" w:type="dxa"/>
            </w:tcMar>
          </w:tcPr>
          <w:p>
            <w:pPr>
              <w:jc w:val="center"/>
            </w:pPr>
            <w:r>
              <w:rPr>
                <w:b/>
                <w:color w:val="FFFFFF"/>
                <w:sz w:val="17"/>
              </w:rPr>
              <w:t>Area</w:t>
            </w:r>
          </w:p>
        </w:tc>
        <w:tc>
          <w:tcPr>
            <w:tcW w:type="dxa" w:w="5040"/>
            <w:shd w:fill="1F4E79"/>
            <w:tcMar>
              <w:top w:w="80" w:type="dxa"/>
              <w:start w:w="110" w:type="dxa"/>
              <w:bottom w:w="80" w:type="dxa"/>
              <w:end w:w="110" w:type="dxa"/>
            </w:tcMar>
          </w:tcPr>
          <w:p>
            <w:pPr>
              <w:jc w:val="center"/>
            </w:pPr>
            <w:r>
              <w:rPr>
                <w:b/>
                <w:color w:val="FFFFFF"/>
                <w:sz w:val="17"/>
              </w:rPr>
              <w:t>Details</w:t>
            </w:r>
          </w:p>
        </w:tc>
      </w:tr>
      <w:tr>
        <w:tc>
          <w:tcPr>
            <w:tcW w:type="dxa" w:w="5040"/>
            <w:shd w:fill="EAF2F8"/>
            <w:tcMar>
              <w:top w:w="80" w:type="dxa"/>
              <w:start w:w="110" w:type="dxa"/>
              <w:bottom w:w="80" w:type="dxa"/>
              <w:end w:w="110" w:type="dxa"/>
            </w:tcMar>
            <w:vAlign w:val="center"/>
          </w:tcPr>
          <w:p>
            <w:r>
              <w:rPr>
                <w:b/>
                <w:color w:val="1F4E79"/>
                <w:sz w:val="16"/>
              </w:rPr>
              <w:t>Owns</w:t>
            </w:r>
          </w:p>
        </w:tc>
        <w:tc>
          <w:tcPr>
            <w:tcW w:type="dxa" w:w="5040"/>
            <w:tcMar>
              <w:top w:w="80" w:type="dxa"/>
              <w:start w:w="110" w:type="dxa"/>
              <w:bottom w:w="80" w:type="dxa"/>
              <w:end w:w="110" w:type="dxa"/>
            </w:tcMar>
            <w:vAlign w:val="center"/>
          </w:tcPr>
          <w:p>
            <w:r>
              <w:rPr>
                <w:sz w:val="16"/>
              </w:rPr>
              <w:t>Infrastructure as code</w:t>
            </w:r>
            <w:r>
              <w:br/>
            </w:r>
            <w:r>
              <w:rPr>
                <w:sz w:val="16"/>
              </w:rPr>
              <w:t>Kubernetes environments</w:t>
            </w:r>
            <w:r>
              <w:br/>
            </w:r>
            <w:r>
              <w:rPr>
                <w:sz w:val="16"/>
              </w:rPr>
              <w:t>CI/CD + GitOps</w:t>
            </w:r>
            <w:r>
              <w:br/>
            </w:r>
            <w:r>
              <w:rPr>
                <w:sz w:val="16"/>
              </w:rPr>
              <w:t>Secrets and key management</w:t>
            </w:r>
            <w:r>
              <w:br/>
            </w:r>
            <w:r>
              <w:rPr>
                <w:sz w:val="16"/>
              </w:rPr>
              <w:t>Observability stack</w:t>
            </w:r>
            <w:r>
              <w:br/>
            </w:r>
            <w:r>
              <w:rPr>
                <w:sz w:val="16"/>
              </w:rPr>
              <w:t>SLOs and alerting</w:t>
            </w:r>
            <w:r>
              <w:br/>
            </w:r>
            <w:r>
              <w:rPr>
                <w:sz w:val="16"/>
              </w:rPr>
              <w:t>Canary + rollback automation</w:t>
            </w:r>
            <w:r>
              <w:br/>
            </w:r>
            <w:r>
              <w:rPr>
                <w:sz w:val="16"/>
              </w:rPr>
              <w:t>Backups and recovery</w:t>
            </w:r>
          </w:p>
        </w:tc>
      </w:tr>
      <w:tr>
        <w:tc>
          <w:tcPr>
            <w:tcW w:type="dxa" w:w="5040"/>
            <w:shd w:fill="EAF2F8"/>
            <w:tcMar>
              <w:top w:w="80" w:type="dxa"/>
              <w:start w:w="110" w:type="dxa"/>
              <w:bottom w:w="80" w:type="dxa"/>
              <w:end w:w="110" w:type="dxa"/>
            </w:tcMar>
            <w:vAlign w:val="center"/>
          </w:tcPr>
          <w:p>
            <w:r>
              <w:rPr>
                <w:b/>
                <w:color w:val="1F4E79"/>
                <w:sz w:val="16"/>
              </w:rPr>
              <w:t>Must deliver</w:t>
            </w:r>
          </w:p>
        </w:tc>
        <w:tc>
          <w:tcPr>
            <w:tcW w:type="dxa" w:w="5040"/>
            <w:tcMar>
              <w:top w:w="80" w:type="dxa"/>
              <w:start w:w="110" w:type="dxa"/>
              <w:bottom w:w="80" w:type="dxa"/>
              <w:end w:w="110" w:type="dxa"/>
            </w:tcMar>
            <w:vAlign w:val="center"/>
          </w:tcPr>
          <w:p>
            <w:r>
              <w:rPr>
                <w:sz w:val="16"/>
              </w:rPr>
              <w:t>Working dev/staging/prod topology</w:t>
            </w:r>
            <w:r>
              <w:br/>
            </w:r>
            <w:r>
              <w:rPr>
                <w:sz w:val="16"/>
              </w:rPr>
              <w:t>Pipeline templates</w:t>
            </w:r>
            <w:r>
              <w:br/>
            </w:r>
            <w:r>
              <w:rPr>
                <w:sz w:val="16"/>
              </w:rPr>
              <w:t>Release automation</w:t>
            </w:r>
            <w:r>
              <w:br/>
            </w:r>
            <w:r>
              <w:rPr>
                <w:sz w:val="16"/>
              </w:rPr>
              <w:t>Dashboards + alerts</w:t>
            </w:r>
            <w:r>
              <w:br/>
            </w:r>
            <w:r>
              <w:rPr>
                <w:sz w:val="16"/>
              </w:rPr>
              <w:t>Runbooks</w:t>
            </w:r>
            <w:r>
              <w:br/>
            </w:r>
            <w:r>
              <w:rPr>
                <w:sz w:val="16"/>
              </w:rPr>
              <w:t>Capacity and scaling guidance</w:t>
            </w:r>
            <w:r>
              <w:br/>
            </w:r>
            <w:r>
              <w:rPr>
                <w:sz w:val="16"/>
              </w:rPr>
              <w:t>Disaster recovery procedures</w:t>
            </w:r>
          </w:p>
        </w:tc>
      </w:tr>
      <w:tr>
        <w:tc>
          <w:tcPr>
            <w:tcW w:type="dxa" w:w="5040"/>
            <w:shd w:fill="EAF2F8"/>
            <w:tcMar>
              <w:top w:w="80" w:type="dxa"/>
              <w:start w:w="110" w:type="dxa"/>
              <w:bottom w:w="80" w:type="dxa"/>
              <w:end w:w="110" w:type="dxa"/>
            </w:tcMar>
            <w:vAlign w:val="center"/>
          </w:tcPr>
          <w:p>
            <w:r>
              <w:rPr>
                <w:b/>
                <w:color w:val="1F4E79"/>
                <w:sz w:val="16"/>
              </w:rPr>
              <w:t>Depends on</w:t>
            </w:r>
          </w:p>
        </w:tc>
        <w:tc>
          <w:tcPr>
            <w:tcW w:type="dxa" w:w="5040"/>
            <w:tcMar>
              <w:top w:w="80" w:type="dxa"/>
              <w:start w:w="110" w:type="dxa"/>
              <w:bottom w:w="80" w:type="dxa"/>
              <w:end w:w="110" w:type="dxa"/>
            </w:tcMar>
            <w:vAlign w:val="center"/>
          </w:tcPr>
          <w:p>
            <w:r>
              <w:rPr>
                <w:sz w:val="16"/>
              </w:rPr>
              <w:t>Signed artifacts from Backend</w:t>
            </w:r>
            <w:r>
              <w:br/>
            </w:r>
            <w:r>
              <w:rPr>
                <w:sz w:val="16"/>
              </w:rPr>
              <w:t>Policy constraints from Governance</w:t>
            </w:r>
            <w:r>
              <w:br/>
            </w:r>
            <w:r>
              <w:rPr>
                <w:sz w:val="16"/>
              </w:rPr>
              <w:t>Service instrumentation from all engineering teams</w:t>
            </w:r>
            <w:r>
              <w:br/>
            </w:r>
            <w:r>
              <w:rPr>
                <w:sz w:val="16"/>
              </w:rPr>
              <w:t>Production usage expectations from Product leadership</w:t>
            </w:r>
          </w:p>
        </w:tc>
      </w:tr>
      <w:tr>
        <w:tc>
          <w:tcPr>
            <w:tcW w:type="dxa" w:w="5040"/>
            <w:shd w:fill="EAF2F8"/>
            <w:tcMar>
              <w:top w:w="80" w:type="dxa"/>
              <w:start w:w="110" w:type="dxa"/>
              <w:bottom w:w="80" w:type="dxa"/>
              <w:end w:w="110" w:type="dxa"/>
            </w:tcMar>
            <w:vAlign w:val="center"/>
          </w:tcPr>
          <w:p>
            <w:r>
              <w:rPr>
                <w:b/>
                <w:color w:val="1F4E79"/>
                <w:sz w:val="16"/>
              </w:rPr>
              <w:t>Cadence</w:t>
            </w:r>
          </w:p>
        </w:tc>
        <w:tc>
          <w:tcPr>
            <w:tcW w:type="dxa" w:w="5040"/>
            <w:tcMar>
              <w:top w:w="80" w:type="dxa"/>
              <w:start w:w="110" w:type="dxa"/>
              <w:bottom w:w="80" w:type="dxa"/>
              <w:end w:w="110" w:type="dxa"/>
            </w:tcMar>
            <w:vAlign w:val="center"/>
          </w:tcPr>
          <w:p>
            <w:r>
              <w:rPr>
                <w:sz w:val="16"/>
              </w:rPr>
              <w:t>Daily: platform health check</w:t>
            </w:r>
            <w:r>
              <w:br/>
            </w:r>
            <w:r>
              <w:rPr>
                <w:sz w:val="16"/>
              </w:rPr>
              <w:t>Twice weekly: release readiness review</w:t>
            </w:r>
            <w:r>
              <w:br/>
            </w:r>
            <w:r>
              <w:rPr>
                <w:sz w:val="16"/>
              </w:rPr>
              <w:t>Weekly: incident drill or reliability review</w:t>
            </w:r>
            <w:r>
              <w:br/>
            </w:r>
            <w:r>
              <w:rPr>
                <w:sz w:val="16"/>
              </w:rPr>
              <w:t>Per sprint: environment demo and SLO status</w:t>
            </w:r>
          </w:p>
        </w:tc>
      </w:tr>
      <w:tr>
        <w:tc>
          <w:tcPr>
            <w:tcW w:type="dxa" w:w="5040"/>
            <w:shd w:fill="EAF2F8"/>
            <w:tcMar>
              <w:top w:w="80" w:type="dxa"/>
              <w:start w:w="110" w:type="dxa"/>
              <w:bottom w:w="80" w:type="dxa"/>
              <w:end w:w="110" w:type="dxa"/>
            </w:tcMar>
            <w:vAlign w:val="center"/>
          </w:tcPr>
          <w:p>
            <w:r>
              <w:rPr>
                <w:b/>
                <w:color w:val="1F4E79"/>
                <w:sz w:val="16"/>
              </w:rPr>
              <w:t>Definition of done</w:t>
            </w:r>
          </w:p>
        </w:tc>
        <w:tc>
          <w:tcPr>
            <w:tcW w:type="dxa" w:w="5040"/>
            <w:tcMar>
              <w:top w:w="80" w:type="dxa"/>
              <w:start w:w="110" w:type="dxa"/>
              <w:bottom w:w="80" w:type="dxa"/>
              <w:end w:w="110" w:type="dxa"/>
            </w:tcMar>
            <w:vAlign w:val="center"/>
          </w:tcPr>
          <w:p>
            <w:r>
              <w:rPr>
                <w:sz w:val="16"/>
              </w:rPr>
              <w:t>DevOps work is done only when environments are reproducible, services are observable, deployment rollback is proven, and operational docs are complete enough for incident use.</w:t>
            </w:r>
          </w:p>
        </w:tc>
      </w:tr>
      <w:tr>
        <w:tc>
          <w:tcPr>
            <w:tcW w:type="dxa" w:w="5040"/>
            <w:shd w:fill="EAF2F8"/>
            <w:tcMar>
              <w:top w:w="80" w:type="dxa"/>
              <w:start w:w="110" w:type="dxa"/>
              <w:bottom w:w="80" w:type="dxa"/>
              <w:end w:w="110" w:type="dxa"/>
            </w:tcMar>
            <w:vAlign w:val="center"/>
          </w:tcPr>
          <w:p>
            <w:r>
              <w:rPr>
                <w:b/>
                <w:color w:val="1F4E79"/>
                <w:sz w:val="16"/>
              </w:rPr>
              <w:t>First 30 days command list</w:t>
            </w:r>
          </w:p>
        </w:tc>
        <w:tc>
          <w:tcPr>
            <w:tcW w:type="dxa" w:w="5040"/>
            <w:tcMar>
              <w:top w:w="80" w:type="dxa"/>
              <w:start w:w="110" w:type="dxa"/>
              <w:bottom w:w="80" w:type="dxa"/>
              <w:end w:w="110" w:type="dxa"/>
            </w:tcMar>
            <w:vAlign w:val="center"/>
          </w:tcPr>
          <w:p>
            <w:r>
              <w:rPr>
                <w:sz w:val="16"/>
              </w:rPr>
              <w:t>Week 1: bootstrap environments and deployment pipeline skeleton.</w:t>
            </w:r>
            <w:r>
              <w:br/>
            </w:r>
            <w:r>
              <w:rPr>
                <w:sz w:val="16"/>
              </w:rPr>
              <w:t>Week 2: wire secrets, telemetry collectors, and baseline dashboards.</w:t>
            </w:r>
            <w:r>
              <w:br/>
            </w:r>
            <w:r>
              <w:rPr>
                <w:sz w:val="16"/>
              </w:rPr>
              <w:t>Week 3: automate service deployment and environment promotion.</w:t>
            </w:r>
            <w:r>
              <w:br/>
            </w:r>
            <w:r>
              <w:rPr>
                <w:sz w:val="16"/>
              </w:rPr>
              <w:t>Week 4: prove rollback and alert flow using a controlled failure rehearsal.</w:t>
            </w:r>
          </w:p>
        </w:tc>
      </w:tr>
    </w:tbl>
    <w:p/>
    <w:p>
      <w:pPr>
        <w:pStyle w:val="HeadingBlue"/>
      </w:pPr>
      <w:r>
        <w:t>8. Governance / Security Team</w:t>
      </w:r>
    </w:p>
    <w:p>
      <w:r>
        <w:t>Mission: ensure identity, policy, approval, audit, and operational trust are built into the platform from the beginning and not treated as late-stage paperwork.</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376"/>
        <w:gridCol w:w="6984"/>
      </w:tblGrid>
      <w:tr>
        <w:tc>
          <w:tcPr>
            <w:tcW w:type="dxa" w:w="5040"/>
            <w:shd w:fill="1F4E79"/>
            <w:tcMar>
              <w:top w:w="80" w:type="dxa"/>
              <w:start w:w="110" w:type="dxa"/>
              <w:bottom w:w="80" w:type="dxa"/>
              <w:end w:w="110" w:type="dxa"/>
            </w:tcMar>
          </w:tcPr>
          <w:p>
            <w:pPr>
              <w:jc w:val="center"/>
            </w:pPr>
            <w:r>
              <w:rPr>
                <w:b/>
                <w:color w:val="FFFFFF"/>
                <w:sz w:val="17"/>
              </w:rPr>
              <w:t>Area</w:t>
            </w:r>
          </w:p>
        </w:tc>
        <w:tc>
          <w:tcPr>
            <w:tcW w:type="dxa" w:w="5040"/>
            <w:shd w:fill="1F4E79"/>
            <w:tcMar>
              <w:top w:w="80" w:type="dxa"/>
              <w:start w:w="110" w:type="dxa"/>
              <w:bottom w:w="80" w:type="dxa"/>
              <w:end w:w="110" w:type="dxa"/>
            </w:tcMar>
          </w:tcPr>
          <w:p>
            <w:pPr>
              <w:jc w:val="center"/>
            </w:pPr>
            <w:r>
              <w:rPr>
                <w:b/>
                <w:color w:val="FFFFFF"/>
                <w:sz w:val="17"/>
              </w:rPr>
              <w:t>Details</w:t>
            </w:r>
          </w:p>
        </w:tc>
      </w:tr>
      <w:tr>
        <w:tc>
          <w:tcPr>
            <w:tcW w:type="dxa" w:w="5040"/>
            <w:shd w:fill="EAF2F8"/>
            <w:tcMar>
              <w:top w:w="80" w:type="dxa"/>
              <w:start w:w="110" w:type="dxa"/>
              <w:bottom w:w="80" w:type="dxa"/>
              <w:end w:w="110" w:type="dxa"/>
            </w:tcMar>
            <w:vAlign w:val="center"/>
          </w:tcPr>
          <w:p>
            <w:r>
              <w:rPr>
                <w:b/>
                <w:color w:val="1F4E79"/>
                <w:sz w:val="16"/>
              </w:rPr>
              <w:t>Owns</w:t>
            </w:r>
          </w:p>
        </w:tc>
        <w:tc>
          <w:tcPr>
            <w:tcW w:type="dxa" w:w="5040"/>
            <w:tcMar>
              <w:top w:w="80" w:type="dxa"/>
              <w:start w:w="110" w:type="dxa"/>
              <w:bottom w:w="80" w:type="dxa"/>
              <w:end w:w="110" w:type="dxa"/>
            </w:tcMar>
            <w:vAlign w:val="center"/>
          </w:tcPr>
          <w:p>
            <w:r>
              <w:rPr>
                <w:sz w:val="16"/>
              </w:rPr>
              <w:t>OIDC/RBAC requirements</w:t>
            </w:r>
            <w:r>
              <w:br/>
            </w:r>
            <w:r>
              <w:rPr>
                <w:sz w:val="16"/>
              </w:rPr>
              <w:t>Workload identity</w:t>
            </w:r>
            <w:r>
              <w:br/>
            </w:r>
            <w:r>
              <w:rPr>
                <w:sz w:val="16"/>
              </w:rPr>
              <w:t>Policy store and rule model</w:t>
            </w:r>
            <w:r>
              <w:br/>
            </w:r>
            <w:r>
              <w:rPr>
                <w:sz w:val="16"/>
              </w:rPr>
              <w:t>Approval workflows</w:t>
            </w:r>
            <w:r>
              <w:br/>
            </w:r>
            <w:r>
              <w:rPr>
                <w:sz w:val="16"/>
              </w:rPr>
              <w:t>Audit evidence model</w:t>
            </w:r>
            <w:r>
              <w:br/>
            </w:r>
            <w:r>
              <w:rPr>
                <w:sz w:val="16"/>
              </w:rPr>
              <w:t>Release sign-off rules</w:t>
            </w:r>
            <w:r>
              <w:br/>
            </w:r>
            <w:r>
              <w:rPr>
                <w:sz w:val="16"/>
              </w:rPr>
              <w:t>Security review and threat modeling</w:t>
            </w:r>
            <w:r>
              <w:br/>
            </w:r>
            <w:r>
              <w:rPr>
                <w:sz w:val="16"/>
              </w:rPr>
              <w:t>Compliance-adjacent controls</w:t>
            </w:r>
          </w:p>
        </w:tc>
      </w:tr>
      <w:tr>
        <w:tc>
          <w:tcPr>
            <w:tcW w:type="dxa" w:w="5040"/>
            <w:shd w:fill="EAF2F8"/>
            <w:tcMar>
              <w:top w:w="80" w:type="dxa"/>
              <w:start w:w="110" w:type="dxa"/>
              <w:bottom w:w="80" w:type="dxa"/>
              <w:end w:w="110" w:type="dxa"/>
            </w:tcMar>
            <w:vAlign w:val="center"/>
          </w:tcPr>
          <w:p>
            <w:r>
              <w:rPr>
                <w:b/>
                <w:color w:val="1F4E79"/>
                <w:sz w:val="16"/>
              </w:rPr>
              <w:t>Must deliver</w:t>
            </w:r>
          </w:p>
        </w:tc>
        <w:tc>
          <w:tcPr>
            <w:tcW w:type="dxa" w:w="5040"/>
            <w:tcMar>
              <w:top w:w="80" w:type="dxa"/>
              <w:start w:w="110" w:type="dxa"/>
              <w:bottom w:w="80" w:type="dxa"/>
              <w:end w:w="110" w:type="dxa"/>
            </w:tcMar>
            <w:vAlign w:val="center"/>
          </w:tcPr>
          <w:p>
            <w:r>
              <w:rPr>
                <w:sz w:val="16"/>
              </w:rPr>
              <w:t>Policy matrix</w:t>
            </w:r>
            <w:r>
              <w:br/>
            </w:r>
            <w:r>
              <w:rPr>
                <w:sz w:val="16"/>
              </w:rPr>
              <w:t>Approval packet schema</w:t>
            </w:r>
            <w:r>
              <w:br/>
            </w:r>
            <w:r>
              <w:rPr>
                <w:sz w:val="16"/>
              </w:rPr>
              <w:t>Audit event requirements</w:t>
            </w:r>
            <w:r>
              <w:br/>
            </w:r>
            <w:r>
              <w:rPr>
                <w:sz w:val="16"/>
              </w:rPr>
              <w:t>Threat model and control register</w:t>
            </w:r>
            <w:r>
              <w:br/>
            </w:r>
            <w:r>
              <w:rPr>
                <w:sz w:val="16"/>
              </w:rPr>
              <w:t>Release sign-off checklist</w:t>
            </w:r>
            <w:r>
              <w:br/>
            </w:r>
            <w:r>
              <w:rPr>
                <w:sz w:val="16"/>
              </w:rPr>
              <w:t>Restricted action inventory</w:t>
            </w:r>
            <w:r>
              <w:br/>
            </w:r>
            <w:r>
              <w:rPr>
                <w:sz w:val="16"/>
              </w:rPr>
              <w:t>Data handling guidelines</w:t>
            </w:r>
          </w:p>
        </w:tc>
      </w:tr>
      <w:tr>
        <w:tc>
          <w:tcPr>
            <w:tcW w:type="dxa" w:w="5040"/>
            <w:shd w:fill="EAF2F8"/>
            <w:tcMar>
              <w:top w:w="80" w:type="dxa"/>
              <w:start w:w="110" w:type="dxa"/>
              <w:bottom w:w="80" w:type="dxa"/>
              <w:end w:w="110" w:type="dxa"/>
            </w:tcMar>
            <w:vAlign w:val="center"/>
          </w:tcPr>
          <w:p>
            <w:r>
              <w:rPr>
                <w:b/>
                <w:color w:val="1F4E79"/>
                <w:sz w:val="16"/>
              </w:rPr>
              <w:t>Depends on</w:t>
            </w:r>
          </w:p>
        </w:tc>
        <w:tc>
          <w:tcPr>
            <w:tcW w:type="dxa" w:w="5040"/>
            <w:tcMar>
              <w:top w:w="80" w:type="dxa"/>
              <w:start w:w="110" w:type="dxa"/>
              <w:bottom w:w="80" w:type="dxa"/>
              <w:end w:w="110" w:type="dxa"/>
            </w:tcMar>
            <w:vAlign w:val="center"/>
          </w:tcPr>
          <w:p>
            <w:r>
              <w:rPr>
                <w:sz w:val="16"/>
              </w:rPr>
              <w:t>Service and UI contract details from Backend/Frontend</w:t>
            </w:r>
            <w:r>
              <w:br/>
            </w:r>
            <w:r>
              <w:rPr>
                <w:sz w:val="16"/>
              </w:rPr>
              <w:t>Environment and secret controls from DevOps</w:t>
            </w:r>
            <w:r>
              <w:br/>
            </w:r>
            <w:r>
              <w:rPr>
                <w:sz w:val="16"/>
              </w:rPr>
              <w:t>Evaluation evidence from ML</w:t>
            </w:r>
          </w:p>
        </w:tc>
      </w:tr>
      <w:tr>
        <w:tc>
          <w:tcPr>
            <w:tcW w:type="dxa" w:w="5040"/>
            <w:shd w:fill="EAF2F8"/>
            <w:tcMar>
              <w:top w:w="80" w:type="dxa"/>
              <w:start w:w="110" w:type="dxa"/>
              <w:bottom w:w="80" w:type="dxa"/>
              <w:end w:w="110" w:type="dxa"/>
            </w:tcMar>
            <w:vAlign w:val="center"/>
          </w:tcPr>
          <w:p>
            <w:r>
              <w:rPr>
                <w:b/>
                <w:color w:val="1F4E79"/>
                <w:sz w:val="16"/>
              </w:rPr>
              <w:t>Cadence</w:t>
            </w:r>
          </w:p>
        </w:tc>
        <w:tc>
          <w:tcPr>
            <w:tcW w:type="dxa" w:w="5040"/>
            <w:tcMar>
              <w:top w:w="80" w:type="dxa"/>
              <w:start w:w="110" w:type="dxa"/>
              <w:bottom w:w="80" w:type="dxa"/>
              <w:end w:w="110" w:type="dxa"/>
            </w:tcMar>
            <w:vAlign w:val="center"/>
          </w:tcPr>
          <w:p>
            <w:r>
              <w:rPr>
                <w:sz w:val="16"/>
              </w:rPr>
              <w:t>Daily: risk and blocker triage</w:t>
            </w:r>
            <w:r>
              <w:br/>
            </w:r>
            <w:r>
              <w:rPr>
                <w:sz w:val="16"/>
              </w:rPr>
              <w:t>Twice weekly: policy and approval sync with Backend + Product</w:t>
            </w:r>
            <w:r>
              <w:br/>
            </w:r>
            <w:r>
              <w:rPr>
                <w:sz w:val="16"/>
              </w:rPr>
              <w:t>Weekly: threat/risk review</w:t>
            </w:r>
            <w:r>
              <w:br/>
            </w:r>
            <w:r>
              <w:rPr>
                <w:sz w:val="16"/>
              </w:rPr>
              <w:t>Per sprint: control verification and release-readiness sign-off</w:t>
            </w:r>
          </w:p>
        </w:tc>
      </w:tr>
      <w:tr>
        <w:tc>
          <w:tcPr>
            <w:tcW w:type="dxa" w:w="5040"/>
            <w:shd w:fill="EAF2F8"/>
            <w:tcMar>
              <w:top w:w="80" w:type="dxa"/>
              <w:start w:w="110" w:type="dxa"/>
              <w:bottom w:w="80" w:type="dxa"/>
              <w:end w:w="110" w:type="dxa"/>
            </w:tcMar>
            <w:vAlign w:val="center"/>
          </w:tcPr>
          <w:p>
            <w:r>
              <w:rPr>
                <w:b/>
                <w:color w:val="1F4E79"/>
                <w:sz w:val="16"/>
              </w:rPr>
              <w:t>Definition of done</w:t>
            </w:r>
          </w:p>
        </w:tc>
        <w:tc>
          <w:tcPr>
            <w:tcW w:type="dxa" w:w="5040"/>
            <w:tcMar>
              <w:top w:w="80" w:type="dxa"/>
              <w:start w:w="110" w:type="dxa"/>
              <w:bottom w:w="80" w:type="dxa"/>
              <w:end w:w="110" w:type="dxa"/>
            </w:tcMar>
            <w:vAlign w:val="center"/>
          </w:tcPr>
          <w:p>
            <w:r>
              <w:rPr>
                <w:sz w:val="16"/>
              </w:rPr>
              <w:t>Governance work is done only when a control exists in documented policy, is implemented in the product or platform, is testable, and leaves audit evidence when exercised.</w:t>
            </w:r>
          </w:p>
        </w:tc>
      </w:tr>
      <w:tr>
        <w:tc>
          <w:tcPr>
            <w:tcW w:type="dxa" w:w="5040"/>
            <w:shd w:fill="EAF2F8"/>
            <w:tcMar>
              <w:top w:w="80" w:type="dxa"/>
              <w:start w:w="110" w:type="dxa"/>
              <w:bottom w:w="80" w:type="dxa"/>
              <w:end w:w="110" w:type="dxa"/>
            </w:tcMar>
            <w:vAlign w:val="center"/>
          </w:tcPr>
          <w:p>
            <w:r>
              <w:rPr>
                <w:b/>
                <w:color w:val="1F4E79"/>
                <w:sz w:val="16"/>
              </w:rPr>
              <w:t>First 30 days command list</w:t>
            </w:r>
          </w:p>
        </w:tc>
        <w:tc>
          <w:tcPr>
            <w:tcW w:type="dxa" w:w="5040"/>
            <w:tcMar>
              <w:top w:w="80" w:type="dxa"/>
              <w:start w:w="110" w:type="dxa"/>
              <w:bottom w:w="80" w:type="dxa"/>
              <w:end w:w="110" w:type="dxa"/>
            </w:tcMar>
            <w:vAlign w:val="center"/>
          </w:tcPr>
          <w:p>
            <w:r>
              <w:rPr>
                <w:sz w:val="16"/>
              </w:rPr>
              <w:t>Week 1: define actor roles, approval boundaries, and restricted actions.</w:t>
            </w:r>
            <w:r>
              <w:br/>
            </w:r>
            <w:r>
              <w:rPr>
                <w:sz w:val="16"/>
              </w:rPr>
              <w:t>Week 2: finalize token and policy rules for privileged services.</w:t>
            </w:r>
            <w:r>
              <w:br/>
            </w:r>
            <w:r>
              <w:rPr>
                <w:sz w:val="16"/>
              </w:rPr>
              <w:t>Week 3: define the approval packet and audit evidence schema.</w:t>
            </w:r>
            <w:r>
              <w:br/>
            </w:r>
            <w:r>
              <w:rPr>
                <w:sz w:val="16"/>
              </w:rPr>
              <w:t>Week 4: complete first threat model review and map mitigation tasks into the backlog.</w:t>
            </w:r>
          </w:p>
        </w:tc>
      </w:tr>
    </w:tbl>
    <w:p/>
    <w:p>
      <w:pPr>
        <w:pStyle w:val="HeadingBlue"/>
      </w:pPr>
      <w:r>
        <w:t>9. Team handoff matrix</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728"/>
        <w:gridCol w:w="1944"/>
        <w:gridCol w:w="3672"/>
        <w:gridCol w:w="2736"/>
      </w:tblGrid>
      <w:tr>
        <w:tc>
          <w:tcPr>
            <w:tcW w:type="dxa" w:w="2520"/>
            <w:shd w:fill="1F4E79"/>
            <w:tcMar>
              <w:top w:w="80" w:type="dxa"/>
              <w:start w:w="110" w:type="dxa"/>
              <w:bottom w:w="80" w:type="dxa"/>
              <w:end w:w="110" w:type="dxa"/>
            </w:tcMar>
          </w:tcPr>
          <w:p>
            <w:pPr>
              <w:jc w:val="center"/>
            </w:pPr>
            <w:r>
              <w:rPr>
                <w:b/>
                <w:color w:val="FFFFFF"/>
                <w:sz w:val="17"/>
              </w:rPr>
              <w:t>From team</w:t>
            </w:r>
          </w:p>
        </w:tc>
        <w:tc>
          <w:tcPr>
            <w:tcW w:type="dxa" w:w="2520"/>
            <w:shd w:fill="1F4E79"/>
            <w:tcMar>
              <w:top w:w="80" w:type="dxa"/>
              <w:start w:w="110" w:type="dxa"/>
              <w:bottom w:w="80" w:type="dxa"/>
              <w:end w:w="110" w:type="dxa"/>
            </w:tcMar>
          </w:tcPr>
          <w:p>
            <w:pPr>
              <w:jc w:val="center"/>
            </w:pPr>
            <w:r>
              <w:rPr>
                <w:b/>
                <w:color w:val="FFFFFF"/>
                <w:sz w:val="17"/>
              </w:rPr>
              <w:t>To team</w:t>
            </w:r>
          </w:p>
        </w:tc>
        <w:tc>
          <w:tcPr>
            <w:tcW w:type="dxa" w:w="2520"/>
            <w:shd w:fill="1F4E79"/>
            <w:tcMar>
              <w:top w:w="80" w:type="dxa"/>
              <w:start w:w="110" w:type="dxa"/>
              <w:bottom w:w="80" w:type="dxa"/>
              <w:end w:w="110" w:type="dxa"/>
            </w:tcMar>
          </w:tcPr>
          <w:p>
            <w:pPr>
              <w:jc w:val="center"/>
            </w:pPr>
            <w:r>
              <w:rPr>
                <w:b/>
                <w:color w:val="FFFFFF"/>
                <w:sz w:val="17"/>
              </w:rPr>
              <w:t>Handoff item</w:t>
            </w:r>
          </w:p>
        </w:tc>
        <w:tc>
          <w:tcPr>
            <w:tcW w:type="dxa" w:w="2520"/>
            <w:shd w:fill="1F4E79"/>
            <w:tcMar>
              <w:top w:w="80" w:type="dxa"/>
              <w:start w:w="110" w:type="dxa"/>
              <w:bottom w:w="80" w:type="dxa"/>
              <w:end w:w="110" w:type="dxa"/>
            </w:tcMar>
          </w:tcPr>
          <w:p>
            <w:pPr>
              <w:jc w:val="center"/>
            </w:pPr>
            <w:r>
              <w:rPr>
                <w:b/>
                <w:color w:val="FFFFFF"/>
                <w:sz w:val="17"/>
              </w:rPr>
              <w:t>Rule</w:t>
            </w:r>
          </w:p>
        </w:tc>
      </w:tr>
      <w:tr>
        <w:tc>
          <w:tcPr>
            <w:tcW w:type="dxa" w:w="2520"/>
            <w:shd w:fill="EAF2F8"/>
            <w:tcMar>
              <w:top w:w="80" w:type="dxa"/>
              <w:start w:w="110" w:type="dxa"/>
              <w:bottom w:w="80" w:type="dxa"/>
              <w:end w:w="110" w:type="dxa"/>
            </w:tcMar>
            <w:vAlign w:val="center"/>
          </w:tcPr>
          <w:p>
            <w:r>
              <w:rPr>
                <w:b/>
                <w:color w:val="1F4E79"/>
                <w:sz w:val="16"/>
              </w:rPr>
              <w:t>Backend</w:t>
            </w:r>
          </w:p>
        </w:tc>
        <w:tc>
          <w:tcPr>
            <w:tcW w:type="dxa" w:w="2520"/>
            <w:tcMar>
              <w:top w:w="80" w:type="dxa"/>
              <w:start w:w="110" w:type="dxa"/>
              <w:bottom w:w="80" w:type="dxa"/>
              <w:end w:w="110" w:type="dxa"/>
            </w:tcMar>
            <w:vAlign w:val="center"/>
          </w:tcPr>
          <w:p>
            <w:r>
              <w:rPr>
                <w:sz w:val="16"/>
              </w:rPr>
              <w:t>Frontend</w:t>
            </w:r>
          </w:p>
        </w:tc>
        <w:tc>
          <w:tcPr>
            <w:tcW w:type="dxa" w:w="2520"/>
            <w:tcMar>
              <w:top w:w="80" w:type="dxa"/>
              <w:start w:w="110" w:type="dxa"/>
              <w:bottom w:w="80" w:type="dxa"/>
              <w:end w:w="110" w:type="dxa"/>
            </w:tcMar>
            <w:vAlign w:val="center"/>
          </w:tcPr>
          <w:p>
            <w:r>
              <w:rPr>
                <w:sz w:val="16"/>
              </w:rPr>
              <w:t>OpenAPI / contract schema + mock examples</w:t>
            </w:r>
          </w:p>
        </w:tc>
        <w:tc>
          <w:tcPr>
            <w:tcW w:type="dxa" w:w="2520"/>
            <w:tcMar>
              <w:top w:w="80" w:type="dxa"/>
              <w:start w:w="110" w:type="dxa"/>
              <w:bottom w:w="80" w:type="dxa"/>
              <w:end w:w="110" w:type="dxa"/>
            </w:tcMar>
            <w:vAlign w:val="center"/>
          </w:tcPr>
          <w:p>
            <w:r>
              <w:rPr>
                <w:sz w:val="16"/>
              </w:rPr>
              <w:t>Frontend builds against documented payloads only.</w:t>
            </w:r>
          </w:p>
        </w:tc>
      </w:tr>
      <w:tr>
        <w:tc>
          <w:tcPr>
            <w:tcW w:type="dxa" w:w="2520"/>
            <w:shd w:fill="EAF2F8"/>
            <w:tcMar>
              <w:top w:w="80" w:type="dxa"/>
              <w:start w:w="110" w:type="dxa"/>
              <w:bottom w:w="80" w:type="dxa"/>
              <w:end w:w="110" w:type="dxa"/>
            </w:tcMar>
            <w:vAlign w:val="center"/>
          </w:tcPr>
          <w:p>
            <w:r>
              <w:rPr>
                <w:b/>
                <w:color w:val="1F4E79"/>
                <w:sz w:val="16"/>
              </w:rPr>
              <w:t>ML / AI</w:t>
            </w:r>
          </w:p>
        </w:tc>
        <w:tc>
          <w:tcPr>
            <w:tcW w:type="dxa" w:w="2520"/>
            <w:tcMar>
              <w:top w:w="80" w:type="dxa"/>
              <w:start w:w="110" w:type="dxa"/>
              <w:bottom w:w="80" w:type="dxa"/>
              <w:end w:w="110" w:type="dxa"/>
            </w:tcMar>
            <w:vAlign w:val="center"/>
          </w:tcPr>
          <w:p>
            <w:r>
              <w:rPr>
                <w:sz w:val="16"/>
              </w:rPr>
              <w:t>Frontend</w:t>
            </w:r>
          </w:p>
        </w:tc>
        <w:tc>
          <w:tcPr>
            <w:tcW w:type="dxa" w:w="2520"/>
            <w:tcMar>
              <w:top w:w="80" w:type="dxa"/>
              <w:start w:w="110" w:type="dxa"/>
              <w:bottom w:w="80" w:type="dxa"/>
              <w:end w:w="110" w:type="dxa"/>
            </w:tcMar>
            <w:vAlign w:val="center"/>
          </w:tcPr>
          <w:p>
            <w:r>
              <w:rPr>
                <w:sz w:val="16"/>
              </w:rPr>
              <w:t>Evaluation and evidence payload definitions</w:t>
            </w:r>
          </w:p>
        </w:tc>
        <w:tc>
          <w:tcPr>
            <w:tcW w:type="dxa" w:w="2520"/>
            <w:tcMar>
              <w:top w:w="80" w:type="dxa"/>
              <w:start w:w="110" w:type="dxa"/>
              <w:bottom w:w="80" w:type="dxa"/>
              <w:end w:w="110" w:type="dxa"/>
            </w:tcMar>
            <w:vAlign w:val="center"/>
          </w:tcPr>
          <w:p>
            <w:r>
              <w:rPr>
                <w:sz w:val="16"/>
              </w:rPr>
              <w:t>UI summaries must reflect measurable evidence fields.</w:t>
            </w:r>
          </w:p>
        </w:tc>
      </w:tr>
      <w:tr>
        <w:tc>
          <w:tcPr>
            <w:tcW w:type="dxa" w:w="2520"/>
            <w:shd w:fill="EAF2F8"/>
            <w:tcMar>
              <w:top w:w="80" w:type="dxa"/>
              <w:start w:w="110" w:type="dxa"/>
              <w:bottom w:w="80" w:type="dxa"/>
              <w:end w:w="110" w:type="dxa"/>
            </w:tcMar>
            <w:vAlign w:val="center"/>
          </w:tcPr>
          <w:p>
            <w:r>
              <w:rPr>
                <w:b/>
                <w:color w:val="1F4E79"/>
                <w:sz w:val="16"/>
              </w:rPr>
              <w:t>Governance</w:t>
            </w:r>
          </w:p>
        </w:tc>
        <w:tc>
          <w:tcPr>
            <w:tcW w:type="dxa" w:w="2520"/>
            <w:tcMar>
              <w:top w:w="80" w:type="dxa"/>
              <w:start w:w="110" w:type="dxa"/>
              <w:bottom w:w="80" w:type="dxa"/>
              <w:end w:w="110" w:type="dxa"/>
            </w:tcMar>
            <w:vAlign w:val="center"/>
          </w:tcPr>
          <w:p>
            <w:r>
              <w:rPr>
                <w:sz w:val="16"/>
              </w:rPr>
              <w:t>Backend</w:t>
            </w:r>
          </w:p>
        </w:tc>
        <w:tc>
          <w:tcPr>
            <w:tcW w:type="dxa" w:w="2520"/>
            <w:tcMar>
              <w:top w:w="80" w:type="dxa"/>
              <w:start w:w="110" w:type="dxa"/>
              <w:bottom w:w="80" w:type="dxa"/>
              <w:end w:w="110" w:type="dxa"/>
            </w:tcMar>
            <w:vAlign w:val="center"/>
          </w:tcPr>
          <w:p>
            <w:r>
              <w:rPr>
                <w:sz w:val="16"/>
              </w:rPr>
              <w:t>Policy and approval rules</w:t>
            </w:r>
          </w:p>
        </w:tc>
        <w:tc>
          <w:tcPr>
            <w:tcW w:type="dxa" w:w="2520"/>
            <w:tcMar>
              <w:top w:w="80" w:type="dxa"/>
              <w:start w:w="110" w:type="dxa"/>
              <w:bottom w:w="80" w:type="dxa"/>
              <w:end w:w="110" w:type="dxa"/>
            </w:tcMar>
            <w:vAlign w:val="center"/>
          </w:tcPr>
          <w:p>
            <w:r>
              <w:rPr>
                <w:sz w:val="16"/>
              </w:rPr>
              <w:t>Rules must be executable, not prose-only.</w:t>
            </w:r>
          </w:p>
        </w:tc>
      </w:tr>
      <w:tr>
        <w:tc>
          <w:tcPr>
            <w:tcW w:type="dxa" w:w="2520"/>
            <w:shd w:fill="EAF2F8"/>
            <w:tcMar>
              <w:top w:w="80" w:type="dxa"/>
              <w:start w:w="110" w:type="dxa"/>
              <w:bottom w:w="80" w:type="dxa"/>
              <w:end w:w="110" w:type="dxa"/>
            </w:tcMar>
            <w:vAlign w:val="center"/>
          </w:tcPr>
          <w:p>
            <w:r>
              <w:rPr>
                <w:b/>
                <w:color w:val="1F4E79"/>
                <w:sz w:val="16"/>
              </w:rPr>
              <w:t>DevOps</w:t>
            </w:r>
          </w:p>
        </w:tc>
        <w:tc>
          <w:tcPr>
            <w:tcW w:type="dxa" w:w="2520"/>
            <w:tcMar>
              <w:top w:w="80" w:type="dxa"/>
              <w:start w:w="110" w:type="dxa"/>
              <w:bottom w:w="80" w:type="dxa"/>
              <w:end w:w="110" w:type="dxa"/>
            </w:tcMar>
            <w:vAlign w:val="center"/>
          </w:tcPr>
          <w:p>
            <w:r>
              <w:rPr>
                <w:sz w:val="16"/>
              </w:rPr>
              <w:t>Backend + Frontend</w:t>
            </w:r>
          </w:p>
        </w:tc>
        <w:tc>
          <w:tcPr>
            <w:tcW w:type="dxa" w:w="2520"/>
            <w:tcMar>
              <w:top w:w="80" w:type="dxa"/>
              <w:start w:w="110" w:type="dxa"/>
              <w:bottom w:w="80" w:type="dxa"/>
              <w:end w:w="110" w:type="dxa"/>
            </w:tcMar>
            <w:vAlign w:val="center"/>
          </w:tcPr>
          <w:p>
            <w:r>
              <w:rPr>
                <w:sz w:val="16"/>
              </w:rPr>
              <w:t>Environment URLs, secrets path, deployment and observability conventions</w:t>
            </w:r>
          </w:p>
        </w:tc>
        <w:tc>
          <w:tcPr>
            <w:tcW w:type="dxa" w:w="2520"/>
            <w:tcMar>
              <w:top w:w="80" w:type="dxa"/>
              <w:start w:w="110" w:type="dxa"/>
              <w:bottom w:w="80" w:type="dxa"/>
              <w:end w:w="110" w:type="dxa"/>
            </w:tcMar>
            <w:vAlign w:val="center"/>
          </w:tcPr>
          <w:p>
            <w:r>
              <w:rPr>
                <w:sz w:val="16"/>
              </w:rPr>
              <w:t>No silent environment assumptions inside app code.</w:t>
            </w:r>
          </w:p>
        </w:tc>
      </w:tr>
      <w:tr>
        <w:tc>
          <w:tcPr>
            <w:tcW w:type="dxa" w:w="2520"/>
            <w:shd w:fill="EAF2F8"/>
            <w:tcMar>
              <w:top w:w="80" w:type="dxa"/>
              <w:start w:w="110" w:type="dxa"/>
              <w:bottom w:w="80" w:type="dxa"/>
              <w:end w:w="110" w:type="dxa"/>
            </w:tcMar>
            <w:vAlign w:val="center"/>
          </w:tcPr>
          <w:p>
            <w:r>
              <w:rPr>
                <w:b/>
                <w:color w:val="1F4E79"/>
                <w:sz w:val="16"/>
              </w:rPr>
              <w:t>Backend</w:t>
            </w:r>
          </w:p>
        </w:tc>
        <w:tc>
          <w:tcPr>
            <w:tcW w:type="dxa" w:w="2520"/>
            <w:tcMar>
              <w:top w:w="80" w:type="dxa"/>
              <w:start w:w="110" w:type="dxa"/>
              <w:bottom w:w="80" w:type="dxa"/>
              <w:end w:w="110" w:type="dxa"/>
            </w:tcMar>
            <w:vAlign w:val="center"/>
          </w:tcPr>
          <w:p>
            <w:r>
              <w:rPr>
                <w:sz w:val="16"/>
              </w:rPr>
              <w:t>DevOps</w:t>
            </w:r>
          </w:p>
        </w:tc>
        <w:tc>
          <w:tcPr>
            <w:tcW w:type="dxa" w:w="2520"/>
            <w:tcMar>
              <w:top w:w="80" w:type="dxa"/>
              <w:start w:w="110" w:type="dxa"/>
              <w:bottom w:w="80" w:type="dxa"/>
              <w:end w:w="110" w:type="dxa"/>
            </w:tcMar>
            <w:vAlign w:val="center"/>
          </w:tcPr>
          <w:p>
            <w:r>
              <w:rPr>
                <w:sz w:val="16"/>
              </w:rPr>
              <w:t>Service runtime requirements</w:t>
            </w:r>
          </w:p>
        </w:tc>
        <w:tc>
          <w:tcPr>
            <w:tcW w:type="dxa" w:w="2520"/>
            <w:tcMar>
              <w:top w:w="80" w:type="dxa"/>
              <w:start w:w="110" w:type="dxa"/>
              <w:bottom w:w="80" w:type="dxa"/>
              <w:end w:w="110" w:type="dxa"/>
            </w:tcMar>
            <w:vAlign w:val="center"/>
          </w:tcPr>
          <w:p>
            <w:r>
              <w:rPr>
                <w:sz w:val="16"/>
              </w:rPr>
              <w:t>CPU/memory, ports, probes, and scaling behavior must be documented before deployment.</w:t>
            </w:r>
          </w:p>
        </w:tc>
      </w:tr>
      <w:tr>
        <w:tc>
          <w:tcPr>
            <w:tcW w:type="dxa" w:w="2520"/>
            <w:shd w:fill="EAF2F8"/>
            <w:tcMar>
              <w:top w:w="80" w:type="dxa"/>
              <w:start w:w="110" w:type="dxa"/>
              <w:bottom w:w="80" w:type="dxa"/>
              <w:end w:w="110" w:type="dxa"/>
            </w:tcMar>
            <w:vAlign w:val="center"/>
          </w:tcPr>
          <w:p>
            <w:r>
              <w:rPr>
                <w:b/>
                <w:color w:val="1F4E79"/>
                <w:sz w:val="16"/>
              </w:rPr>
              <w:t>All teams</w:t>
            </w:r>
          </w:p>
        </w:tc>
        <w:tc>
          <w:tcPr>
            <w:tcW w:type="dxa" w:w="2520"/>
            <w:tcMar>
              <w:top w:w="80" w:type="dxa"/>
              <w:start w:w="110" w:type="dxa"/>
              <w:bottom w:w="80" w:type="dxa"/>
              <w:end w:w="110" w:type="dxa"/>
            </w:tcMar>
            <w:vAlign w:val="center"/>
          </w:tcPr>
          <w:p>
            <w:r>
              <w:rPr>
                <w:sz w:val="16"/>
              </w:rPr>
              <w:t>Governance</w:t>
            </w:r>
          </w:p>
        </w:tc>
        <w:tc>
          <w:tcPr>
            <w:tcW w:type="dxa" w:w="2520"/>
            <w:tcMar>
              <w:top w:w="80" w:type="dxa"/>
              <w:start w:w="110" w:type="dxa"/>
              <w:bottom w:w="80" w:type="dxa"/>
              <w:end w:w="110" w:type="dxa"/>
            </w:tcMar>
            <w:vAlign w:val="center"/>
          </w:tcPr>
          <w:p>
            <w:r>
              <w:rPr>
                <w:sz w:val="16"/>
              </w:rPr>
              <w:t>Release candidate packet</w:t>
            </w:r>
          </w:p>
        </w:tc>
        <w:tc>
          <w:tcPr>
            <w:tcW w:type="dxa" w:w="2520"/>
            <w:tcMar>
              <w:top w:w="80" w:type="dxa"/>
              <w:start w:w="110" w:type="dxa"/>
              <w:bottom w:w="80" w:type="dxa"/>
              <w:end w:w="110" w:type="dxa"/>
            </w:tcMar>
            <w:vAlign w:val="center"/>
          </w:tcPr>
          <w:p>
            <w:r>
              <w:rPr>
                <w:sz w:val="16"/>
              </w:rPr>
              <w:t>No production release without a complete approval packet.</w:t>
            </w:r>
          </w:p>
        </w:tc>
      </w:tr>
    </w:tbl>
    <w:p/>
    <w:p>
      <w:pPr>
        <w:pStyle w:val="HeadingBlue"/>
      </w:pPr>
      <w:r>
        <w:t>10. Team-level review cadence</w:t>
      </w:r>
    </w:p>
    <w:p>
      <w:pPr>
        <w:spacing w:after="20"/>
        <w:ind w:left="259" w:hanging="173"/>
      </w:pPr>
      <w:r>
        <w:rPr>
          <w:sz w:val="20"/>
        </w:rPr>
        <w:t>• Daily: team standups focused on blockers, dependencies, and contract drift.</w:t>
      </w:r>
    </w:p>
    <w:p>
      <w:pPr>
        <w:spacing w:after="20"/>
        <w:ind w:left="259" w:hanging="173"/>
      </w:pPr>
      <w:r>
        <w:rPr>
          <w:sz w:val="20"/>
        </w:rPr>
        <w:t>• Twice weekly: cross-team integration sync involving Backend, Frontend, ML, DevOps, and Governance leads.</w:t>
      </w:r>
    </w:p>
    <w:p>
      <w:pPr>
        <w:spacing w:after="20"/>
        <w:ind w:left="259" w:hanging="173"/>
      </w:pPr>
      <w:r>
        <w:rPr>
          <w:sz w:val="20"/>
        </w:rPr>
        <w:t>• Weekly: architecture and product review focused on the current vertical slice.</w:t>
      </w:r>
    </w:p>
    <w:p>
      <w:pPr>
        <w:spacing w:after="20"/>
        <w:ind w:left="259" w:hanging="173"/>
      </w:pPr>
      <w:r>
        <w:rPr>
          <w:sz w:val="20"/>
        </w:rPr>
        <w:t>• Per sprint: demo, risk review, acceptance check, and next-sprint dependency confirmation.</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936"/>
      </w:tblGrid>
      <w:tr>
        <w:tc>
          <w:tcPr>
            <w:tcW w:type="dxa" w:w="10080"/>
            <w:shd w:fill="FFF2CC"/>
            <w:tcMar>
              <w:top w:w="90" w:type="dxa"/>
              <w:start w:w="120" w:type="dxa"/>
              <w:bottom w:w="90" w:type="dxa"/>
              <w:end w:w="120" w:type="dxa"/>
            </w:tcMar>
          </w:tcPr>
          <w:p>
            <w:r>
              <w:rPr>
                <w:b/>
                <w:color w:val="1F4E79"/>
                <w:sz w:val="20"/>
              </w:rPr>
              <w:t>Best execution rule</w:t>
              <w:br/>
            </w:r>
            <w:r>
              <w:rPr>
                <w:sz w:val="18"/>
              </w:rPr>
              <w:t>Do not let teams operate as parallel silos. This project only moves quickly when contracts, telemetry, release controls, and evidence are shared operating mechanisms across every team.</w:t>
            </w:r>
          </w:p>
        </w:tc>
      </w:tr>
    </w:tbl>
    <w:p/>
    <w:p>
      <w:pPr>
        <w:pStyle w:val="HeadingBlue"/>
      </w:pPr>
      <w:r>
        <w:t>11. Team-by-team definition of done summary</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304"/>
        <w:gridCol w:w="7488"/>
      </w:tblGrid>
      <w:tr>
        <w:tc>
          <w:tcPr>
            <w:tcW w:type="dxa" w:w="5040"/>
            <w:shd w:fill="1F4E79"/>
            <w:tcMar>
              <w:top w:w="80" w:type="dxa"/>
              <w:start w:w="110" w:type="dxa"/>
              <w:bottom w:w="80" w:type="dxa"/>
              <w:end w:w="110" w:type="dxa"/>
            </w:tcMar>
          </w:tcPr>
          <w:p>
            <w:pPr>
              <w:jc w:val="center"/>
            </w:pPr>
            <w:r>
              <w:rPr>
                <w:b/>
                <w:color w:val="FFFFFF"/>
                <w:sz w:val="17"/>
              </w:rPr>
              <w:t>Team</w:t>
            </w:r>
          </w:p>
        </w:tc>
        <w:tc>
          <w:tcPr>
            <w:tcW w:type="dxa" w:w="5040"/>
            <w:shd w:fill="1F4E79"/>
            <w:tcMar>
              <w:top w:w="80" w:type="dxa"/>
              <w:start w:w="110" w:type="dxa"/>
              <w:bottom w:w="80" w:type="dxa"/>
              <w:end w:w="110" w:type="dxa"/>
            </w:tcMar>
          </w:tcPr>
          <w:p>
            <w:pPr>
              <w:jc w:val="center"/>
            </w:pPr>
            <w:r>
              <w:rPr>
                <w:b/>
                <w:color w:val="FFFFFF"/>
                <w:sz w:val="17"/>
              </w:rPr>
              <w:t>Done means…</w:t>
            </w:r>
          </w:p>
        </w:tc>
      </w:tr>
      <w:tr>
        <w:tc>
          <w:tcPr>
            <w:tcW w:type="dxa" w:w="5040"/>
            <w:shd w:fill="EAF2F8"/>
            <w:tcMar>
              <w:top w:w="80" w:type="dxa"/>
              <w:start w:w="110" w:type="dxa"/>
              <w:bottom w:w="80" w:type="dxa"/>
              <w:end w:w="110" w:type="dxa"/>
            </w:tcMar>
            <w:vAlign w:val="center"/>
          </w:tcPr>
          <w:p>
            <w:r>
              <w:rPr>
                <w:b/>
                <w:color w:val="1F4E79"/>
                <w:sz w:val="16"/>
              </w:rPr>
              <w:t>Backend / Platform</w:t>
            </w:r>
          </w:p>
        </w:tc>
        <w:tc>
          <w:tcPr>
            <w:tcW w:type="dxa" w:w="5040"/>
            <w:tcMar>
              <w:top w:w="80" w:type="dxa"/>
              <w:start w:w="110" w:type="dxa"/>
              <w:bottom w:w="80" w:type="dxa"/>
              <w:end w:w="110" w:type="dxa"/>
            </w:tcMar>
            <w:vAlign w:val="center"/>
          </w:tcPr>
          <w:p>
            <w:r>
              <w:rPr>
                <w:sz w:val="16"/>
              </w:rPr>
              <w:t>Code merged, contracts stable, tests passing, telemetry present, audit/path behavior documented.</w:t>
            </w:r>
          </w:p>
        </w:tc>
      </w:tr>
      <w:tr>
        <w:tc>
          <w:tcPr>
            <w:tcW w:type="dxa" w:w="5040"/>
            <w:shd w:fill="EAF2F8"/>
            <w:tcMar>
              <w:top w:w="80" w:type="dxa"/>
              <w:start w:w="110" w:type="dxa"/>
              <w:bottom w:w="80" w:type="dxa"/>
              <w:end w:w="110" w:type="dxa"/>
            </w:tcMar>
            <w:vAlign w:val="center"/>
          </w:tcPr>
          <w:p>
            <w:r>
              <w:rPr>
                <w:b/>
                <w:color w:val="1F4E79"/>
                <w:sz w:val="16"/>
              </w:rPr>
              <w:t>Frontend / Product</w:t>
            </w:r>
          </w:p>
        </w:tc>
        <w:tc>
          <w:tcPr>
            <w:tcW w:type="dxa" w:w="5040"/>
            <w:tcMar>
              <w:top w:w="80" w:type="dxa"/>
              <w:start w:w="110" w:type="dxa"/>
              <w:bottom w:w="80" w:type="dxa"/>
              <w:end w:w="110" w:type="dxa"/>
            </w:tcMar>
            <w:vAlign w:val="center"/>
          </w:tcPr>
          <w:p>
            <w:r>
              <w:rPr>
                <w:sz w:val="16"/>
              </w:rPr>
              <w:t>Integrated screens work against documented contracts, support required states, and follow design system rules.</w:t>
            </w:r>
          </w:p>
        </w:tc>
      </w:tr>
      <w:tr>
        <w:tc>
          <w:tcPr>
            <w:tcW w:type="dxa" w:w="5040"/>
            <w:shd w:fill="EAF2F8"/>
            <w:tcMar>
              <w:top w:w="80" w:type="dxa"/>
              <w:start w:w="110" w:type="dxa"/>
              <w:bottom w:w="80" w:type="dxa"/>
              <w:end w:w="110" w:type="dxa"/>
            </w:tcMar>
            <w:vAlign w:val="center"/>
          </w:tcPr>
          <w:p>
            <w:r>
              <w:rPr>
                <w:b/>
                <w:color w:val="1F4E79"/>
                <w:sz w:val="16"/>
              </w:rPr>
              <w:t>ML / AI</w:t>
            </w:r>
          </w:p>
        </w:tc>
        <w:tc>
          <w:tcPr>
            <w:tcW w:type="dxa" w:w="5040"/>
            <w:tcMar>
              <w:top w:w="80" w:type="dxa"/>
              <w:start w:w="110" w:type="dxa"/>
              <w:bottom w:w="80" w:type="dxa"/>
              <w:end w:w="110" w:type="dxa"/>
            </w:tcMar>
            <w:vAlign w:val="center"/>
          </w:tcPr>
          <w:p>
            <w:r>
              <w:rPr>
                <w:sz w:val="16"/>
              </w:rPr>
              <w:t>Outputs are benchmarked, explainable, and linked to evaluation evidence or retrieval provenance.</w:t>
            </w:r>
          </w:p>
        </w:tc>
      </w:tr>
      <w:tr>
        <w:tc>
          <w:tcPr>
            <w:tcW w:type="dxa" w:w="5040"/>
            <w:shd w:fill="EAF2F8"/>
            <w:tcMar>
              <w:top w:w="80" w:type="dxa"/>
              <w:start w:w="110" w:type="dxa"/>
              <w:bottom w:w="80" w:type="dxa"/>
              <w:end w:w="110" w:type="dxa"/>
            </w:tcMar>
            <w:vAlign w:val="center"/>
          </w:tcPr>
          <w:p>
            <w:r>
              <w:rPr>
                <w:b/>
                <w:color w:val="1F4E79"/>
                <w:sz w:val="16"/>
              </w:rPr>
              <w:t>DevOps / SRE</w:t>
            </w:r>
          </w:p>
        </w:tc>
        <w:tc>
          <w:tcPr>
            <w:tcW w:type="dxa" w:w="5040"/>
            <w:tcMar>
              <w:top w:w="80" w:type="dxa"/>
              <w:start w:w="110" w:type="dxa"/>
              <w:bottom w:w="80" w:type="dxa"/>
              <w:end w:w="110" w:type="dxa"/>
            </w:tcMar>
            <w:vAlign w:val="center"/>
          </w:tcPr>
          <w:p>
            <w:r>
              <w:rPr>
                <w:sz w:val="16"/>
              </w:rPr>
              <w:t>Deployments are reproducible, rollback is proven, alerts work, and operational runbooks exist.</w:t>
            </w:r>
          </w:p>
        </w:tc>
      </w:tr>
      <w:tr>
        <w:tc>
          <w:tcPr>
            <w:tcW w:type="dxa" w:w="5040"/>
            <w:shd w:fill="EAF2F8"/>
            <w:tcMar>
              <w:top w:w="80" w:type="dxa"/>
              <w:start w:w="110" w:type="dxa"/>
              <w:bottom w:w="80" w:type="dxa"/>
              <w:end w:w="110" w:type="dxa"/>
            </w:tcMar>
            <w:vAlign w:val="center"/>
          </w:tcPr>
          <w:p>
            <w:r>
              <w:rPr>
                <w:b/>
                <w:color w:val="1F4E79"/>
                <w:sz w:val="16"/>
              </w:rPr>
              <w:t>Governance / Security</w:t>
            </w:r>
          </w:p>
        </w:tc>
        <w:tc>
          <w:tcPr>
            <w:tcW w:type="dxa" w:w="5040"/>
            <w:tcMar>
              <w:top w:w="80" w:type="dxa"/>
              <w:start w:w="110" w:type="dxa"/>
              <w:bottom w:w="80" w:type="dxa"/>
              <w:end w:w="110" w:type="dxa"/>
            </w:tcMar>
            <w:vAlign w:val="center"/>
          </w:tcPr>
          <w:p>
            <w:r>
              <w:rPr>
                <w:sz w:val="16"/>
              </w:rPr>
              <w:t>Control requirements are encoded, testable, and visible in policy, approval, and audit layers.</w:t>
            </w:r>
          </w:p>
        </w:tc>
      </w:tr>
    </w:tbl>
    <w:p/>
    <w:p>
      <w:pPr>
        <w:pStyle w:val="HeadingBlue"/>
      </w:pPr>
      <w:r>
        <w:t>12. Final recommendation</w:t>
      </w:r>
    </w:p>
    <w:p>
      <w:r>
        <w:t>Use this implementation pack as the team-level command layer beneath the execution manuals. The manuals explain the project and the phase-by-phase sequence; this document tells each team exactly how to participate without ambiguity. If the project keeps these ownership boundaries and handoff rules intact, it will move faster and with far less rework.</w:t>
      </w:r>
    </w:p>
    <w:sectPr w:rsidR="00FC693F" w:rsidRPr="0006063C" w:rsidSect="00034616">
      <w:footerReference w:type="default" r:id="rId9"/>
      <w:pgSz w:w="12240" w:h="15840"/>
      <w:pgMar w:top="936" w:right="1080" w:bottom="864"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before="0" w:after="80"/>
    </w:pPr>
    <w:rPr>
      <w:rFonts w:ascii="Aptos Display" w:hAnsi="Aptos Display"/>
      <w:b/>
      <w:color w:val="1F4E79"/>
      <w:sz w:val="44"/>
    </w:rPr>
  </w:style>
  <w:style w:type="paragraph" w:customStyle="1" w:styleId="SubtitleCustom">
    <w:name w:val="SubtitleCustom"/>
    <w:basedOn w:val="Normal"/>
    <w:pPr>
      <w:spacing w:before="0" w:after="160"/>
    </w:pPr>
    <w:rPr>
      <w:rFonts w:ascii="Aptos" w:hAnsi="Aptos"/>
      <w:b w:val="0"/>
      <w:color w:val="5C5C5C"/>
      <w:sz w:val="21"/>
    </w:rPr>
  </w:style>
  <w:style w:type="paragraph" w:customStyle="1" w:styleId="HeadingBlue">
    <w:name w:val="HeadingBlue"/>
    <w:basedOn w:val="Heading1"/>
    <w:pPr>
      <w:spacing w:before="160" w:after="80"/>
    </w:pPr>
    <w:rPr>
      <w:rFonts w:ascii="Aptos Display" w:hAnsi="Aptos Display"/>
      <w:b/>
      <w:color w:val="1F4E79"/>
      <w:sz w:val="29"/>
    </w:rPr>
  </w:style>
  <w:style w:type="paragraph" w:customStyle="1" w:styleId="HeadingBlue2">
    <w:name w:val="HeadingBlue2"/>
    <w:basedOn w:val="Heading2"/>
    <w:pPr>
      <w:spacing w:before="100" w:after="40"/>
    </w:pPr>
    <w:rPr>
      <w:rFonts w:ascii="Aptos Display" w:hAnsi="Aptos Display"/>
      <w:b/>
      <w:color w:val="1F4E79"/>
      <w:sz w:val="23"/>
    </w:rPr>
  </w:style>
  <w:style w:type="paragraph" w:customStyle="1" w:styleId="SmallText">
    <w:name w:val="SmallText"/>
    <w:basedOn w:val="Normal"/>
    <w:pPr>
      <w:spacing w:before="0" w:after="40"/>
    </w:pPr>
    <w:rPr>
      <w:rFonts w:ascii="Aptos" w:hAnsi="Aptos"/>
      <w:b w:val="0"/>
      <w:color w:val="5C5C5C"/>
      <w:sz w:val="17"/>
    </w:rPr>
  </w:style>
  <w:style w:type="paragraph" w:customStyle="1" w:styleId="Callout">
    <w:name w:val="Callout"/>
    <w:basedOn w:val="Normal"/>
    <w:pPr>
      <w:spacing w:before="0" w:after="40"/>
    </w:pPr>
    <w:rPr>
      <w:rFonts w:ascii="Aptos" w:hAnsi="Aptos"/>
      <w:b w:val="0"/>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