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t>Agent Architect Pro v8.1 — One-Page Architecture Table</w:t>
      </w:r>
    </w:p>
    <w:p>
      <w:pPr>
        <w:pStyle w:val="SubtitleCustom"/>
      </w:pPr>
      <w:r>
        <w:t>Operating view for the recommended production architecture: six planes, core services, contracts, and hard engineering rules.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4400"/>
            <w:shd w:fill="D9EAF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pStyle w:val="Callout"/>
            </w:pPr>
            <w:r>
              <w:rPr>
                <w:b/>
                <w:color w:val="1F4E79"/>
              </w:rPr>
              <w:t>Executive stance: keep the online path boring and reliable; move simulation, search, and self-improvement into a gated offline improvement plane.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584"/>
        <w:gridCol w:w="3096"/>
        <w:gridCol w:w="4536"/>
        <w:gridCol w:w="3168"/>
        <w:gridCol w:w="3168"/>
      </w:tblGrid>
      <w:tr>
        <w:trPr>
          <w:tblHeader w:val="true"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Plane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Core services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Primary responsibility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Key contracts / data objects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Non-negotiable rules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1F4E79"/>
                <w:sz w:val="16"/>
              </w:rPr>
              <w:t>Ingress &amp; Control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API Gateway</w:t>
            </w:r>
            <w:r>
              <w:br/>
            </w:r>
            <w:r>
              <w:rPr>
                <w:b/>
                <w:sz w:val="16"/>
              </w:rPr>
              <w:t>Auth Service</w:t>
            </w:r>
            <w:r>
              <w:br/>
            </w:r>
            <w:r>
              <w:rPr>
                <w:b/>
                <w:sz w:val="16"/>
              </w:rPr>
              <w:t>Supervisor</w:t>
            </w:r>
            <w:r>
              <w:br/>
            </w:r>
            <w:r>
              <w:rPr>
                <w:b/>
                <w:sz w:val="16"/>
              </w:rPr>
              <w:t>Planner</w:t>
            </w:r>
            <w:r>
              <w:br/>
            </w:r>
            <w:r>
              <w:rPr>
                <w:b/>
                <w:sz w:val="16"/>
              </w:rPr>
              <w:t>Release Manager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Accept requests, authenticate, create run state, compile the goal into a task DAG, enforce budgets, retries, approvals, and release policy.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RunSpec</w:t>
            </w:r>
            <w:r>
              <w:br/>
            </w:r>
            <w:r>
              <w:rPr>
                <w:sz w:val="16"/>
              </w:rPr>
              <w:t>PlanSpec</w:t>
            </w:r>
            <w:r>
              <w:br/>
            </w:r>
            <w:r>
              <w:rPr>
                <w:sz w:val="16"/>
              </w:rPr>
              <w:t>ExecutionBudget</w:t>
            </w:r>
            <w:r>
              <w:br/>
            </w:r>
            <w:r>
              <w:rPr>
                <w:sz w:val="16"/>
              </w:rPr>
              <w:t>RunStatus events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Supervisor owns lifecycle only. Planner owns decomposition only. No direct worker dispatch from Supervisor.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1F4E79"/>
                <w:sz w:val="16"/>
              </w:rPr>
              <w:t>Execution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Swarm Orchestrator</w:t>
            </w:r>
            <w:r>
              <w:br/>
            </w:r>
            <w:r>
              <w:rPr>
                <w:b/>
                <w:sz w:val="16"/>
              </w:rPr>
              <w:t>Runtime Manager</w:t>
            </w:r>
            <w:r>
              <w:br/>
            </w:r>
            <w:r>
              <w:rPr>
                <w:b/>
                <w:sz w:val="16"/>
              </w:rPr>
              <w:t>Sandbox Executor</w:t>
            </w:r>
            <w:r>
              <w:br/>
            </w:r>
            <w:r>
              <w:rPr>
                <w:b/>
                <w:sz w:val="16"/>
              </w:rPr>
              <w:t>Tool Broker</w:t>
            </w:r>
            <w:r>
              <w:br/>
            </w:r>
            <w:r>
              <w:rPr>
                <w:b/>
                <w:sz w:val="16"/>
              </w:rPr>
              <w:t>Policy Enforcer</w:t>
            </w:r>
            <w:r>
              <w:br/>
            </w:r>
            <w:r>
              <w:rPr>
                <w:b/>
                <w:sz w:val="16"/>
              </w:rPr>
              <w:t>Result Aggregator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Queue runnable tasks, place work on workers, execute inside a sandbox, mediate tool access, checkpoint state, and merge results.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TaskSpec</w:t>
            </w:r>
            <w:r>
              <w:br/>
            </w:r>
            <w:r>
              <w:rPr>
                <w:sz w:val="16"/>
              </w:rPr>
              <w:t>TaskResult</w:t>
            </w:r>
            <w:r>
              <w:br/>
            </w:r>
            <w:r>
              <w:rPr>
                <w:sz w:val="16"/>
              </w:rPr>
              <w:t>ToolGrant</w:t>
            </w:r>
            <w:r>
              <w:br/>
            </w:r>
            <w:r>
              <w:rPr>
                <w:sz w:val="16"/>
              </w:rPr>
              <w:t>WorkerHeartbeat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Every external action goes through the Tool Broker. Runtime workers stay thin and stateless where possible.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1F4E79"/>
                <w:sz w:val="16"/>
              </w:rPr>
              <w:t>Knowledge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Retrieval Service</w:t>
            </w:r>
            <w:r>
              <w:br/>
            </w:r>
            <w:r>
              <w:rPr>
                <w:b/>
                <w:sz w:val="16"/>
              </w:rPr>
              <w:t>Episodic Memory Service</w:t>
            </w:r>
            <w:r>
              <w:br/>
            </w:r>
            <w:r>
              <w:rPr>
                <w:b/>
                <w:sz w:val="16"/>
              </w:rPr>
              <w:t>Vector Index</w:t>
            </w:r>
            <w:r>
              <w:br/>
            </w:r>
            <w:r>
              <w:rPr>
                <w:b/>
                <w:sz w:val="16"/>
              </w:rPr>
              <w:t>Artifact Catalog</w:t>
            </w:r>
            <w:r>
              <w:br/>
            </w:r>
            <w:r>
              <w:rPr>
                <w:b/>
                <w:sz w:val="16"/>
              </w:rPr>
              <w:t>Knowledge DB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Provide semantic retrieval, reusable run summaries, indexed artifacts, and authoritative stored state for plans, runs, and outputs.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RetrievalRequest</w:t>
            </w:r>
            <w:r>
              <w:br/>
            </w:r>
            <w:r>
              <w:rPr>
                <w:sz w:val="16"/>
              </w:rPr>
              <w:t>EpisodeSummary</w:t>
            </w:r>
            <w:r>
              <w:br/>
            </w:r>
            <w:r>
              <w:rPr>
                <w:sz w:val="16"/>
              </w:rPr>
              <w:t>ArtifactManifest</w:t>
            </w:r>
            <w:r>
              <w:br/>
            </w:r>
            <w:r>
              <w:rPr>
                <w:sz w:val="16"/>
              </w:rPr>
              <w:t>SourceRecord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RAG owns semantic memory only. Runtime scratchpad is not the system of record.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1F4E79"/>
                <w:sz w:val="16"/>
              </w:rPr>
              <w:t>Trust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Identity Registry</w:t>
            </w:r>
            <w:r>
              <w:br/>
            </w:r>
            <w:r>
              <w:rPr>
                <w:b/>
                <w:sz w:val="16"/>
              </w:rPr>
              <w:t>Token Service</w:t>
            </w:r>
            <w:r>
              <w:br/>
            </w:r>
            <w:r>
              <w:rPr>
                <w:b/>
                <w:sz w:val="16"/>
              </w:rPr>
              <w:t>Audit Ledger</w:t>
            </w:r>
            <w:r>
              <w:br/>
            </w:r>
            <w:r>
              <w:rPr>
                <w:b/>
                <w:sz w:val="16"/>
              </w:rPr>
              <w:t>Artifact Signer</w:t>
            </w:r>
            <w:r>
              <w:br/>
            </w:r>
            <w:r>
              <w:rPr>
                <w:b/>
                <w:sz w:val="16"/>
              </w:rPr>
              <w:t>Policy Store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Issue workload identity, authorize actions, maintain tamper-evident audit streams, and sign deployable artifacts and policies.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AgentVersion</w:t>
            </w:r>
            <w:r>
              <w:br/>
            </w:r>
            <w:r>
              <w:rPr>
                <w:sz w:val="16"/>
              </w:rPr>
              <w:t>RuntimeToken</w:t>
            </w:r>
            <w:r>
              <w:br/>
            </w:r>
            <w:r>
              <w:rPr>
                <w:sz w:val="16"/>
              </w:rPr>
              <w:t>AuditEvent</w:t>
            </w:r>
            <w:r>
              <w:br/>
            </w:r>
            <w:r>
              <w:rPr>
                <w:sz w:val="16"/>
              </w:rPr>
              <w:t>SignedArtifact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Use Postgres + append-only audit + signatures in v1; do not make blockchain a hot-path dependency.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1F4E79"/>
                <w:sz w:val="16"/>
              </w:rPr>
              <w:t>Improvement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Evaluation Service</w:t>
            </w:r>
            <w:r>
              <w:br/>
            </w:r>
            <w:r>
              <w:rPr>
                <w:b/>
                <w:sz w:val="16"/>
              </w:rPr>
              <w:t>Simulation Service</w:t>
            </w:r>
            <w:r>
              <w:br/>
            </w:r>
            <w:r>
              <w:rPr>
                <w:b/>
                <w:sz w:val="16"/>
              </w:rPr>
              <w:t>Replay Service</w:t>
            </w:r>
            <w:r>
              <w:br/>
            </w:r>
            <w:r>
              <w:rPr>
                <w:b/>
                <w:sz w:val="16"/>
              </w:rPr>
              <w:t>Experimentation</w:t>
            </w:r>
            <w:r>
              <w:br/>
            </w:r>
            <w:r>
              <w:rPr>
                <w:b/>
                <w:sz w:val="16"/>
              </w:rPr>
              <w:t>Meta-Learning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Run offline benchmarks, replay historical traffic, stress candidate designs, and generate evidence for release decisions.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EvaluationReport</w:t>
            </w:r>
            <w:r>
              <w:br/>
            </w:r>
            <w:r>
              <w:rPr>
                <w:sz w:val="16"/>
              </w:rPr>
              <w:t>ScenarioPack</w:t>
            </w:r>
            <w:r>
              <w:br/>
            </w:r>
            <w:r>
              <w:rPr>
                <w:sz w:val="16"/>
              </w:rPr>
              <w:t>ReplayDiff</w:t>
            </w:r>
            <w:r>
              <w:br/>
            </w:r>
            <w:r>
              <w:rPr>
                <w:sz w:val="16"/>
              </w:rPr>
              <w:t>CandidateArtifact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No experiment ships directly to production. Every candidate must earn a canary through evaluation.</w:t>
            </w:r>
          </w:p>
        </w:tc>
      </w:tr>
      <w:t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1F4E79"/>
                <w:sz w:val="16"/>
              </w:rPr>
              <w:t>Operations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Metrics Pipeline</w:t>
            </w:r>
            <w:r>
              <w:br/>
            </w:r>
            <w:r>
              <w:rPr>
                <w:b/>
                <w:sz w:val="16"/>
              </w:rPr>
              <w:t>Log Pipeline</w:t>
            </w:r>
            <w:r>
              <w:br/>
            </w:r>
            <w:r>
              <w:rPr>
                <w:b/>
                <w:sz w:val="16"/>
              </w:rPr>
              <w:t>Trace Pipeline</w:t>
            </w:r>
            <w:r>
              <w:br/>
            </w:r>
            <w:r>
              <w:rPr>
                <w:b/>
                <w:sz w:val="16"/>
              </w:rPr>
              <w:t>Alert Manager</w:t>
            </w:r>
            <w:r>
              <w:br/>
            </w:r>
            <w:r>
              <w:rPr>
                <w:b/>
                <w:sz w:val="16"/>
              </w:rPr>
              <w:t>Executive Dashboard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Observe latency, failures, cost, model usage, tool reliability, policy violations, and release health across all planes.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MetricsSeries</w:t>
            </w:r>
            <w:r>
              <w:br/>
            </w:r>
            <w:r>
              <w:rPr>
                <w:sz w:val="16"/>
              </w:rPr>
              <w:t>StructuredLogs</w:t>
            </w:r>
            <w:r>
              <w:br/>
            </w:r>
            <w:r>
              <w:rPr>
                <w:sz w:val="16"/>
              </w:rPr>
              <w:t>Trace spans</w:t>
            </w:r>
            <w:r>
              <w:br/>
            </w:r>
            <w:r>
              <w:rPr>
                <w:sz w:val="16"/>
              </w:rPr>
              <w:t>SLO/SLA dashboards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Trace IDs must flow end-to-end. No unaudited tool call or unsigned deployment.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48" w:right="720" w:bottom="648" w:left="720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ext"/>
      <w:jc w:val="right"/>
    </w:pPr>
    <w:r>
      <w:t xml:space="preserve">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after="80"/>
    </w:pPr>
    <w:rPr>
      <w:rFonts w:ascii="Aptos Display" w:hAnsi="Aptos Display"/>
      <w:b/>
      <w:color w:val="1F4E79"/>
      <w:sz w:val="44"/>
    </w:rPr>
  </w:style>
  <w:style w:type="paragraph" w:customStyle="1" w:styleId="SubtitleCustom">
    <w:name w:val="SubtitleCustom"/>
    <w:basedOn w:val="Normal"/>
    <w:pPr>
      <w:spacing w:after="120"/>
    </w:pPr>
    <w:rPr>
      <w:color w:val="5C5C5C"/>
      <w:sz w:val="20"/>
    </w:rPr>
  </w:style>
  <w:style w:type="paragraph" w:customStyle="1" w:styleId="HeadingBlue">
    <w:name w:val="HeadingBlue"/>
    <w:basedOn w:val="Heading1"/>
    <w:pPr>
      <w:spacing w:before="160" w:after="80"/>
    </w:pPr>
    <w:rPr>
      <w:rFonts w:ascii="Aptos Display" w:hAnsi="Aptos Display"/>
      <w:b/>
      <w:color w:val="1F4E79"/>
      <w:sz w:val="28"/>
    </w:rPr>
  </w:style>
  <w:style w:type="paragraph" w:customStyle="1" w:styleId="HeadingBlue2">
    <w:name w:val="HeadingBlue2"/>
    <w:basedOn w:val="Heading2"/>
    <w:pPr>
      <w:spacing w:before="100" w:after="40"/>
    </w:pPr>
    <w:rPr>
      <w:rFonts w:ascii="Aptos Display" w:hAnsi="Aptos Display"/>
      <w:b/>
      <w:color w:val="1F4E79"/>
      <w:sz w:val="23"/>
    </w:rPr>
  </w:style>
  <w:style w:type="paragraph" w:customStyle="1" w:styleId="SmallText">
    <w:name w:val="SmallText"/>
    <w:basedOn w:val="Normal"/>
    <w:pPr>
      <w:spacing w:after="40"/>
    </w:pPr>
    <w:rPr>
      <w:color w:val="5C5C5C"/>
      <w:sz w:val="17"/>
    </w:rPr>
  </w:style>
  <w:style w:type="paragraph" w:customStyle="1" w:styleId="Callout">
    <w:name w:val="Callout"/>
    <w:basedOn w:val="Normal"/>
    <w:pPr>
      <w:spacing w:before="40" w:after="40"/>
      <w:ind w:left="115" w:right="115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