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65DBC8">
      <w:pPr>
        <w:pStyle w:val="style0"/>
        <w:spacing w:lineRule="auto" w:line="360"/>
        <w:jc w:val="center"/>
        <w:rPr>
          <w:b/>
          <w:bCs/>
          <w:sz w:val="40"/>
          <w:szCs w:val="40"/>
        </w:rPr>
      </w:pPr>
      <w:r>
        <w:rPr>
          <w:rFonts w:ascii="Times New Roman" w:hAnsi="Times New Roman"/>
          <w:b/>
          <w:sz w:val="36"/>
        </w:rPr>
        <w:t>ACADEMIC INTELLIGENCE PLATFORM — STUDENT ANALYTICS &amp; AI RISK ENGINE</w:t>
      </w:r>
    </w:p>
    <w:p w14:paraId="5EAD3C1B">
      <w:pPr>
        <w:pStyle w:val="style0"/>
        <w:spacing w:lineRule="auto" w:line="360"/>
        <w:jc w:val="center"/>
        <w:rPr>
          <w:b/>
          <w:bCs/>
          <w:sz w:val="26"/>
          <w:szCs w:val="26"/>
        </w:rPr>
      </w:pPr>
      <w:r>
        <w:rPr>
          <w:b/>
          <w:bCs/>
          <w:sz w:val="26"/>
          <w:szCs w:val="26"/>
        </w:rPr>
        <w:t>PROJECT REPORT</w:t>
      </w:r>
    </w:p>
    <w:p w14:paraId="36E7B758">
      <w:pPr>
        <w:pStyle w:val="style0"/>
        <w:spacing w:lineRule="auto" w:line="360"/>
        <w:jc w:val="center"/>
        <w:rPr>
          <w:b/>
          <w:bCs/>
          <w:sz w:val="26"/>
          <w:szCs w:val="26"/>
        </w:rPr>
      </w:pPr>
      <w:r>
        <w:rPr>
          <w:b/>
          <w:bCs/>
          <w:i/>
          <w:iCs/>
          <w:sz w:val="26"/>
          <w:szCs w:val="26"/>
        </w:rPr>
        <w:t>Submitted by</w:t>
      </w:r>
    </w:p>
    <w:p w14:paraId="72718388">
      <w:pPr>
        <w:pStyle w:val="style0"/>
        <w:spacing w:lineRule="auto" w:line="360"/>
        <w:jc w:val="center"/>
        <w:rPr>
          <w:b/>
          <w:bCs/>
          <w:sz w:val="28"/>
          <w:szCs w:val="28"/>
        </w:rPr>
      </w:pPr>
    </w:p>
    <w:p w14:paraId="7397FCDC">
      <w:pPr>
        <w:pStyle w:val="style0"/>
        <w:spacing w:lineRule="auto" w:line="360"/>
        <w:jc w:val="center"/>
        <w:rPr>
          <w:b/>
          <w:bCs/>
          <w:sz w:val="28"/>
          <w:szCs w:val="28"/>
        </w:rPr>
      </w:pPr>
    </w:p>
    <w:p w14:paraId="07CFED13">
      <w:pPr>
        <w:pStyle w:val="style0"/>
        <w:spacing w:lineRule="auto" w:line="360"/>
        <w:jc w:val="center"/>
        <w:rPr>
          <w:b/>
          <w:bCs/>
          <w:sz w:val="32"/>
          <w:szCs w:val="32"/>
        </w:rPr>
      </w:pPr>
      <w:r>
        <w:rPr>
          <w:b/>
          <w:bCs/>
          <w:sz w:val="32"/>
          <w:szCs w:val="32"/>
        </w:rPr>
        <w:t>LOGITHKUMAR K R (7376231CD124)</w:t>
      </w:r>
    </w:p>
    <w:p w14:paraId="4EC69E56">
      <w:pPr>
        <w:pStyle w:val="style0"/>
        <w:spacing w:lineRule="auto" w:line="360"/>
        <w:jc w:val="center"/>
        <w:rPr>
          <w:b/>
          <w:bCs/>
          <w:sz w:val="32"/>
          <w:szCs w:val="32"/>
        </w:rPr>
      </w:pPr>
      <w:r>
        <w:rPr>
          <w:b/>
          <w:bCs/>
          <w:sz w:val="32"/>
          <w:szCs w:val="32"/>
        </w:rPr>
        <w:t>RAMESH S (7376231CD141)</w:t>
      </w:r>
    </w:p>
    <w:p w14:paraId="34B51811">
      <w:pPr>
        <w:pStyle w:val="style0"/>
        <w:spacing w:lineRule="auto" w:line="360"/>
        <w:jc w:val="center"/>
        <w:rPr>
          <w:b/>
          <w:bCs/>
          <w:sz w:val="26"/>
          <w:szCs w:val="26"/>
        </w:rPr>
      </w:pPr>
      <w:r>
        <w:rPr>
          <w:b/>
          <w:bCs/>
          <w:i/>
          <w:iCs/>
          <w:sz w:val="26"/>
          <w:szCs w:val="26"/>
        </w:rPr>
        <w:t>In partial fulfilment for the award of the degree of</w:t>
      </w:r>
    </w:p>
    <w:p w14:paraId="22692150">
      <w:pPr>
        <w:pStyle w:val="style0"/>
        <w:spacing w:lineRule="auto" w:line="360"/>
        <w:jc w:val="center"/>
        <w:rPr>
          <w:b/>
          <w:bCs/>
          <w:sz w:val="28"/>
          <w:szCs w:val="28"/>
        </w:rPr>
      </w:pPr>
    </w:p>
    <w:p w14:paraId="488E1607">
      <w:pPr>
        <w:pStyle w:val="style0"/>
        <w:spacing w:lineRule="auto" w:line="360"/>
        <w:jc w:val="center"/>
        <w:rPr>
          <w:b/>
          <w:bCs/>
          <w:sz w:val="28"/>
          <w:szCs w:val="28"/>
        </w:rPr>
      </w:pPr>
    </w:p>
    <w:p w14:paraId="362FCB70">
      <w:pPr>
        <w:pStyle w:val="style0"/>
        <w:spacing w:lineRule="auto" w:line="360"/>
        <w:jc w:val="center"/>
        <w:rPr>
          <w:b/>
          <w:bCs/>
          <w:sz w:val="30"/>
          <w:szCs w:val="30"/>
        </w:rPr>
      </w:pPr>
      <w:r>
        <w:rPr>
          <w:b/>
          <w:bCs/>
          <w:sz w:val="30"/>
          <w:szCs w:val="30"/>
        </w:rPr>
        <w:t xml:space="preserve">BACHELOR </w:t>
      </w:r>
      <w:r>
        <w:rPr>
          <w:b/>
          <w:bCs/>
          <w:sz w:val="30"/>
          <w:szCs w:val="30"/>
        </w:rPr>
        <w:t xml:space="preserve"> OF</w:t>
      </w:r>
      <w:r>
        <w:rPr>
          <w:b/>
          <w:bCs/>
          <w:sz w:val="30"/>
          <w:szCs w:val="30"/>
        </w:rPr>
        <w:t xml:space="preserve"> ENGINEERING</w:t>
      </w:r>
    </w:p>
    <w:p w14:paraId="629C4534">
      <w:pPr>
        <w:pStyle w:val="style0"/>
        <w:spacing w:lineRule="auto" w:line="360"/>
        <w:jc w:val="center"/>
        <w:rPr>
          <w:b/>
          <w:bCs/>
          <w:sz w:val="28"/>
          <w:szCs w:val="28"/>
        </w:rPr>
      </w:pPr>
    </w:p>
    <w:p w14:paraId="2017BA9A">
      <w:pPr>
        <w:pStyle w:val="style0"/>
        <w:spacing w:lineRule="auto" w:line="360"/>
        <w:jc w:val="center"/>
        <w:rPr>
          <w:b/>
          <w:bCs/>
          <w:sz w:val="22"/>
          <w:szCs w:val="22"/>
        </w:rPr>
      </w:pPr>
      <w:r>
        <w:rPr>
          <w:b/>
          <w:bCs/>
          <w:sz w:val="22"/>
          <w:szCs w:val="22"/>
        </w:rPr>
        <w:t>in</w:t>
      </w:r>
    </w:p>
    <w:p w14:paraId="495E7033">
      <w:pPr>
        <w:pStyle w:val="style0"/>
        <w:spacing w:lineRule="auto" w:line="360"/>
        <w:jc w:val="center"/>
        <w:rPr>
          <w:b/>
          <w:bCs/>
          <w:sz w:val="28"/>
          <w:szCs w:val="28"/>
        </w:rPr>
      </w:pPr>
    </w:p>
    <w:p w14:paraId="47032E97">
      <w:pPr>
        <w:pStyle w:val="style0"/>
        <w:spacing w:lineRule="auto" w:line="360"/>
        <w:jc w:val="center"/>
        <w:rPr>
          <w:b/>
          <w:bCs/>
          <w:sz w:val="28"/>
          <w:szCs w:val="28"/>
        </w:rPr>
      </w:pPr>
      <w:r>
        <w:rPr>
          <w:b/>
          <w:bCs/>
          <w:sz w:val="28"/>
          <w:szCs w:val="28"/>
        </w:rPr>
        <w:t>COMPUTER SCIENCE AND DESIGN</w:t>
      </w:r>
    </w:p>
    <w:p w14:paraId="601F3D6E">
      <w:pPr>
        <w:pStyle w:val="style0"/>
        <w:spacing w:lineRule="auto" w:line="360"/>
        <w:jc w:val="center"/>
        <w:rPr>
          <w:b/>
          <w:bCs/>
          <w:sz w:val="28"/>
          <w:szCs w:val="28"/>
        </w:rPr>
      </w:pPr>
    </w:p>
    <w:p w14:paraId="2984985A">
      <w:pPr>
        <w:pStyle w:val="style0"/>
        <w:spacing w:lineRule="auto" w:line="360"/>
        <w:jc w:val="center"/>
        <w:rPr>
          <w:b/>
          <w:bCs/>
          <w:sz w:val="28"/>
          <w:szCs w:val="28"/>
        </w:rPr>
      </w:pPr>
      <w:r>
        <w:rPr>
          <w:b/>
          <w:bCs/>
          <w:noProof/>
          <w:sz w:val="28"/>
          <w:szCs w:val="28"/>
        </w:rPr>
        <w:drawing>
          <wp:inline distL="0" distT="0" distB="0" distR="0">
            <wp:extent cx="1028700" cy="866775"/>
            <wp:effectExtent l="0" t="0" r="0" b="9525"/>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1028700" cy="866775"/>
                    </a:xfrm>
                    <a:prstGeom prst="rect"/>
                    <a:ln>
                      <a:noFill/>
                    </a:ln>
                  </pic:spPr>
                </pic:pic>
              </a:graphicData>
            </a:graphic>
          </wp:inline>
        </w:drawing>
      </w:r>
    </w:p>
    <w:p w14:paraId="5ED5840B">
      <w:pPr>
        <w:pStyle w:val="style0"/>
        <w:spacing w:lineRule="auto" w:line="360"/>
        <w:jc w:val="center"/>
        <w:rPr>
          <w:b/>
          <w:bCs/>
          <w:sz w:val="26"/>
          <w:szCs w:val="26"/>
        </w:rPr>
      </w:pPr>
    </w:p>
    <w:p w14:paraId="4037818C">
      <w:pPr>
        <w:pStyle w:val="style0"/>
        <w:spacing w:lineRule="auto" w:line="360"/>
        <w:jc w:val="center"/>
        <w:rPr>
          <w:b/>
          <w:bCs/>
          <w:sz w:val="26"/>
          <w:szCs w:val="26"/>
        </w:rPr>
      </w:pPr>
      <w:r>
        <w:rPr>
          <w:b/>
          <w:bCs/>
          <w:sz w:val="26"/>
          <w:szCs w:val="26"/>
        </w:rPr>
        <w:t>BANNARI AMMAN INSTITUTE OF TECHNOLOGY</w:t>
      </w:r>
    </w:p>
    <w:p w14:paraId="2C71B2C0">
      <w:pPr>
        <w:pStyle w:val="style0"/>
        <w:spacing w:lineRule="auto" w:line="360"/>
        <w:jc w:val="center"/>
        <w:rPr>
          <w:b/>
          <w:bCs/>
          <w:sz w:val="23"/>
          <w:szCs w:val="23"/>
        </w:rPr>
      </w:pPr>
      <w:r>
        <w:rPr>
          <w:b/>
          <w:bCs/>
          <w:sz w:val="23"/>
          <w:szCs w:val="23"/>
        </w:rPr>
        <w:t>(An Autonomous Institution Affiliated to Anna University, Chennai)</w:t>
      </w:r>
    </w:p>
    <w:p w14:paraId="20E32FE4">
      <w:pPr>
        <w:pStyle w:val="style0"/>
        <w:spacing w:lineRule="auto" w:line="360"/>
        <w:jc w:val="center"/>
        <w:rPr>
          <w:b/>
          <w:bCs/>
          <w:sz w:val="23"/>
          <w:szCs w:val="23"/>
        </w:rPr>
      </w:pPr>
      <w:r>
        <w:rPr>
          <w:b/>
          <w:bCs/>
          <w:sz w:val="23"/>
          <w:szCs w:val="23"/>
        </w:rPr>
        <w:t>SATHYAMANGALAM-638401</w:t>
      </w:r>
    </w:p>
    <w:p w14:paraId="46B103E3">
      <w:pPr>
        <w:pStyle w:val="style0"/>
        <w:spacing w:lineRule="auto" w:line="360"/>
        <w:jc w:val="center"/>
        <w:rPr>
          <w:b/>
          <w:bCs/>
          <w:sz w:val="28"/>
          <w:szCs w:val="28"/>
        </w:rPr>
      </w:pPr>
    </w:p>
    <w:p w14:paraId="5C512E00">
      <w:pPr>
        <w:pStyle w:val="style0"/>
        <w:spacing w:lineRule="auto" w:line="360"/>
        <w:jc w:val="center"/>
        <w:rPr>
          <w:b/>
          <w:bCs/>
          <w:sz w:val="28"/>
          <w:szCs w:val="28"/>
        </w:rPr>
      </w:pPr>
      <w:r>
        <w:rPr>
          <w:b/>
          <w:bCs/>
          <w:sz w:val="30"/>
          <w:szCs w:val="30"/>
        </w:rPr>
        <w:t>ANNA UNIVERSITY: CHENNAI 600 025</w:t>
      </w:r>
    </w:p>
    <w:p w14:paraId="1AE3DECF">
      <w:pPr>
        <w:pStyle w:val="style0"/>
        <w:spacing w:lineRule="auto" w:line="360"/>
        <w:jc w:val="center"/>
        <w:rPr>
          <w:b/>
          <w:bCs/>
          <w:sz w:val="26"/>
          <w:szCs w:val="26"/>
        </w:rPr>
      </w:pPr>
    </w:p>
    <w:p w14:paraId="34757304">
      <w:pPr>
        <w:pStyle w:val="style0"/>
        <w:spacing w:lineRule="auto" w:line="360"/>
        <w:jc w:val="center"/>
        <w:rPr>
          <w:b/>
          <w:bCs/>
          <w:sz w:val="26"/>
          <w:szCs w:val="26"/>
        </w:rPr>
        <w:sectPr>
          <w:footerReference w:type="default" r:id="rId3"/>
          <w:pgSz w:w="11906" w:h="16838" w:orient="portrait"/>
          <w:pgMar w:top="1440" w:right="1440" w:bottom="1440" w:left="1440" w:header="708" w:footer="708" w:gutter="0"/>
          <w:pgNumType w:fmt="lowerRoman" w:start="1"/>
          <w:cols w:space="720"/>
          <w:docGrid w:linePitch="360"/>
        </w:sectPr>
      </w:pPr>
      <w:r>
        <w:rPr>
          <w:b/>
          <w:bCs/>
          <w:sz w:val="26"/>
          <w:szCs w:val="26"/>
        </w:rPr>
        <w:t>APRIL 2026</w:t>
      </w:r>
    </w:p>
    <w:p w14:paraId="1D1A8FBD">
      <w:pPr>
        <w:pStyle w:val="style0"/>
        <w:spacing w:lineRule="auto" w:line="360"/>
        <w:rPr/>
      </w:pPr>
    </w:p>
    <w:p w14:paraId="1F08F458">
      <w:pPr>
        <w:pStyle w:val="style0"/>
        <w:spacing w:after="360" w:lineRule="auto" w:line="360"/>
        <w:jc w:val="center"/>
        <w:rPr/>
      </w:pPr>
      <w:r>
        <w:rPr>
          <w:b/>
          <w:bCs/>
          <w:sz w:val="32"/>
          <w:szCs w:val="32"/>
        </w:rPr>
        <w:t>BONAFIDE CERTIFICATE</w:t>
      </w:r>
    </w:p>
    <w:p w14:paraId="35928DAA">
      <w:pPr>
        <w:pStyle w:val="style0"/>
        <w:spacing w:lineRule="auto" w:line="360"/>
        <w:rPr>
          <w:b/>
          <w:bCs/>
          <w:sz w:val="24"/>
          <w:szCs w:val="24"/>
        </w:rPr>
      </w:pPr>
      <w:r>
        <w:rPr>
          <w:rFonts w:ascii="Times New Roman" w:hAnsi="Times New Roman"/>
          <w:b/>
          <w:sz w:val="24"/>
        </w:rPr>
        <w:t>Certified that this project report “ACADEMIC INTELLIGENCE PLATFORM — STUDENT ANALYTICS &amp; AI RISK ENGINE” is the Bonafide work of “LOGITHKUMAR K R (7376231CD124), RAMESH S (7376231CD141)” who carried out the project work under my supervision.</w:t>
      </w:r>
    </w:p>
    <w:p w14:paraId="5251875A">
      <w:pPr>
        <w:pStyle w:val="style0"/>
        <w:spacing w:lineRule="auto" w:line="360"/>
        <w:rPr/>
      </w:pPr>
    </w:p>
    <w:p w14:paraId="139AD43A">
      <w:pPr>
        <w:pStyle w:val="style0"/>
        <w:spacing w:lineRule="auto" w:line="360"/>
        <w:rPr/>
      </w:pPr>
    </w:p>
    <w:p w14:paraId="7F8B60BE">
      <w:pPr>
        <w:pStyle w:val="style0"/>
        <w:spacing w:lineRule="auto" w:line="360"/>
        <w:rPr/>
      </w:pPr>
    </w:p>
    <w:p w14:paraId="48D89582">
      <w:pPr>
        <w:pStyle w:val="style0"/>
        <w:spacing w:lineRule="auto" w:line="360"/>
        <w:rPr/>
      </w:pPr>
    </w:p>
    <w:p w14:paraId="1CC2644F">
      <w:pPr>
        <w:pStyle w:val="style0"/>
        <w:spacing w:lineRule="auto" w:line="360"/>
        <w:rPr/>
      </w:pPr>
    </w:p>
    <w:p w14:paraId="688EF1A7">
      <w:pPr>
        <w:pStyle w:val="style0"/>
        <w:spacing w:lineRule="auto" w:line="360"/>
        <w:rPr>
          <w:b/>
          <w:bCs/>
          <w:sz w:val="24"/>
          <w:szCs w:val="24"/>
        </w:rPr>
      </w:pPr>
      <w:r>
        <w:rPr>
          <w:b/>
          <w:bCs/>
          <w:sz w:val="24"/>
          <w:szCs w:val="24"/>
        </w:rPr>
        <w:t>Dr. VENKATESAN R</w:t>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Ms. INDHUMATHI K </w:t>
      </w:r>
    </w:p>
    <w:p w14:paraId="4ED99465">
      <w:pPr>
        <w:pStyle w:val="style0"/>
        <w:spacing w:lineRule="auto" w:line="360"/>
        <w:rPr>
          <w:sz w:val="24"/>
          <w:szCs w:val="24"/>
        </w:rPr>
      </w:pPr>
      <w:r>
        <w:rPr>
          <w:b/>
          <w:bCs/>
          <w:sz w:val="24"/>
          <w:szCs w:val="24"/>
        </w:rPr>
        <w:t>HEAD OF THE DEPARTMENT                           ASSISTANT PROFESSOR</w:t>
      </w:r>
    </w:p>
    <w:p w14:paraId="0C1EC2C8">
      <w:pPr>
        <w:pStyle w:val="style0"/>
        <w:spacing w:lineRule="auto" w:line="360"/>
        <w:rPr>
          <w:sz w:val="22"/>
          <w:szCs w:val="22"/>
        </w:rPr>
      </w:pPr>
      <w:r>
        <w:rPr>
          <w:sz w:val="22"/>
          <w:szCs w:val="22"/>
        </w:rPr>
        <w:t>Department of Computer Science and Design                  Department of Computer Science and Design</w:t>
      </w:r>
    </w:p>
    <w:p w14:paraId="13232F34">
      <w:pPr>
        <w:pStyle w:val="style0"/>
        <w:spacing w:lineRule="auto" w:line="360"/>
        <w:rPr>
          <w:sz w:val="22"/>
          <w:szCs w:val="22"/>
        </w:rPr>
      </w:pPr>
      <w:r>
        <w:rPr>
          <w:sz w:val="22"/>
          <w:szCs w:val="22"/>
        </w:rPr>
        <w:t>Bannari</w:t>
      </w:r>
      <w:r>
        <w:rPr>
          <w:sz w:val="22"/>
          <w:szCs w:val="22"/>
        </w:rPr>
        <w:t xml:space="preserve"> Amman Institute of Technology                    </w:t>
      </w:r>
      <w:r>
        <w:rPr>
          <w:sz w:val="22"/>
          <w:szCs w:val="22"/>
        </w:rPr>
        <w:tab/>
      </w:r>
      <w:r>
        <w:rPr>
          <w:sz w:val="22"/>
          <w:szCs w:val="22"/>
        </w:rPr>
        <w:t>Bannari</w:t>
      </w:r>
      <w:r>
        <w:rPr>
          <w:sz w:val="22"/>
          <w:szCs w:val="22"/>
        </w:rPr>
        <w:t xml:space="preserve"> Amman Institute of Technology</w:t>
      </w:r>
    </w:p>
    <w:p w14:paraId="47D68860">
      <w:pPr>
        <w:pStyle w:val="style0"/>
        <w:spacing w:lineRule="auto" w:line="360"/>
        <w:rPr/>
      </w:pPr>
    </w:p>
    <w:p w14:paraId="0C3AA458">
      <w:pPr>
        <w:pStyle w:val="style0"/>
        <w:spacing w:after="160" w:lineRule="auto" w:line="360"/>
        <w:jc w:val="both"/>
        <w:rPr>
          <w:sz w:val="26"/>
          <w:szCs w:val="26"/>
        </w:rPr>
      </w:pPr>
    </w:p>
    <w:p w14:paraId="40BF72CD">
      <w:pPr>
        <w:pStyle w:val="style0"/>
        <w:spacing w:after="160" w:lineRule="auto" w:line="360"/>
        <w:jc w:val="both"/>
        <w:rPr>
          <w:sz w:val="26"/>
          <w:szCs w:val="26"/>
        </w:rPr>
      </w:pPr>
    </w:p>
    <w:p w14:paraId="0BA3EA1C">
      <w:pPr>
        <w:pStyle w:val="style0"/>
        <w:spacing w:after="160" w:lineRule="auto" w:line="360"/>
        <w:jc w:val="both"/>
        <w:rPr>
          <w:sz w:val="26"/>
          <w:szCs w:val="26"/>
        </w:rPr>
      </w:pPr>
    </w:p>
    <w:p w14:paraId="2A58DA2A">
      <w:pPr>
        <w:pStyle w:val="style0"/>
        <w:spacing w:after="160" w:lineRule="auto" w:line="360"/>
        <w:jc w:val="both"/>
        <w:rPr>
          <w:sz w:val="26"/>
          <w:szCs w:val="26"/>
        </w:rPr>
      </w:pPr>
    </w:p>
    <w:p w14:paraId="2DB63442">
      <w:pPr>
        <w:pStyle w:val="style0"/>
        <w:spacing w:after="160" w:lineRule="auto" w:line="360"/>
        <w:jc w:val="both"/>
        <w:rPr>
          <w:sz w:val="26"/>
          <w:szCs w:val="26"/>
        </w:rPr>
      </w:pPr>
    </w:p>
    <w:p w14:paraId="41FF87E4">
      <w:pPr>
        <w:pStyle w:val="style0"/>
        <w:spacing w:after="160" w:lineRule="auto" w:line="360"/>
        <w:jc w:val="both"/>
        <w:rPr>
          <w:sz w:val="24"/>
          <w:szCs w:val="24"/>
        </w:rPr>
      </w:pPr>
      <w:r>
        <w:rPr>
          <w:sz w:val="24"/>
          <w:szCs w:val="24"/>
        </w:rPr>
        <w:t>Submitted for the Project Examination held on ___________</w:t>
      </w:r>
    </w:p>
    <w:p w14:paraId="030D0D59">
      <w:pPr>
        <w:pStyle w:val="style0"/>
        <w:spacing w:after="160" w:lineRule="auto" w:line="360"/>
        <w:jc w:val="both"/>
        <w:rPr/>
      </w:pPr>
    </w:p>
    <w:p w14:paraId="05325F16">
      <w:pPr>
        <w:pStyle w:val="style0"/>
        <w:spacing w:after="160" w:lineRule="auto" w:line="360"/>
        <w:jc w:val="both"/>
        <w:rPr/>
      </w:pPr>
    </w:p>
    <w:p w14:paraId="26C5C8CE">
      <w:pPr>
        <w:pStyle w:val="style0"/>
        <w:spacing w:after="160" w:lineRule="auto" w:line="360"/>
        <w:jc w:val="both"/>
        <w:rPr/>
      </w:pPr>
    </w:p>
    <w:p w14:paraId="0CB54688">
      <w:pPr>
        <w:pStyle w:val="style0"/>
        <w:spacing w:after="160" w:lineRule="auto" w:line="360"/>
        <w:jc w:val="both"/>
        <w:rPr/>
      </w:pPr>
    </w:p>
    <w:tbl>
      <w:tblPr>
        <w:tblW w:w="9360" w:type="dxa"/>
        <w:tblCellMar>
          <w:left w:w="10" w:type="dxa"/>
          <w:right w:w="10" w:type="dxa"/>
        </w:tblCellMar>
        <w:tblLook w:val="0000" w:firstRow="0" w:lastRow="0" w:firstColumn="0" w:lastColumn="0" w:noHBand="0" w:noVBand="0"/>
      </w:tblPr>
      <w:tblGrid>
        <w:gridCol w:w="4580"/>
        <w:gridCol w:w="4779"/>
      </w:tblGrid>
      <w:tr w14:paraId="533DECA5">
        <w:trPr/>
        <w:tc>
          <w:tcPr>
            <w:tcW w:w="0" w:type="auto"/>
            <w:tcBorders/>
          </w:tcPr>
          <w:p w14:paraId="215F82A9">
            <w:pPr>
              <w:pStyle w:val="style0"/>
              <w:spacing w:after="40" w:lineRule="auto" w:line="360"/>
              <w:rPr/>
            </w:pPr>
            <w:r>
              <w:rPr>
                <w:b/>
                <w:bCs/>
                <w:sz w:val="24"/>
                <w:szCs w:val="24"/>
              </w:rPr>
              <w:t>INTERNAL EXAMINER</w:t>
            </w:r>
          </w:p>
        </w:tc>
        <w:tc>
          <w:tcPr>
            <w:tcW w:w="0" w:type="auto"/>
            <w:tcBorders/>
          </w:tcPr>
          <w:p w14:paraId="68244A29">
            <w:pPr>
              <w:pStyle w:val="style0"/>
              <w:spacing w:after="40" w:lineRule="auto" w:line="360"/>
              <w:rPr/>
            </w:pPr>
            <w:r>
              <w:rPr>
                <w:b/>
                <w:bCs/>
                <w:sz w:val="24"/>
                <w:szCs w:val="24"/>
              </w:rPr>
              <w:t>EXTERNAL EXAMINER</w:t>
            </w:r>
          </w:p>
        </w:tc>
      </w:tr>
    </w:tbl>
    <w:p w14:paraId="09AC6969">
      <w:pPr>
        <w:pStyle w:val="style0"/>
        <w:rPr/>
      </w:pPr>
      <w:r>
        <w:br w:type="page"/>
      </w:r>
    </w:p>
    <w:p w14:paraId="36549119">
      <w:pPr>
        <w:pStyle w:val="style0"/>
        <w:spacing w:lineRule="auto" w:line="360"/>
        <w:rPr/>
      </w:pPr>
    </w:p>
    <w:p w14:paraId="654F4F83">
      <w:pPr>
        <w:pStyle w:val="style0"/>
        <w:spacing w:lineRule="auto" w:line="360"/>
        <w:rPr/>
      </w:pPr>
    </w:p>
    <w:p w14:paraId="2EAA2FDB">
      <w:pPr>
        <w:pStyle w:val="style0"/>
        <w:spacing w:after="360" w:lineRule="auto" w:line="360"/>
        <w:jc w:val="center"/>
        <w:rPr/>
      </w:pPr>
      <w:r>
        <w:rPr>
          <w:b/>
          <w:bCs/>
          <w:sz w:val="32"/>
          <w:szCs w:val="32"/>
        </w:rPr>
        <w:t>DECLARATION</w:t>
      </w:r>
    </w:p>
    <w:p w14:paraId="51FAA12D">
      <w:pPr>
        <w:pStyle w:val="style0"/>
        <w:spacing w:lineRule="auto" w:line="360"/>
        <w:ind w:firstLine="720"/>
        <w:rPr>
          <w:b/>
          <w:bCs/>
          <w:sz w:val="28"/>
          <w:szCs w:val="28"/>
        </w:rPr>
      </w:pPr>
      <w:r>
        <w:rPr>
          <w:rFonts w:ascii="Times New Roman" w:hAnsi="Times New Roman"/>
          <w:b/>
          <w:sz w:val="26"/>
        </w:rPr>
        <w:t>We affirm that the project work titled “ACADEMIC INTELLIGENCE PLATFORM — STUDENT ANALYTICS &amp; AI RISK ENGINE” being submitted in partial fulfilment for the award of the degree of Bachelor of Engineering in Computer Science and Design, is the record of original work done by us under the guidance of Ms. INDHUMATHI K, Assistant Professor, Department of Computer Science and Design. It has not formed a part of any other project work(s) submitted for the award of any degree or diploma, either in this or any other University.</w:t>
      </w:r>
    </w:p>
    <w:p w14:paraId="1706132B">
      <w:pPr>
        <w:pStyle w:val="style0"/>
        <w:spacing w:lineRule="auto" w:line="360"/>
        <w:rPr/>
      </w:pPr>
    </w:p>
    <w:p w14:paraId="5F1A0799">
      <w:pPr>
        <w:pStyle w:val="style0"/>
        <w:spacing w:lineRule="auto" w:line="360"/>
        <w:rPr/>
      </w:pPr>
    </w:p>
    <w:p w14:paraId="04A27484">
      <w:pPr>
        <w:pStyle w:val="style0"/>
        <w:spacing w:lineRule="auto" w:line="360"/>
        <w:rPr/>
      </w:pPr>
    </w:p>
    <w:tbl>
      <w:tblPr>
        <w:tblStyle w:val="style4101"/>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000" w:firstRow="0" w:lastRow="0" w:firstColumn="0" w:lastColumn="0" w:noHBand="0" w:noVBand="0"/>
      </w:tblPr>
      <w:tblGrid>
        <w:gridCol w:w="4673"/>
        <w:gridCol w:w="4731"/>
      </w:tblGrid>
      <w:tr w14:paraId="26A25B13">
        <w:trPr>
          <w:trHeight w:val="940" w:hRule="atLeast"/>
        </w:trPr>
        <w:tc>
          <w:tcPr>
            <w:tcW w:w="4673" w:type="dxa"/>
            <w:tcBorders/>
            <w:shd w:val="clear" w:color="auto" w:fill="ffffff"/>
          </w:tcPr>
          <w:p w14:paraId="675CB010">
            <w:pPr>
              <w:pStyle w:val="style0"/>
              <w:spacing w:after="60" w:lineRule="auto" w:line="360"/>
              <w:rPr>
                <w:sz w:val="24"/>
                <w:szCs w:val="24"/>
              </w:rPr>
            </w:pPr>
            <w:r>
              <w:rPr>
                <w:sz w:val="24"/>
                <w:szCs w:val="24"/>
              </w:rPr>
              <w:t>LOGITHKUMAR K R</w:t>
            </w:r>
          </w:p>
          <w:p w14:paraId="69DB33EC">
            <w:pPr>
              <w:pStyle w:val="style0"/>
              <w:spacing w:after="60" w:lineRule="auto" w:line="360"/>
              <w:rPr>
                <w:sz w:val="24"/>
                <w:szCs w:val="24"/>
              </w:rPr>
            </w:pPr>
            <w:r>
              <w:rPr>
                <w:sz w:val="24"/>
                <w:szCs w:val="24"/>
              </w:rPr>
              <w:t>[7376231CD124]</w:t>
            </w:r>
          </w:p>
        </w:tc>
        <w:tc>
          <w:tcPr>
            <w:tcW w:w="4731" w:type="dxa"/>
            <w:tcBorders/>
            <w:shd w:val="clear" w:color="auto" w:fill="ffffff"/>
          </w:tcPr>
          <w:p w14:paraId="1963C3F9">
            <w:pPr>
              <w:pStyle w:val="style0"/>
              <w:spacing w:after="60" w:lineRule="auto" w:line="360"/>
              <w:rPr>
                <w:sz w:val="24"/>
                <w:szCs w:val="24"/>
              </w:rPr>
            </w:pPr>
            <w:r>
              <w:rPr>
                <w:sz w:val="24"/>
                <w:szCs w:val="24"/>
              </w:rPr>
              <w:t>RAMESH S</w:t>
            </w:r>
          </w:p>
          <w:p w14:paraId="2361D5C4">
            <w:pPr>
              <w:pStyle w:val="style0"/>
              <w:spacing w:after="60" w:lineRule="auto" w:line="360"/>
              <w:rPr>
                <w:sz w:val="24"/>
                <w:szCs w:val="24"/>
              </w:rPr>
            </w:pPr>
            <w:r>
              <w:rPr>
                <w:sz w:val="24"/>
                <w:szCs w:val="24"/>
              </w:rPr>
              <w:t>[7376231CD141]</w:t>
            </w:r>
          </w:p>
          <w:p w14:paraId="7B527D6B">
            <w:pPr>
              <w:pStyle w:val="style0"/>
              <w:spacing w:after="60" w:lineRule="auto" w:line="360"/>
              <w:rPr/>
            </w:pPr>
          </w:p>
        </w:tc>
      </w:tr>
    </w:tbl>
    <w:p w14:paraId="3D8C9C47">
      <w:pPr>
        <w:pStyle w:val="style0"/>
        <w:spacing w:lineRule="auto" w:line="360"/>
        <w:rPr/>
      </w:pPr>
    </w:p>
    <w:p w14:paraId="50226F79">
      <w:pPr>
        <w:pStyle w:val="style0"/>
        <w:spacing w:lineRule="auto" w:line="360"/>
        <w:rPr/>
      </w:pPr>
    </w:p>
    <w:p w14:paraId="39961828">
      <w:pPr>
        <w:pStyle w:val="style0"/>
        <w:spacing w:lineRule="auto" w:line="360"/>
        <w:rPr/>
      </w:pPr>
    </w:p>
    <w:p w14:paraId="2BEA9A4E">
      <w:pPr>
        <w:pStyle w:val="style0"/>
        <w:spacing w:lineRule="auto" w:line="360"/>
        <w:rPr/>
      </w:pPr>
    </w:p>
    <w:p w14:paraId="5654285B">
      <w:pPr>
        <w:pStyle w:val="style0"/>
        <w:spacing w:lineRule="auto" w:line="360"/>
        <w:rPr/>
      </w:pPr>
    </w:p>
    <w:p w14:paraId="759D1FB8">
      <w:pPr>
        <w:pStyle w:val="style0"/>
        <w:spacing w:lineRule="auto" w:line="360"/>
        <w:rPr>
          <w:sz w:val="24"/>
          <w:szCs w:val="24"/>
        </w:rPr>
      </w:pPr>
      <w:r>
        <w:rPr>
          <w:sz w:val="24"/>
          <w:szCs w:val="24"/>
        </w:rPr>
        <w:t>I certify that the declaration made above by the candidates is true.</w:t>
      </w:r>
    </w:p>
    <w:p w14:paraId="27D6CEEE">
      <w:pPr>
        <w:pStyle w:val="style0"/>
        <w:spacing w:lineRule="auto" w:line="360"/>
        <w:rPr/>
      </w:pPr>
      <w:r>
        <w:br/>
      </w:r>
      <w:r>
        <w:br/>
      </w:r>
      <w:r>
        <w:br/>
      </w:r>
      <w:r>
        <w:br/>
      </w:r>
    </w:p>
    <w:p w14:paraId="76CD4850">
      <w:pPr>
        <w:pStyle w:val="style0"/>
        <w:spacing w:lineRule="auto" w:line="360"/>
        <w:ind w:left="3600" w:firstLine="720"/>
        <w:rPr>
          <w:sz w:val="24"/>
          <w:szCs w:val="24"/>
        </w:rPr>
      </w:pPr>
      <w:r>
        <w:rPr>
          <w:b/>
          <w:bCs/>
          <w:sz w:val="24"/>
          <w:szCs w:val="24"/>
        </w:rPr>
        <w:t>Ms. INDHUMATHI K</w:t>
      </w:r>
    </w:p>
    <w:p w14:paraId="626476F6">
      <w:pPr>
        <w:pStyle w:val="style0"/>
        <w:spacing w:lineRule="auto" w:line="360"/>
        <w:ind w:left="2160"/>
        <w:rPr>
          <w:b/>
          <w:bCs/>
        </w:rPr>
      </w:pPr>
      <w:r>
        <w:rPr>
          <w:sz w:val="24"/>
          <w:szCs w:val="24"/>
        </w:rPr>
        <w:tab/>
      </w:r>
      <w:r>
        <w:rPr>
          <w:sz w:val="24"/>
          <w:szCs w:val="24"/>
        </w:rPr>
        <w:tab/>
      </w:r>
      <w:r>
        <w:rPr>
          <w:sz w:val="24"/>
          <w:szCs w:val="24"/>
        </w:rPr>
        <w:tab/>
      </w:r>
      <w:r>
        <w:rPr>
          <w:b/>
          <w:bCs/>
          <w:sz w:val="24"/>
          <w:szCs w:val="24"/>
        </w:rPr>
        <w:t>ASSISTANT PROFESSOR</w:t>
      </w:r>
    </w:p>
    <w:p w14:paraId="0C6E8E2F">
      <w:pPr>
        <w:pStyle w:val="style0"/>
        <w:spacing w:lineRule="auto" w:line="360"/>
        <w:ind w:left="4320"/>
        <w:rPr>
          <w:sz w:val="22"/>
          <w:szCs w:val="22"/>
        </w:rPr>
      </w:pPr>
      <w:r>
        <w:rPr>
          <w:sz w:val="22"/>
          <w:szCs w:val="22"/>
        </w:rPr>
        <w:t>Department of Computer Science and Design</w:t>
      </w:r>
    </w:p>
    <w:p w14:paraId="6D329C1F">
      <w:pPr>
        <w:pStyle w:val="style0"/>
        <w:spacing w:lineRule="auto" w:line="360"/>
        <w:ind w:left="3600" w:firstLine="720"/>
        <w:rPr>
          <w:sz w:val="22"/>
          <w:szCs w:val="22"/>
        </w:rPr>
      </w:pPr>
      <w:r>
        <w:rPr>
          <w:sz w:val="22"/>
          <w:szCs w:val="22"/>
        </w:rPr>
        <w:t>Bannari</w:t>
      </w:r>
      <w:r>
        <w:rPr>
          <w:sz w:val="22"/>
          <w:szCs w:val="22"/>
        </w:rPr>
        <w:t xml:space="preserve"> Amman Institute of Technology</w:t>
      </w:r>
    </w:p>
    <w:p w14:paraId="1334D741">
      <w:pPr>
        <w:pStyle w:val="style0"/>
        <w:spacing w:lineRule="auto" w:line="360"/>
        <w:ind w:left="2160" w:firstLine="720"/>
        <w:rPr>
          <w:b/>
          <w:bCs/>
        </w:rPr>
      </w:pPr>
    </w:p>
    <w:p w14:paraId="372B06B9">
      <w:pPr>
        <w:pStyle w:val="style0"/>
        <w:spacing w:lineRule="auto" w:line="360"/>
        <w:rPr/>
      </w:pPr>
    </w:p>
    <w:p w14:paraId="08ADB62F">
      <w:pPr>
        <w:pStyle w:val="style0"/>
        <w:spacing w:lineRule="auto" w:line="360"/>
        <w:rPr/>
      </w:pPr>
    </w:p>
    <w:p w14:paraId="0E3B1039">
      <w:pPr>
        <w:pStyle w:val="style0"/>
        <w:spacing w:lineRule="auto" w:line="360"/>
        <w:rPr/>
      </w:pPr>
    </w:p>
    <w:p w14:paraId="0AEA1C7F">
      <w:pPr>
        <w:pStyle w:val="style0"/>
        <w:spacing w:lineRule="auto" w:line="360"/>
        <w:rPr/>
      </w:pPr>
    </w:p>
    <w:p w14:paraId="5253FA0B">
      <w:pPr>
        <w:pStyle w:val="style0"/>
        <w:spacing w:after="360" w:lineRule="auto" w:line="360"/>
        <w:jc w:val="center"/>
        <w:rPr/>
      </w:pPr>
      <w:r>
        <w:rPr>
          <w:b/>
          <w:bCs/>
          <w:sz w:val="32"/>
          <w:szCs w:val="32"/>
        </w:rPr>
        <w:t>ACKNOWLEDGEMENT</w:t>
      </w:r>
    </w:p>
    <w:p w14:paraId="7AAC63E4">
      <w:pPr>
        <w:pStyle w:val="style0"/>
        <w:spacing w:after="160" w:lineRule="auto" w:line="360"/>
        <w:ind w:firstLine="720"/>
        <w:jc w:val="both"/>
        <w:rPr>
          <w:sz w:val="26"/>
          <w:szCs w:val="26"/>
        </w:rPr>
      </w:pPr>
      <w:r>
        <w:rPr>
          <w:sz w:val="26"/>
          <w:szCs w:val="26"/>
        </w:rPr>
        <w:t>We would like to enunciate heartfelt thanks to our esteemed Chairman </w:t>
      </w:r>
    </w:p>
    <w:p w14:paraId="4281113F">
      <w:pPr>
        <w:pStyle w:val="style0"/>
        <w:spacing w:after="160" w:lineRule="auto" w:line="360"/>
        <w:jc w:val="both"/>
        <w:rPr>
          <w:sz w:val="26"/>
          <w:szCs w:val="26"/>
        </w:rPr>
      </w:pPr>
      <w:r>
        <w:rPr>
          <w:b/>
          <w:bCs/>
          <w:sz w:val="26"/>
          <w:szCs w:val="26"/>
        </w:rPr>
        <w:t>Dr. S.V. Balasubramaniam</w:t>
      </w:r>
      <w:r>
        <w:rPr>
          <w:sz w:val="26"/>
          <w:szCs w:val="26"/>
        </w:rPr>
        <w:t xml:space="preserve">, and the respected Principal </w:t>
      </w:r>
      <w:r>
        <w:rPr>
          <w:b/>
          <w:bCs/>
          <w:sz w:val="26"/>
          <w:szCs w:val="26"/>
        </w:rPr>
        <w:t xml:space="preserve">Dr. C. Palanisamy </w:t>
      </w:r>
      <w:r>
        <w:rPr>
          <w:sz w:val="26"/>
          <w:szCs w:val="26"/>
        </w:rPr>
        <w:t>for providing excellent facilities and support during the course of study in this institute.</w:t>
      </w:r>
    </w:p>
    <w:p w14:paraId="6C7F7B9F">
      <w:pPr>
        <w:pStyle w:val="style0"/>
        <w:spacing w:after="160" w:lineRule="auto" w:line="360"/>
        <w:jc w:val="both"/>
        <w:rPr>
          <w:sz w:val="26"/>
          <w:szCs w:val="26"/>
        </w:rPr>
      </w:pPr>
    </w:p>
    <w:p w14:paraId="71B66584">
      <w:pPr>
        <w:pStyle w:val="style0"/>
        <w:spacing w:after="160" w:lineRule="auto" w:line="360"/>
        <w:ind w:firstLine="720"/>
        <w:jc w:val="both"/>
        <w:rPr>
          <w:b/>
          <w:bCs/>
          <w:sz w:val="26"/>
          <w:szCs w:val="26"/>
        </w:rPr>
      </w:pPr>
      <w:r>
        <w:rPr>
          <w:sz w:val="26"/>
          <w:szCs w:val="26"/>
        </w:rPr>
        <w:t xml:space="preserve">We are grateful to </w:t>
      </w:r>
      <w:r>
        <w:rPr>
          <w:b/>
          <w:bCs/>
          <w:sz w:val="26"/>
          <w:szCs w:val="26"/>
        </w:rPr>
        <w:t>Dr.</w:t>
      </w:r>
      <w:r>
        <w:rPr>
          <w:rFonts w:ascii="Work Sans" w:hAnsi="Work Sans"/>
          <w:b/>
          <w:bCs/>
          <w:color w:val="48246e"/>
          <w:sz w:val="36"/>
          <w:szCs w:val="36"/>
        </w:rPr>
        <w:t xml:space="preserve"> </w:t>
      </w:r>
      <w:r>
        <w:rPr>
          <w:b/>
          <w:bCs/>
          <w:sz w:val="26"/>
          <w:szCs w:val="26"/>
        </w:rPr>
        <w:t>Venkatesan R</w:t>
      </w:r>
      <w:r>
        <w:rPr>
          <w:sz w:val="26"/>
          <w:szCs w:val="26"/>
        </w:rPr>
        <w:t xml:space="preserve">, </w:t>
      </w:r>
      <w:r>
        <w:rPr>
          <w:b/>
          <w:bCs/>
          <w:sz w:val="26"/>
          <w:szCs w:val="26"/>
        </w:rPr>
        <w:t xml:space="preserve">Head of the Department, Department of Computer Science and Design, </w:t>
      </w:r>
      <w:r>
        <w:rPr>
          <w:sz w:val="26"/>
          <w:szCs w:val="26"/>
        </w:rPr>
        <w:t>for her valuable suggestions to carry out the project work successfully.</w:t>
      </w:r>
    </w:p>
    <w:p w14:paraId="7D616260">
      <w:pPr>
        <w:pStyle w:val="style0"/>
        <w:spacing w:after="160" w:lineRule="auto" w:line="360"/>
        <w:ind w:firstLine="720"/>
        <w:jc w:val="both"/>
        <w:rPr>
          <w:sz w:val="26"/>
          <w:szCs w:val="26"/>
        </w:rPr>
      </w:pPr>
      <w:r>
        <w:rPr>
          <w:sz w:val="26"/>
          <w:szCs w:val="26"/>
        </w:rPr>
        <w:t xml:space="preserve">We wish to express our sincere thanks to Faculty guide </w:t>
      </w:r>
      <w:r>
        <w:rPr>
          <w:b/>
          <w:bCs/>
          <w:sz w:val="26"/>
          <w:szCs w:val="26"/>
        </w:rPr>
        <w:t>Ms. INDHUMATHI K, Assistant Professor</w:t>
      </w:r>
      <w:r>
        <w:rPr>
          <w:sz w:val="26"/>
          <w:szCs w:val="26"/>
        </w:rPr>
        <w:t xml:space="preserve">, </w:t>
      </w:r>
      <w:r>
        <w:rPr>
          <w:b/>
          <w:bCs/>
          <w:sz w:val="26"/>
          <w:szCs w:val="26"/>
        </w:rPr>
        <w:t xml:space="preserve">Department of Computer Science and Desing, </w:t>
      </w:r>
      <w:r>
        <w:rPr>
          <w:sz w:val="26"/>
          <w:szCs w:val="26"/>
        </w:rPr>
        <w:t>for her constructive ideas, inspirations, encouragement, excellent guidance, and much needed technical support extended to complete our project work.</w:t>
      </w:r>
    </w:p>
    <w:p w14:paraId="1C07EC98">
      <w:pPr>
        <w:pStyle w:val="style0"/>
        <w:spacing w:after="160" w:lineRule="auto" w:line="360"/>
        <w:jc w:val="both"/>
        <w:rPr>
          <w:sz w:val="26"/>
          <w:szCs w:val="26"/>
        </w:rPr>
      </w:pPr>
    </w:p>
    <w:p w14:paraId="770C5676">
      <w:pPr>
        <w:pStyle w:val="style0"/>
        <w:spacing w:after="160" w:lineRule="auto" w:line="360"/>
        <w:ind w:firstLine="720"/>
        <w:jc w:val="both"/>
        <w:rPr>
          <w:sz w:val="26"/>
          <w:szCs w:val="26"/>
        </w:rPr>
      </w:pPr>
      <w:r>
        <w:rPr>
          <w:sz w:val="26"/>
          <w:szCs w:val="26"/>
        </w:rPr>
        <w:t>We would like to thank our friends, faculty and non-teaching staff who have directly and indirectly contributed to the success of this project.</w:t>
      </w:r>
    </w:p>
    <w:p w14:paraId="2F5DE581">
      <w:pPr>
        <w:pStyle w:val="style0"/>
        <w:spacing w:lineRule="auto" w:line="360"/>
        <w:rPr/>
      </w:pPr>
    </w:p>
    <w:p w14:paraId="7A918262">
      <w:pPr>
        <w:pStyle w:val="style0"/>
        <w:spacing w:lineRule="auto" w:line="360"/>
        <w:rPr/>
      </w:pPr>
    </w:p>
    <w:p w14:paraId="3608E59F">
      <w:pPr>
        <w:pStyle w:val="style0"/>
        <w:spacing w:lineRule="auto" w:line="360"/>
        <w:rPr/>
      </w:pPr>
    </w:p>
    <w:p w14:paraId="403A4A6C">
      <w:pPr>
        <w:pStyle w:val="style0"/>
        <w:spacing w:after="60" w:lineRule="auto" w:line="360"/>
        <w:rPr/>
      </w:pPr>
    </w:p>
    <w:p w14:paraId="1745F2CB">
      <w:pPr>
        <w:pStyle w:val="style0"/>
        <w:spacing w:after="60" w:lineRule="auto" w:line="360"/>
        <w:jc w:val="right"/>
        <w:rPr/>
      </w:pPr>
      <w:r>
        <w:rPr>
          <w:b/>
          <w:bCs/>
          <w:sz w:val="26"/>
          <w:szCs w:val="26"/>
        </w:rPr>
        <w:t>LOGITHKUMAR K R</w:t>
      </w:r>
    </w:p>
    <w:p w14:paraId="71801C40">
      <w:pPr>
        <w:pStyle w:val="style0"/>
        <w:spacing w:after="60" w:lineRule="auto" w:line="360"/>
        <w:jc w:val="right"/>
        <w:rPr/>
      </w:pPr>
      <w:r>
        <w:rPr>
          <w:b/>
          <w:bCs/>
          <w:sz w:val="26"/>
          <w:szCs w:val="26"/>
        </w:rPr>
        <w:t>RAMESH S</w:t>
      </w:r>
    </w:p>
    <w:p w14:paraId="5AC8C087">
      <w:pPr>
        <w:pStyle w:val="style0"/>
        <w:rPr/>
      </w:pPr>
      <w:r>
        <w:br w:type="page"/>
      </w:r>
    </w:p>
    <w:p w14:paraId="628EEFDB">
      <w:pPr>
        <w:pStyle w:val="style0"/>
        <w:spacing w:lineRule="auto" w:line="360"/>
        <w:rPr/>
      </w:pPr>
    </w:p>
    <w:p w14:paraId="20948538">
      <w:pPr>
        <w:pStyle w:val="style0"/>
        <w:spacing w:after="360" w:lineRule="auto" w:line="360"/>
        <w:jc w:val="center"/>
        <w:rPr/>
      </w:pPr>
      <w:r>
        <w:rPr>
          <w:b/>
          <w:bCs/>
          <w:sz w:val="28"/>
          <w:szCs w:val="28"/>
        </w:rPr>
        <w:t>ABSTRACT</w:t>
      </w:r>
    </w:p>
    <w:p w14:paraId="7CC774F4">
      <w:pPr>
        <w:pStyle w:val="style0"/>
        <w:spacing w:after="360" w:lineRule="auto" w:line="360"/>
        <w:ind w:firstLine="720"/>
        <w:jc w:val="both"/>
        <w:rPr>
          <w:sz w:val="26"/>
          <w:szCs w:val="26"/>
        </w:rPr>
      </w:pPr>
      <w:r>
        <w:rPr>
          <w:rFonts w:ascii="Times New Roman" w:hAnsi="Times New Roman"/>
          <w:sz w:val="26"/>
        </w:rPr>
        <w:t>Academic progression monitoring and early attrition prevention represent paramount challenges in contemporary higher education institutions. Traditional institutional record-keeping approaches rely heavily on decentralized spreadsheets, static ledger sheets, and manual calculations conducted after end-semester examinations conclude. This post-facto evaluation model prevents academic deans, department heads, and faculty mentors from implementing timely remedial interventions for vulnerable students during the active academic term.</w:t>
      </w:r>
    </w:p>
    <w:p w14:paraId="0ADEBD04">
      <w:pPr>
        <w:pStyle w:val="style0"/>
        <w:spacing w:after="360" w:lineRule="auto" w:line="360"/>
        <w:ind w:firstLine="720"/>
        <w:jc w:val="both"/>
        <w:rPr>
          <w:sz w:val="26"/>
          <w:szCs w:val="26"/>
        </w:rPr>
      </w:pPr>
      <w:r>
        <w:rPr>
          <w:rFonts w:ascii="Times New Roman" w:hAnsi="Times New Roman"/>
          <w:sz w:val="26"/>
        </w:rPr>
        <w:t>This project presents the Academic Intelligence Platform, an enterprise-grade academic analytics dashboard, machine learning risk assessment engine, and conversational AI data studio engineered specifically for autonomous engineering institutions. The platform integrates four core architectural tiers: an automated Academic Record Ingestion and Normalization Pipeline, an XGBoost Failure Probability Classifier, a conversational AI Query Subsystem with resilient cloud failover, and an interactive 12-component dynamic visualization dashboard built using React 19 and Recharts.</w:t>
      </w:r>
    </w:p>
    <w:p w14:paraId="1E05E60C">
      <w:pPr>
        <w:pStyle w:val="style0"/>
        <w:spacing w:after="360" w:lineRule="auto" w:line="360"/>
        <w:ind w:firstLine="720"/>
        <w:jc w:val="both"/>
        <w:rPr>
          <w:sz w:val="26"/>
          <w:szCs w:val="26"/>
        </w:rPr>
      </w:pPr>
      <w:r>
        <w:rPr>
          <w:rFonts w:ascii="Times New Roman" w:hAnsi="Times New Roman"/>
          <w:sz w:val="26"/>
        </w:rPr>
        <w:t>The data ingestion pipeline recursively traverses institutional multi-semester consolidated result workbooks across twenty undergraduate engineering departments (including Computer Science, Information Technology, AI &amp; Data Science, Electronics and Communication, and Mechanical Engineering), ingesting over 7,200 student records. The machine learning risk prediction engine uses an XGBoost Classifier trained on continuous internal assessment marks, normalizing varying assessment scales (40, 50, and 60 marks) into unified percentage benchmarks to output calibrated failure probabilities categorized into Safe (&lt;30%), Medium Risk (30-65%), and High Risk (&gt;65%) cohorts.</w:t>
      </w:r>
    </w:p>
    <w:p w14:paraId="6357188C">
      <w:pPr>
        <w:pStyle w:val="style0"/>
        <w:spacing w:after="360" w:lineRule="auto" w:line="360"/>
        <w:ind w:firstLine="720"/>
        <w:jc w:val="both"/>
        <w:rPr>
          <w:sz w:val="26"/>
          <w:szCs w:val="26"/>
        </w:rPr>
      </w:pPr>
      <w:r>
        <w:rPr>
          <w:rFonts w:ascii="Times New Roman" w:hAnsi="Times New Roman"/>
          <w:sz w:val="26"/>
        </w:rPr>
        <w:t>To deliver immediate, non-technical data exploration, the platform incorporates a natural-language conversational analytics engine powered by Groq Large Language Models. The engine integrates a multi-key pool failover mechanism and cascading model fallback (openai/gpt-oss-120b to gpt-oss-20b and qwen/qwen3.8-27b) alongside a local rule-based caching router that executes standard queries with zero token consumption. Comprehensive test evaluations confirm an inference latency below 15ms per student, high batch parsing efficiency, resilient failover recovery, and client-side vector (SVG), raster (PNG), and tabular (CSV) exports.</w:t>
      </w:r>
    </w:p>
    <w:p w14:paraId="1F55A9EC">
      <w:pPr>
        <w:pStyle w:val="style0"/>
        <w:spacing w:after="360" w:lineRule="auto" w:line="360"/>
        <w:jc w:val="center"/>
        <w:rPr>
          <w:b/>
          <w:bCs/>
          <w:sz w:val="28"/>
          <w:szCs w:val="28"/>
        </w:rPr>
      </w:pPr>
    </w:p>
    <w:p w14:paraId="34648E43">
      <w:pPr>
        <w:pStyle w:val="style0"/>
        <w:spacing w:after="360" w:lineRule="auto" w:line="360"/>
        <w:jc w:val="center"/>
        <w:rPr>
          <w:b/>
          <w:bCs/>
          <w:sz w:val="28"/>
          <w:szCs w:val="28"/>
        </w:rPr>
      </w:pPr>
    </w:p>
    <w:p w14:paraId="10B27DC7">
      <w:pPr>
        <w:pStyle w:val="style0"/>
        <w:spacing w:after="360" w:lineRule="auto" w:line="360"/>
        <w:jc w:val="center"/>
        <w:rPr>
          <w:b/>
          <w:bCs/>
          <w:sz w:val="28"/>
          <w:szCs w:val="28"/>
        </w:rPr>
      </w:pPr>
    </w:p>
    <w:p w14:paraId="2A90022D">
      <w:pPr>
        <w:pStyle w:val="style0"/>
        <w:spacing w:after="360" w:lineRule="auto" w:line="360"/>
        <w:jc w:val="center"/>
        <w:rPr>
          <w:b/>
          <w:bCs/>
          <w:sz w:val="28"/>
          <w:szCs w:val="28"/>
        </w:rPr>
      </w:pPr>
    </w:p>
    <w:p w14:paraId="71B04BBD">
      <w:pPr>
        <w:pStyle w:val="style0"/>
        <w:spacing w:after="360" w:lineRule="auto" w:line="360"/>
        <w:jc w:val="center"/>
        <w:rPr/>
      </w:pPr>
      <w:r>
        <w:rPr>
          <w:b/>
          <w:bCs/>
          <w:sz w:val="28"/>
          <w:szCs w:val="28"/>
        </w:rPr>
        <w:t>TABLE OF CONTENT</w:t>
      </w:r>
    </w:p>
    <w:tbl>
      <w:tblPr>
        <w:tblW w:w="9360" w:type="dxa"/>
        <w:shd w:val="clear" w:color="auto" w:fill="ffffff"/>
        <w:tblCellMar>
          <w:left w:w="10" w:type="dxa"/>
          <w:right w:w="10" w:type="dxa"/>
        </w:tblCellMar>
        <w:tblLook w:val="0000" w:firstRow="0" w:lastRow="0" w:firstColumn="0" w:lastColumn="0" w:noHBand="0" w:noVBand="0"/>
      </w:tblPr>
      <w:tblGrid>
        <w:gridCol w:w="1794"/>
        <w:gridCol w:w="6239"/>
        <w:gridCol w:w="1326"/>
      </w:tblGrid>
      <w:tr w14:paraId="06505E4E">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CHAPTER NO.</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TITLE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PAGE NO.</w:t>
            </w:r>
          </w:p>
        </w:tc>
      </w:tr>
      <w:tr w14:paraId="740370B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ACKNOWLEDGEMENT</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iii</w:t>
            </w:r>
          </w:p>
        </w:tc>
      </w:tr>
      <w:tr w14:paraId="2B355EA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ABSTRACT</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iv</w:t>
            </w:r>
          </w:p>
        </w:tc>
      </w:tr>
      <w:tr w14:paraId="7A9AE147">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TABLE OF CONTENT</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v</w:t>
            </w:r>
          </w:p>
        </w:tc>
      </w:tr>
      <w:tr w14:paraId="4DE4239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LIST OF FIGURES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vii</w:t>
            </w:r>
          </w:p>
        </w:tc>
      </w:tr>
      <w:tr w14:paraId="7DCBA6AD">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LIST OF TABLES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viii</w:t>
            </w:r>
          </w:p>
        </w:tc>
      </w:tr>
      <w:tr w14:paraId="62D704B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INTRODUCTION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w:t>
            </w:r>
          </w:p>
        </w:tc>
      </w:tr>
      <w:tr w14:paraId="72184F6B">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Background of the Work</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w:t>
            </w:r>
          </w:p>
        </w:tc>
      </w:tr>
      <w:tr w14:paraId="1287117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Problem Statement</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w:t>
            </w:r>
          </w:p>
        </w:tc>
      </w:tr>
      <w:tr w14:paraId="509F6F7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Motivation and Scope of the Proposed Work</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w:t>
            </w:r>
          </w:p>
        </w:tc>
      </w:tr>
      <w:tr w14:paraId="2E4EC5E7">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LITERATURE SURVEY</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7</w:t>
            </w:r>
          </w:p>
        </w:tc>
      </w:tr>
      <w:tr w14:paraId="4FA46660">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Educational Data Mining and Student Risk Modeling</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7</w:t>
            </w:r>
          </w:p>
        </w:tc>
      </w:tr>
      <w:tr w14:paraId="4940429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Machine Learning Classifiers for Academic Progression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8</w:t>
            </w:r>
          </w:p>
        </w:tc>
      </w:tr>
      <w:tr w14:paraId="70BFB8BB">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Natural Language Interfaces and LLMs for Institutional Analytics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9</w:t>
            </w:r>
          </w:p>
        </w:tc>
      </w:tr>
      <w:tr w14:paraId="2663986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2.4</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Modern Web Dashboards and Interactive Visualizations in Education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10</w:t>
            </w:r>
          </w:p>
        </w:tc>
      </w:tr>
      <w:tr w14:paraId="164B651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2.5</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Gap Identification and Problem Formulation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11</w:t>
            </w:r>
          </w:p>
        </w:tc>
      </w:tr>
      <w:tr w14:paraId="10578B6E">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OBJECTIVES AND METHODOLOGY</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13</w:t>
            </w:r>
          </w:p>
        </w:tc>
      </w:tr>
      <w:tr w14:paraId="66B2AB37">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Objectives of the Proposed Work</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13</w:t>
            </w:r>
          </w:p>
        </w:tc>
      </w:tr>
      <w:tr w14:paraId="645FAC12">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System Architecture Overview</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14</w:t>
            </w:r>
          </w:p>
        </w:tc>
      </w:tr>
      <w:tr w14:paraId="1C7103A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Academic Data Ingestion &amp; Normalization Pipeline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16</w:t>
            </w:r>
          </w:p>
        </w:tc>
      </w:tr>
      <w:tr w14:paraId="0556AC87">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3.4</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Machine Learning Risk Prediction Engine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19</w:t>
            </w:r>
          </w:p>
        </w:tc>
      </w:tr>
      <w:tr w14:paraId="1C1E5BD0">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3.5</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Conversational AI Query Subsystem &amp; Graph Specification Engine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21</w:t>
            </w:r>
          </w:p>
        </w:tc>
      </w:tr>
      <w:tr w14:paraId="7CFCE334">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3.6</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Dynamic Frontend Visual Analytics Subsystem</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24</w:t>
            </w:r>
          </w:p>
        </w:tc>
      </w:tr>
      <w:tr w14:paraId="396BB22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3.7</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Selection of Tools and Technologies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25</w:t>
            </w:r>
          </w:p>
        </w:tc>
      </w:tr>
      <w:tr w14:paraId="22202BE9">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PROPOSED WORK MODULES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26</w:t>
            </w:r>
          </w:p>
        </w:tc>
      </w:tr>
      <w:tr w14:paraId="38831ED4">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Ingestion &amp; Academic Record Aggregator Module Implementation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26</w:t>
            </w:r>
          </w:p>
        </w:tc>
      </w:tr>
      <w:tr w14:paraId="5EF013D9">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Machine Learning Risk Prediction Engine Implementation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28</w:t>
            </w:r>
          </w:p>
        </w:tc>
      </w:tr>
      <w:tr w14:paraId="73B751F5">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Conversational AI &amp; Multi-Key Failover Engine Implementation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30</w:t>
            </w:r>
          </w:p>
        </w:tc>
      </w:tr>
      <w:tr w14:paraId="2E0155F5">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4.4</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Dynamic Visual Analytics &amp; Dashboard Implementation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33</w:t>
            </w:r>
          </w:p>
        </w:tc>
      </w:tr>
      <w:tr w14:paraId="6CF85FA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RESULTS AND DISCUSSION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35</w:t>
            </w:r>
          </w:p>
        </w:tc>
      </w:tr>
      <w:tr w14:paraId="60EDA920">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System Functionality Results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35</w:t>
            </w:r>
          </w:p>
        </w:tc>
      </w:tr>
      <w:tr w14:paraId="72D88E09">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Significance, Strengths, and Limitations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40</w:t>
            </w:r>
          </w:p>
        </w:tc>
      </w:tr>
      <w:tr w14:paraId="7BEEBEB0">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Cost-Benefit Analysis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42</w:t>
            </w:r>
          </w:p>
        </w:tc>
      </w:tr>
      <w:tr w14:paraId="60608054">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6</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CONCLUSIONS AND FUTURE WORK</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44</w:t>
            </w:r>
          </w:p>
        </w:tc>
      </w:tr>
      <w:tr w14:paraId="4EA1B726">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6.1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Conclusion</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44</w:t>
            </w:r>
          </w:p>
        </w:tc>
      </w:tr>
      <w:tr w14:paraId="492FC4C9">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6.2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Suggestions for Future Work</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45</w:t>
            </w:r>
          </w:p>
        </w:tc>
      </w:tr>
      <w:tr w14:paraId="3C7CEA17">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REFERENCES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47</w:t>
            </w:r>
          </w:p>
        </w:tc>
      </w:tr>
      <w:tr w14:paraId="7FF60811">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APPENDIX</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49</w:t>
            </w:r>
          </w:p>
        </w:tc>
      </w:tr>
    </w:tbl>
    <w:p w14:paraId="1CA070A2">
      <w:pPr>
        <w:pStyle w:val="style0"/>
        <w:rPr/>
      </w:pPr>
      <w:r>
        <w:br w:type="page"/>
      </w:r>
    </w:p>
    <w:p w14:paraId="520DC573">
      <w:pPr>
        <w:pStyle w:val="style0"/>
        <w:spacing w:after="360" w:lineRule="auto" w:line="360"/>
        <w:jc w:val="center"/>
        <w:rPr/>
      </w:pPr>
      <w:r>
        <w:rPr>
          <w:b/>
          <w:bCs/>
          <w:sz w:val="28"/>
          <w:szCs w:val="28"/>
        </w:rPr>
        <w:t>LIST OF FIGURES</w:t>
      </w:r>
    </w:p>
    <w:tbl>
      <w:tblPr>
        <w:tblW w:w="9360" w:type="dxa"/>
        <w:shd w:val="clear" w:color="auto" w:fill="ffffff"/>
        <w:tblCellMar>
          <w:left w:w="10" w:type="dxa"/>
          <w:right w:w="10" w:type="dxa"/>
        </w:tblCellMar>
        <w:tblLook w:val="0000" w:firstRow="0" w:lastRow="0" w:firstColumn="0" w:lastColumn="0" w:noHBand="0" w:noVBand="0"/>
      </w:tblPr>
      <w:tblGrid>
        <w:gridCol w:w="1092"/>
        <w:gridCol w:w="6970"/>
        <w:gridCol w:w="1296"/>
      </w:tblGrid>
      <w:tr w14:paraId="50F794B9">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FIG. NO.</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FIGURE NAME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PAGE NO.</w:t>
            </w:r>
          </w:p>
        </w:tc>
      </w:tr>
      <w:tr w14:paraId="20B6450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Academic Intelligence Platform System Architecture Overview</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15</w:t>
            </w:r>
          </w:p>
        </w:tc>
      </w:tr>
      <w:tr w14:paraId="78B95B51">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End-to-End Conversational AI &amp; Failover Execution Flow</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23</w:t>
            </w:r>
          </w:p>
        </w:tc>
      </w:tr>
      <w:tr w14:paraId="115D866B">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Department Performance Overview Dashboard</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31</w:t>
            </w:r>
          </w:p>
        </w:tc>
      </w:tr>
      <w:tr w14:paraId="756DCA5C">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Individual Student Academic Analytics &amp; Progression View</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32</w:t>
            </w:r>
          </w:p>
        </w:tc>
      </w:tr>
      <w:tr w14:paraId="74278C84">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Conversational AI Analytics &amp; Dynamic Query Interface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34</w:t>
            </w:r>
          </w:p>
        </w:tc>
      </w:tr>
      <w:tr w14:paraId="07106329">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Management HOD Analytics Portal Interface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38</w:t>
            </w:r>
          </w:p>
        </w:tc>
      </w:tr>
      <w:tr w14:paraId="527DBB9B">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Academic Performance Analytics Hardware &amp; Architecture Mockup</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39</w:t>
            </w:r>
          </w:p>
        </w:tc>
      </w:tr>
    </w:tbl>
    <w:p w14:paraId="3C93198D">
      <w:pPr>
        <w:pStyle w:val="style0"/>
        <w:rPr/>
      </w:pPr>
      <w:r>
        <w:br w:type="page"/>
      </w:r>
    </w:p>
    <w:p w14:paraId="724813CE">
      <w:pPr>
        <w:pStyle w:val="style0"/>
        <w:spacing w:after="360" w:lineRule="auto" w:line="360"/>
        <w:jc w:val="center"/>
        <w:rPr/>
      </w:pPr>
      <w:r>
        <w:rPr>
          <w:b/>
          <w:bCs/>
          <w:sz w:val="28"/>
          <w:szCs w:val="28"/>
        </w:rPr>
        <w:t>LIST OF TABLES</w:t>
      </w:r>
    </w:p>
    <w:tbl>
      <w:tblPr>
        <w:tblW w:w="9360" w:type="dxa"/>
        <w:shd w:val="clear" w:color="auto" w:fill="ffffff"/>
        <w:tblCellMar>
          <w:left w:w="10" w:type="dxa"/>
          <w:right w:w="10" w:type="dxa"/>
        </w:tblCellMar>
        <w:tblLook w:val="0000" w:firstRow="0" w:lastRow="0" w:firstColumn="0" w:lastColumn="0" w:noHBand="0" w:noVBand="0"/>
      </w:tblPr>
      <w:tblGrid>
        <w:gridCol w:w="1438"/>
        <w:gridCol w:w="6583"/>
        <w:gridCol w:w="1337"/>
      </w:tblGrid>
      <w:tr w14:paraId="4109EC36">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TABLE NO.</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TABLE NAME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b/>
                <w:sz w:val="22"/>
              </w:rPr>
              <w:t>PAGE NO.</w:t>
            </w:r>
          </w:p>
        </w:tc>
      </w:tr>
      <w:tr w14:paraId="176EAB6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Academic Result Data Sources &amp; Schema Extracted by the Ingestion Pipeline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17</w:t>
            </w:r>
          </w:p>
        </w:tc>
      </w:tr>
      <w:tr w14:paraId="16CCA63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Internal Assessment Scaling and Grade Normalization Mapping Rules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18</w:t>
            </w:r>
          </w:p>
        </w:tc>
      </w:tr>
      <w:tr w14:paraId="26486153">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XGBoost Feature Formulations and Risk Categorization Thresholds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20</w:t>
            </w:r>
          </w:p>
        </w:tc>
      </w:tr>
      <w:tr w14:paraId="5DEFD35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3.4</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Summary of Tools and Technologies Used</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25</w:t>
            </w:r>
          </w:p>
        </w:tc>
      </w:tr>
      <w:tr w14:paraId="20DA033A">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Academic Record Parsing Steps and Normalization Pipeline</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27</w:t>
            </w:r>
          </w:p>
        </w:tc>
      </w:tr>
      <w:tr w14:paraId="3253D54F">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FastAPI Backend REST Endpoints — Request and Response Specifications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29</w:t>
            </w:r>
          </w:p>
        </w:tc>
      </w:tr>
      <w:tr w14:paraId="6AAF24F2">
        <w:tblPrEx/>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4.3</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Dynamic Chart Engine Feature Matrix — Visualizations, Axes &amp; Export Options</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32</w:t>
            </w:r>
          </w:p>
        </w:tc>
      </w:tr>
      <w:tr w14:paraId="191386F9">
        <w:tblPrEx/>
        <w:trPr>
          <w:trHeight w:val="21" w:hRule="atLeast"/>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5.1</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System Functionality Verification — Test Case Summary</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37</w:t>
            </w:r>
          </w:p>
        </w:tc>
      </w:tr>
      <w:tr w14:paraId="76E98A63">
        <w:tblPrEx/>
        <w:trPr>
          <w:trHeight w:val="21" w:hRule="atLeast"/>
        </w:trPr>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5.2</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Cost-Benefit and Resource Utilization Summary</w:t>
            </w:r>
          </w:p>
        </w:tc>
        <w:tc>
          <w:tcPr>
            <w:tcW w:w="0" w:type="auto"/>
            <w:tcBorders/>
            <w:shd w:val="clear" w:color="auto" w:fill="ffffff"/>
            <w:tcMar>
              <w:top w:w="80" w:type="dxa"/>
              <w:left w:w="120" w:type="dxa"/>
              <w:bottom w:w="80" w:type="dxa"/>
              <w:right w:w="120" w:type="dxa"/>
            </w:tcMar>
          </w:tcPr>
          <w:p>
            <w:pPr>
              <w:spacing w:line="276" w:lineRule="auto" w:before="40" w:after="40"/>
            </w:pPr>
            <w:r>
              <w:rPr>
                <w:rFonts w:ascii="Times New Roman" w:hAnsi="Times New Roman"/>
                <w:sz w:val="22"/>
              </w:rPr>
              <w:t>43</w:t>
            </w:r>
          </w:p>
        </w:tc>
      </w:tr>
    </w:tbl>
    <w:p w14:paraId="1D2DB5FB">
      <w:pPr>
        <w:pStyle w:val="style0"/>
        <w:rPr/>
      </w:pPr>
      <w:r>
        <w:br w:type="page"/>
      </w:r>
    </w:p>
    <w:p w14:paraId="7DAB2882">
      <w:pPr>
        <w:pStyle w:val="style0"/>
        <w:spacing w:after="120" w:lineRule="auto" w:line="360"/>
        <w:jc w:val="center"/>
        <w:rPr>
          <w:b/>
          <w:bCs/>
          <w:caps/>
          <w:sz w:val="28"/>
          <w:szCs w:val="28"/>
        </w:rPr>
        <w:sectPr>
          <w:pgSz w:w="11906" w:h="16838" w:orient="portrait"/>
          <w:pgMar w:top="1440" w:right="1440" w:bottom="1440" w:left="1440" w:header="708" w:footer="708" w:gutter="0"/>
          <w:pgNumType w:fmt="lowerRoman" w:start="1"/>
          <w:cols w:space="720"/>
          <w:docGrid w:linePitch="360"/>
        </w:sectPr>
      </w:pPr>
    </w:p>
    <w:p>
      <w:pPr>
        <w:spacing w:line="360" w:lineRule="auto" w:before="480" w:after="120"/>
        <w:ind w:firstLine="0"/>
        <w:jc w:val="center"/>
      </w:pPr>
      <w:r>
        <w:rPr>
          <w:rFonts w:ascii="Times New Roman" w:hAnsi="Times New Roman"/>
          <w:b/>
          <w:sz w:val="28"/>
        </w:rPr>
        <w:t>CHAPTER I</w:t>
      </w:r>
    </w:p>
    <w:p>
      <w:pPr>
        <w:spacing w:line="360" w:lineRule="auto" w:before="0" w:after="360"/>
        <w:ind w:firstLine="0"/>
        <w:jc w:val="center"/>
      </w:pPr>
      <w:r>
        <w:rPr>
          <w:rFonts w:ascii="Times New Roman" w:hAnsi="Times New Roman"/>
          <w:b/>
          <w:sz w:val="28"/>
        </w:rPr>
        <w:t>INTRODUCTION</w:t>
      </w:r>
    </w:p>
    <w:p>
      <w:pPr>
        <w:spacing w:line="360" w:lineRule="auto" w:before="280" w:after="120"/>
        <w:ind w:firstLine="0"/>
        <w:jc w:val="left"/>
      </w:pPr>
      <w:r>
        <w:rPr>
          <w:rFonts w:ascii="Times New Roman" w:hAnsi="Times New Roman"/>
          <w:b/>
          <w:sz w:val="26"/>
        </w:rPr>
        <w:t>1.1 Background of the Work</w:t>
      </w:r>
    </w:p>
    <w:p>
      <w:pPr>
        <w:spacing w:line="360" w:lineRule="auto" w:before="0" w:after="120"/>
        <w:ind w:firstLine="720"/>
        <w:jc w:val="both"/>
      </w:pPr>
      <w:r>
        <w:rPr>
          <w:rFonts w:ascii="Times New Roman" w:hAnsi="Times New Roman"/>
          <w:sz w:val="26"/>
        </w:rPr>
        <w:t>Higher education institutions in contemporary engineering education operate within highly structured Outcome-Based Education (OBE) frameworks mandated by accreditation agencies such as the National Board of Accreditation (NBA) and the National Assessment and Accreditation Council (NAAC). Autonomous engineering colleges affiliated with state technological universities manage diverse student cohorts distributed across dozens of specialised degree programs, ranging from Computer Science and Information Technology to Mechatronics and Biotechnology. Within this academic paradigm, tracking student progression, continuous internal assessment (CIA) marks, semester grade point averages (SGPA), and cumulative grade point averages (CGPA) is critical to ensuring educational quality and academic retention.</w:t>
      </w:r>
    </w:p>
    <w:p>
      <w:pPr>
        <w:spacing w:line="360" w:lineRule="auto" w:before="0" w:after="120"/>
        <w:ind w:firstLine="720"/>
        <w:jc w:val="both"/>
      </w:pPr>
      <w:r>
        <w:rPr>
          <w:rFonts w:ascii="Times New Roman" w:hAnsi="Times New Roman"/>
          <w:sz w:val="26"/>
        </w:rPr>
        <w:t>Despite widespread digitisation across campus administrative departments, academic progression monitoring remains predominantly retrospective. In conventional academic workflows, continuous assessment marks, laboratory scores, and semester-end examination grades are entered into decentralized spreadsheets by individual course instructors. These mark sheets are subsequently forwarded to departmental academic coordinators and office of the controller of examinations. The synthesis of this voluminous data into actionable institutional intelligence typically takes place weeks after examinations conclude, once final consolidated result gazettes are published.</w:t>
      </w:r>
    </w:p>
    <w:p>
      <w:pPr>
        <w:spacing w:line="360" w:lineRule="auto" w:before="0" w:after="120"/>
        <w:ind w:firstLine="720"/>
        <w:jc w:val="both"/>
      </w:pPr>
      <w:r>
        <w:rPr>
          <w:rFonts w:ascii="Times New Roman" w:hAnsi="Times New Roman"/>
          <w:sz w:val="26"/>
        </w:rPr>
        <w:t>This latency introduces severe pedagogical vulnerabilities. Students experiencing academic distress—manifested through declining internal test marks, poor quiz scores, or marginal laboratory evaluation metrics—frequently go unnoticed during the crucial formative weeks of the semester when targeted remedial teaching could alter their academic trajectory. When semester failure ultimately occurs, resulting in academic arrears, the institution must allocate substantial administrative and instructional bandwidth toward supplementary examinations, remedial coaching, and progression tracking. A modern educational enterprise requires proactive, real-time academic intelligence platforms capable of synthesizing heterogeneous departmental data, predicting impending course failures, and empowering non-technical stakeholders to query complex academic records in natural language.</w:t>
      </w:r>
    </w:p>
    <w:p>
      <w:pPr>
        <w:spacing w:line="360" w:lineRule="auto" w:before="0" w:after="120"/>
        <w:ind w:firstLine="720"/>
        <w:jc w:val="both"/>
      </w:pPr>
      <w:r>
        <w:rPr>
          <w:rFonts w:ascii="Times New Roman" w:hAnsi="Times New Roman"/>
          <w:sz w:val="26"/>
        </w:rPr>
        <w:t>The platform developed in this project directly addresses these institutional imperatives. Built upon multi-semester academic records from twenty undergraduate departments comprising more than 7,200 student records, the Academic Intelligence Platform combines automated multi-format spreadsheet ingestion, calibrated machine learning failure probability estimation using XGBoost, high-speed conversational LLM querying with multi-key failover resilience, and responsive, publication-grade interactive data visualisations.</w:t>
      </w:r>
    </w:p>
    <w:p>
      <w:pPr>
        <w:spacing w:line="360" w:lineRule="auto" w:before="280" w:after="120"/>
        <w:ind w:firstLine="0"/>
        <w:jc w:val="left"/>
      </w:pPr>
      <w:r>
        <w:rPr>
          <w:rFonts w:ascii="Times New Roman" w:hAnsi="Times New Roman"/>
          <w:b/>
          <w:sz w:val="26"/>
        </w:rPr>
        <w:t>1.2 Problem Statement</w:t>
      </w:r>
    </w:p>
    <w:p>
      <w:pPr>
        <w:spacing w:line="360" w:lineRule="auto" w:before="0" w:after="120"/>
        <w:ind w:firstLine="720"/>
        <w:jc w:val="both"/>
      </w:pPr>
      <w:r>
        <w:rPr>
          <w:rFonts w:ascii="Times New Roman" w:hAnsi="Times New Roman"/>
          <w:sz w:val="26"/>
        </w:rPr>
        <w:t>The institutional challenge addressed by this project encompasses three critical technical and organizational dimensions: heterogeneous data fragmentation, absence of proactive risk modeling, and operational vulnerability in conversational cloud artificial intelligence.</w:t>
      </w:r>
    </w:p>
    <w:p>
      <w:pPr>
        <w:spacing w:line="360" w:lineRule="auto" w:before="0" w:after="120"/>
        <w:ind w:firstLine="720"/>
        <w:jc w:val="both"/>
      </w:pPr>
      <w:r>
        <w:rPr>
          <w:rFonts w:ascii="Times New Roman" w:hAnsi="Times New Roman"/>
          <w:sz w:val="26"/>
        </w:rPr>
        <w:t>The first dimension concerns academic data heterogeneity and formatting fragmentation. Academic departments within an autonomous institution utilize varying assessment rubrics governed by different curricular regulations. Continuous internal assessments may be recorded on varying scales—most commonly out of 40, 50, or 60 maximum marks—depending on whether the course is a pure theory subject, an integrated theory-cum-practical course, or an autonomous project module. Spreadsheets maintained across departments contain divergent naming conventions, irregular header positions, and disparate grade notations (ranging from 'O', 'A+', 'A' to 'U', 'RA', 'W', and 'AB'). Querying across these disparate datasets requires extensive manual data cleaning, rendering automated cross-departmental analytics virtually impossible without automated schema reconciliation.</w:t>
      </w:r>
    </w:p>
    <w:p>
      <w:pPr>
        <w:spacing w:line="360" w:lineRule="auto" w:before="0" w:after="120"/>
        <w:ind w:firstLine="720"/>
        <w:jc w:val="both"/>
      </w:pPr>
      <w:r>
        <w:rPr>
          <w:rFonts w:ascii="Times New Roman" w:hAnsi="Times New Roman"/>
          <w:sz w:val="26"/>
        </w:rPr>
        <w:t>The second dimension is the absence of predictive, probabilistic early-warning mechanisms. Conventional institutional dashboards present retrospective, descriptive metrics—such as historic semester pass percentages or overall departmental averages—without modeling future student risk. When individual students fail multiple subjects, faculty advisors are unable to determine the exact inflection point at which failure became probable. Standard heuristic thresholds (e.g., flagging any student scoring under 50% on a single test) generate high rates of false positives and fail to capture multi-subject compounding risk, such as when a student maintains borderline performance across four technical subjects simultaneously.</w:t>
      </w:r>
    </w:p>
    <w:p>
      <w:pPr>
        <w:spacing w:line="360" w:lineRule="auto" w:before="0" w:after="120"/>
        <w:ind w:firstLine="720"/>
        <w:jc w:val="both"/>
      </w:pPr>
      <w:r>
        <w:rPr>
          <w:rFonts w:ascii="Times New Roman" w:hAnsi="Times New Roman"/>
          <w:sz w:val="26"/>
        </w:rPr>
        <w:t>The third dimension involves the fragility and cost of Large Language Model (LLM) integration within educational administrative systems. While natural language interfaces enable non-technical academic deans and department heads to interrogate databases without learning SQL or writing Python scripts, commercial and cloud LLM APIs impose strict rate limits—specifically Requests Per Minute (RPM) and Tokens Per Day (TPD) constraints. In an academic institution where multiple department heads may simultaneously query cohort progression, hitting an API rate limit (HTTP 429) results in complete system failure. Furthermore, querying cloud LLMs for routine, standard calculations (such as calculating the top 5 students or overall pass rate) unnecessarily consumes API tokens and exposes institutional data to third-party endpoints. A production-ready academic intelligence engine must implement local rule-based intent routing, multi-key API failover, and cascading fallback models to ensure zero-downtime availability.</w:t>
      </w:r>
    </w:p>
    <w:p>
      <w:pPr>
        <w:spacing w:line="360" w:lineRule="auto" w:before="280" w:after="120"/>
        <w:ind w:firstLine="0"/>
        <w:jc w:val="left"/>
      </w:pPr>
      <w:r>
        <w:rPr>
          <w:rFonts w:ascii="Times New Roman" w:hAnsi="Times New Roman"/>
          <w:b/>
          <w:sz w:val="26"/>
        </w:rPr>
        <w:t>1.3 Motivation and Scope of the Proposed Work</w:t>
      </w:r>
    </w:p>
    <w:p>
      <w:pPr>
        <w:spacing w:line="360" w:lineRule="auto" w:before="0" w:after="120"/>
        <w:ind w:firstLine="720"/>
        <w:jc w:val="both"/>
      </w:pPr>
      <w:r>
        <w:rPr>
          <w:rFonts w:ascii="Times New Roman" w:hAnsi="Times New Roman"/>
          <w:sz w:val="26"/>
        </w:rPr>
        <w:t>The primary motivation for developing the Academic Intelligence Platform is to bridge the technological divide between complex academic data science and practical institutional governance. Faculty mentors, class advisors, and heads of departments require immediate, friction-free access to predictive insights that enable targeted academic interventions. If a faculty advisor can identify within the third week of instruction that a cohort of twenty-five students exhibits an 85% probability of semester failure based on internal assessment indicators, intensive mentoring and remedial workshops can be scheduled before the university examination portal closes.</w:t>
      </w:r>
    </w:p>
    <w:p>
      <w:pPr>
        <w:spacing w:line="360" w:lineRule="auto" w:before="0" w:after="120"/>
        <w:ind w:firstLine="720"/>
        <w:jc w:val="both"/>
      </w:pPr>
      <w:r>
        <w:rPr>
          <w:rFonts w:ascii="Times New Roman" w:hAnsi="Times New Roman"/>
          <w:sz w:val="26"/>
        </w:rPr>
        <w:t>From a computational standpoint, the project is motivated by the integration of gradient boosted tree architectures (XGBoost) with state-of-the-art conversational language models. XGBoost provides superior tabular classification performance, handling non-linear interactions between internal assessment features with exceptional computational efficiency and calibrated probability outputs. Coupling this predictive backbone with high-speed Groq-hosted Large Language Models allows complex multi-table filtering, metric aggregation, and graph specification generation to execute in sub-second latency.</w:t>
      </w:r>
    </w:p>
    <w:p>
      <w:pPr>
        <w:spacing w:line="360" w:lineRule="auto" w:before="0" w:after="120"/>
        <w:ind w:firstLine="720"/>
        <w:jc w:val="both"/>
      </w:pPr>
      <w:r>
        <w:rPr>
          <w:rFonts w:ascii="Times New Roman" w:hAnsi="Times New Roman"/>
          <w:sz w:val="26"/>
        </w:rPr>
        <w:t>The scope of the Academic Intelligence Platform is defined by four cohesive, production-engineered subsystems:</w:t>
      </w:r>
    </w:p>
    <w:p>
      <w:pPr>
        <w:spacing w:line="360" w:lineRule="auto" w:before="0" w:after="120"/>
        <w:ind w:firstLine="720"/>
        <w:jc w:val="both"/>
      </w:pPr>
      <w:r>
        <w:rPr>
          <w:rFonts w:ascii="Times New Roman" w:hAnsi="Times New Roman"/>
          <w:sz w:val="26"/>
        </w:rPr>
        <w:t>1. The Automated Academic Ingestion and Aggregator Pipeline: A robust data service developed in Python that recursively discovers, inspects, and parses multi-semester consolidated Excel workbooks (*-CONS-WO.xlsx) across twenty undergraduate departments, extracting student metadata, continuous internal marks, total scores, letter grades, and GPA metrics into a unified, denormalised in-memory analytics repository.</w:t>
      </w:r>
    </w:p>
    <w:p>
      <w:pPr>
        <w:spacing w:line="360" w:lineRule="auto" w:before="0" w:after="120"/>
        <w:ind w:firstLine="720"/>
        <w:jc w:val="both"/>
      </w:pPr>
      <w:r>
        <w:rPr>
          <w:rFonts w:ascii="Times New Roman" w:hAnsi="Times New Roman"/>
          <w:sz w:val="26"/>
        </w:rPr>
        <w:t>2. The Machine Learning Risk Prediction Engine: An XGBoost probability inference service that normalises arbitrary continuous internal assessment scales into unified 0-100% metrics, extracts composite features (average internal percentage, minimum subject score, count of failing subjects), and categorises students into Safe, Medium Risk, and High Risk cohorts with actionable recommendations.</w:t>
      </w:r>
    </w:p>
    <w:p>
      <w:pPr>
        <w:spacing w:line="360" w:lineRule="auto" w:before="0" w:after="120"/>
        <w:ind w:firstLine="720"/>
        <w:jc w:val="both"/>
      </w:pPr>
      <w:r>
        <w:rPr>
          <w:rFonts w:ascii="Times New Roman" w:hAnsi="Times New Roman"/>
          <w:sz w:val="26"/>
        </w:rPr>
        <w:t>3. The Conversational AI Analytics and Failover Subsystem: A multi-tiered natural language interface that features a rule-based caching router for zero-token execution of standard analytics, a Groq LLM query planner that generates structured JSON query plans and graph specifications, and an automated multi-key and multi-model failover manager that mitigates cloud rate-limit exceptions without administrative interruption.</w:t>
      </w:r>
    </w:p>
    <w:p>
      <w:pPr>
        <w:spacing w:line="360" w:lineRule="auto" w:before="0" w:after="120"/>
        <w:ind w:firstLine="720"/>
        <w:jc w:val="both"/>
      </w:pPr>
      <w:r>
        <w:rPr>
          <w:rFonts w:ascii="Times New Roman" w:hAnsi="Times New Roman"/>
          <w:sz w:val="26"/>
        </w:rPr>
        <w:t>4. The Dynamic Web Visualization Dashboard: A single-page application built with React 19, Vite 8, and Recharts, providing an executive department overview, interactive student directory, individual student academic trajectory analysis, a natural language graph generator, and client-side vector (SVG), raster (PNG), and data (CSV) export engines.</w:t>
      </w:r>
    </w:p>
    <w:p>
      <w:r>
        <w:br w:type="page"/>
      </w:r>
    </w:p>
    <w:p>
      <w:pPr>
        <w:spacing w:line="360" w:lineRule="auto" w:before="480" w:after="120"/>
        <w:ind w:firstLine="0"/>
        <w:jc w:val="center"/>
      </w:pPr>
      <w:r>
        <w:rPr>
          <w:rFonts w:ascii="Times New Roman" w:hAnsi="Times New Roman"/>
          <w:b/>
          <w:sz w:val="28"/>
        </w:rPr>
        <w:t>CHAPTER II</w:t>
      </w:r>
    </w:p>
    <w:p>
      <w:pPr>
        <w:spacing w:line="360" w:lineRule="auto" w:before="0" w:after="360"/>
        <w:ind w:firstLine="0"/>
        <w:jc w:val="center"/>
      </w:pPr>
      <w:r>
        <w:rPr>
          <w:rFonts w:ascii="Times New Roman" w:hAnsi="Times New Roman"/>
          <w:b/>
          <w:sz w:val="28"/>
        </w:rPr>
        <w:t>LITERATURE SURVEY</w:t>
      </w:r>
    </w:p>
    <w:p>
      <w:pPr>
        <w:spacing w:line="360" w:lineRule="auto" w:before="280" w:after="120"/>
        <w:ind w:firstLine="0"/>
        <w:jc w:val="left"/>
      </w:pPr>
      <w:r>
        <w:rPr>
          <w:rFonts w:ascii="Times New Roman" w:hAnsi="Times New Roman"/>
          <w:b/>
          <w:sz w:val="26"/>
        </w:rPr>
        <w:t>2.1 Educational Data Mining and Student Risk Modeling</w:t>
      </w:r>
    </w:p>
    <w:p>
      <w:pPr>
        <w:spacing w:line="360" w:lineRule="auto" w:before="0" w:after="120"/>
        <w:ind w:firstLine="720"/>
        <w:jc w:val="both"/>
      </w:pPr>
      <w:r>
        <w:rPr>
          <w:rFonts w:ascii="Times New Roman" w:hAnsi="Times New Roman"/>
          <w:sz w:val="26"/>
        </w:rPr>
        <w:t>Educational Data Mining (EDM) is an established discipline focused on developing computational methods for exploring unique data types from educational environments to better understand student learning trajectories. Early EDM research focused primarily on post-hoc descriptive statistics, such as mining historical academic transcripts to identify demographic factors correlated with student graduation rates (Baker and Yacef, 2009). While useful for institutional accreditation reviews, these macro-level approaches lacked granular utility for semester-level tactical intervention.</w:t>
      </w:r>
    </w:p>
    <w:p>
      <w:pPr>
        <w:spacing w:line="360" w:lineRule="auto" w:before="0" w:after="120"/>
        <w:ind w:firstLine="720"/>
        <w:jc w:val="both"/>
      </w:pPr>
      <w:r>
        <w:rPr>
          <w:rFonts w:ascii="Times New Roman" w:hAnsi="Times New Roman"/>
          <w:sz w:val="26"/>
        </w:rPr>
        <w:t>Subsequent investigations established that continuous assessment indicators—such as internal assessment tests, mid-semester evaluations, and laboratory practical scores—possess substantially higher predictive validity regarding semester outcomes than pre-college entrance rankings or demographic features (Romero et al., 2013). Studies analyzing longitudinal assessment streams demonstrate that student risk does not emerge abruptly during final examinations; rather, academic distress accumulates across the semester through a succession of sub-optimal internal milestones. Identifying these early indicators through algorithmic feature extraction forms the foundation of modern early warning systems.</w:t>
      </w:r>
    </w:p>
    <w:p>
      <w:pPr>
        <w:spacing w:line="360" w:lineRule="auto" w:before="280" w:after="120"/>
        <w:ind w:firstLine="0"/>
        <w:jc w:val="left"/>
      </w:pPr>
      <w:r>
        <w:rPr>
          <w:rFonts w:ascii="Times New Roman" w:hAnsi="Times New Roman"/>
          <w:b/>
          <w:sz w:val="26"/>
        </w:rPr>
        <w:t>2.2 Machine Learning Classifiers for Academic Progression</w:t>
      </w:r>
    </w:p>
    <w:p>
      <w:pPr>
        <w:spacing w:line="360" w:lineRule="auto" w:before="0" w:after="120"/>
        <w:ind w:firstLine="720"/>
        <w:jc w:val="both"/>
      </w:pPr>
      <w:r>
        <w:rPr>
          <w:rFonts w:ascii="Times New Roman" w:hAnsi="Times New Roman"/>
          <w:sz w:val="26"/>
        </w:rPr>
        <w:t>A broad spectrum of machine learning algorithms has been investigated for student academic failure prediction, including Naive Bayes, Linear Support Vector Machines (SVM), Multi-Layer Perceptrons (MLP), and decision tree ensembles (Livieris et al., 2019). Comparative empirical surveys consistently show that linear classifiers struggle with the non-linear boundaries inherent in educational assessment data, where high marks in several subjects may fail to compensate for a single catastrophic failure in a core prerequisite course.</w:t>
      </w:r>
    </w:p>
    <w:p>
      <w:pPr>
        <w:spacing w:line="360" w:lineRule="auto" w:before="0" w:after="120"/>
        <w:ind w:firstLine="720"/>
        <w:jc w:val="both"/>
      </w:pPr>
      <w:r>
        <w:rPr>
          <w:rFonts w:ascii="Times New Roman" w:hAnsi="Times New Roman"/>
          <w:sz w:val="26"/>
        </w:rPr>
        <w:t>Ensemble methods, particularly Random Forests and Gradient Boosted Decision Trees, have demonstrated superior performance in tabular academic domains (Chen and Guestrin, 2016). XGBoost (Extreme Gradient Boosting) has emerged as an industry benchmark due to its formal regularization terms that prevent overfitting on small departmental cohorts, handling of missing values, and high computational efficiency. Importantly, XGBoost outputs continuous, calibrated class probabilities via the sigmoid logistic loss function rather than rigid discrete labels, allowing educational institutions to establish nuanced, multi-tiered risk thresholds (e.g., Safe, Medium, High Risk) tailored to available counseling resources.</w:t>
      </w:r>
    </w:p>
    <w:p>
      <w:pPr>
        <w:spacing w:line="360" w:lineRule="auto" w:before="280" w:after="120"/>
        <w:ind w:firstLine="0"/>
        <w:jc w:val="left"/>
      </w:pPr>
      <w:r>
        <w:rPr>
          <w:rFonts w:ascii="Times New Roman" w:hAnsi="Times New Roman"/>
          <w:b/>
          <w:sz w:val="26"/>
        </w:rPr>
        <w:t>2.3 Natural Language Interfaces and LLMs for Institutional Analytics</w:t>
      </w:r>
    </w:p>
    <w:p>
      <w:pPr>
        <w:spacing w:line="360" w:lineRule="auto" w:before="0" w:after="120"/>
        <w:ind w:firstLine="720"/>
        <w:jc w:val="both"/>
      </w:pPr>
      <w:r>
        <w:rPr>
          <w:rFonts w:ascii="Times New Roman" w:hAnsi="Times New Roman"/>
          <w:sz w:val="26"/>
        </w:rPr>
        <w:t>The advent of Large Language Models (LLMs) has transformed human-computer interaction across data management systems. Early database querying interfaces relied on formal Natural Language Interfaces to Databases (NLIDB) using rule-based grammars or pattern-matching algorithms, which were fragile when confronted with conversational ambiguities or colloquial phrasing (Affolter et al., 2019).</w:t>
      </w:r>
    </w:p>
    <w:p>
      <w:pPr>
        <w:spacing w:line="360" w:lineRule="auto" w:before="0" w:after="120"/>
        <w:ind w:firstLine="720"/>
        <w:jc w:val="both"/>
      </w:pPr>
      <w:r>
        <w:rPr>
          <w:rFonts w:ascii="Times New Roman" w:hAnsi="Times New Roman"/>
          <w:sz w:val="26"/>
        </w:rPr>
        <w:t>Modern instruction-tuned language models (such as Meta Llama-3 and OpenAI GPT architectures) demonstrate remarkable semantic parsing and code generation capabilities, enabling direct text-to-SQL or text-to-query translation (Brown et al., 2020). However, deploying LLMs within production administrative environments introduces critical vulnerabilities: model hallucination (generating non-existent database column names) and severe cloud API rate-limiting (HTTP 429). Mitigating these vulnerabilities requires dual architectural safeguards: constraining the LLM to output formal JSON Query Plans validated against active schema metadata via rigorous schema repair algorithms, and implementing multi-key, multi-model failover mechanisms that dynamically rotate credentials and model endpoints under rate-limit pressure.</w:t>
      </w:r>
    </w:p>
    <w:p>
      <w:pPr>
        <w:spacing w:line="360" w:lineRule="auto" w:before="280" w:after="120"/>
        <w:ind w:firstLine="0"/>
        <w:jc w:val="left"/>
      </w:pPr>
      <w:r>
        <w:rPr>
          <w:rFonts w:ascii="Times New Roman" w:hAnsi="Times New Roman"/>
          <w:b/>
          <w:sz w:val="26"/>
        </w:rPr>
        <w:t>2.4 Modern Web Dashboards and Interactive Visualizations in Education</w:t>
      </w:r>
    </w:p>
    <w:p>
      <w:pPr>
        <w:spacing w:line="360" w:lineRule="auto" w:before="0" w:after="120"/>
        <w:ind w:firstLine="720"/>
        <w:jc w:val="both"/>
      </w:pPr>
      <w:r>
        <w:rPr>
          <w:rFonts w:ascii="Times New Roman" w:hAnsi="Times New Roman"/>
          <w:sz w:val="26"/>
        </w:rPr>
        <w:t>Effective visualization of high-dimensional educational data is essential for administrative decision-making. Research in human-computer interaction underscores that academic decision-makers frequently abandon analytics platforms if dashboards suffer from visual clutter, confusing legends, overlapping chart labels, or rigid, non-interactive presentations (Munzner, 2014). Modern component-driven web frameworks—notably React coupled with rapid bundlers like Vite—enable the construction of reactive visual analytics interfaces that maintain 60 frames-per-second UI fluidity across complex datasets.</w:t>
      </w:r>
    </w:p>
    <w:p>
      <w:pPr>
        <w:spacing w:line="360" w:lineRule="auto" w:before="0" w:after="120"/>
        <w:ind w:firstLine="720"/>
        <w:jc w:val="both"/>
      </w:pPr>
      <w:r>
        <w:rPr>
          <w:rFonts w:ascii="Times New Roman" w:hAnsi="Times New Roman"/>
          <w:sz w:val="26"/>
        </w:rPr>
        <w:t>Declarative visualization libraries such as Recharts (built on SVG primitives) provide responsive layout recalculation, seamless tooltip interactions, and accessible color palettes. Furthermore, incorporating client-side export capabilities—specifically converting canvas elements to high-resolution raster images (PNG) and vector graphics (SVG) alongside structured raw data exports (CSV)—bridges the gap between interactive web exploration and formal institutional reporting.</w:t>
      </w:r>
    </w:p>
    <w:p>
      <w:pPr>
        <w:spacing w:line="360" w:lineRule="auto" w:before="280" w:after="120"/>
        <w:ind w:firstLine="0"/>
        <w:jc w:val="left"/>
      </w:pPr>
      <w:r>
        <w:rPr>
          <w:rFonts w:ascii="Times New Roman" w:hAnsi="Times New Roman"/>
          <w:b/>
          <w:sz w:val="26"/>
        </w:rPr>
        <w:t>2.5 Gap Identification and Problem Formulation</w:t>
      </w:r>
    </w:p>
    <w:p>
      <w:pPr>
        <w:spacing w:line="360" w:lineRule="auto" w:before="0" w:after="120"/>
        <w:ind w:firstLine="720"/>
        <w:jc w:val="both"/>
      </w:pPr>
      <w:r>
        <w:rPr>
          <w:rFonts w:ascii="Times New Roman" w:hAnsi="Times New Roman"/>
          <w:sz w:val="26"/>
        </w:rPr>
        <w:t>Despite the breadth of academic literature across EDM, predictive machine learning, and conversational AI, existing systems remain largely siloed. Commercial campus management software provides static, descriptive reporting but lacks predictive risk modeling and natural language querying. Conversely, experimental machine learning prototypes in educational research literature are frequently developed as offline Jupyter notebooks disconnected from live institutional workflows, lacking web dashboards and user-facing APIs.</w:t>
      </w:r>
    </w:p>
    <w:p>
      <w:pPr>
        <w:spacing w:line="360" w:lineRule="auto" w:before="0" w:after="120"/>
        <w:ind w:firstLine="720"/>
        <w:jc w:val="both"/>
      </w:pPr>
      <w:r>
        <w:rPr>
          <w:rFonts w:ascii="Times New Roman" w:hAnsi="Times New Roman"/>
          <w:sz w:val="26"/>
        </w:rPr>
        <w:t>The specific engineering gap addressed by this work is the realization of an end-to-end, unified platform that integrates: (1) automated ingestion and normalization of multi-department academic Excel records across divergent scoring scales; (2) real-time, probability-calibrated failure prediction via an optimized XGBoost classifier; (3) rate-limit resilient natural language querying with multi-key failover and zero-token local caching; and (4) an enterprise-grade dynamic charting suite supporting twelve visualization paradigms with one-click export functionality.</w:t>
      </w:r>
    </w:p>
    <w:p>
      <w:r>
        <w:br w:type="page"/>
      </w:r>
    </w:p>
    <w:p>
      <w:pPr>
        <w:spacing w:line="360" w:lineRule="auto" w:before="480" w:after="120"/>
        <w:ind w:firstLine="0"/>
        <w:jc w:val="center"/>
      </w:pPr>
      <w:r>
        <w:rPr>
          <w:rFonts w:ascii="Times New Roman" w:hAnsi="Times New Roman"/>
          <w:b/>
          <w:sz w:val="28"/>
        </w:rPr>
        <w:t>CHAPTER III</w:t>
      </w:r>
    </w:p>
    <w:p>
      <w:pPr>
        <w:spacing w:line="360" w:lineRule="auto" w:before="0" w:after="360"/>
        <w:ind w:firstLine="0"/>
        <w:jc w:val="center"/>
      </w:pPr>
      <w:r>
        <w:rPr>
          <w:rFonts w:ascii="Times New Roman" w:hAnsi="Times New Roman"/>
          <w:b/>
          <w:sz w:val="28"/>
        </w:rPr>
        <w:t>OBJECTIVES AND METHODOLOGY</w:t>
      </w:r>
    </w:p>
    <w:p>
      <w:pPr>
        <w:spacing w:line="360" w:lineRule="auto" w:before="280" w:after="120"/>
        <w:ind w:firstLine="0"/>
        <w:jc w:val="left"/>
      </w:pPr>
      <w:r>
        <w:rPr>
          <w:rFonts w:ascii="Times New Roman" w:hAnsi="Times New Roman"/>
          <w:b/>
          <w:sz w:val="26"/>
        </w:rPr>
        <w:t>3.1 Objectives of the Proposed Work</w:t>
      </w:r>
    </w:p>
    <w:p>
      <w:pPr>
        <w:spacing w:line="360" w:lineRule="auto" w:before="0" w:after="120"/>
        <w:ind w:firstLine="720"/>
        <w:jc w:val="both"/>
      </w:pPr>
      <w:r>
        <w:rPr>
          <w:rFonts w:ascii="Times New Roman" w:hAnsi="Times New Roman"/>
          <w:sz w:val="26"/>
        </w:rPr>
        <w:t>The primary objective of this project is to architect, develop, and validate an end-to-end Academic Intelligence Platform that synthesizes multi-department institutional performance records, performs real-time student failure risk classification using machine learning, and provides resilient conversational analytics with dynamic visualization. The specific measurable objectives are:</w:t>
      </w:r>
    </w:p>
    <w:p>
      <w:pPr>
        <w:spacing w:line="360" w:lineRule="auto" w:before="0" w:after="120"/>
        <w:ind w:firstLine="720"/>
        <w:jc w:val="both"/>
      </w:pPr>
      <w:r>
        <w:rPr>
          <w:rFonts w:ascii="Times New Roman" w:hAnsi="Times New Roman"/>
          <w:sz w:val="26"/>
        </w:rPr>
        <w:t>1. Develop an automated, multi-tiered data ingestion pipeline capable of traversing departmental directories, parsing consolidated semester result workbooks across twenty engineering departments, and harmonizing disparate continuous assessment scales into a unified, in-memory analytics repository.</w:t>
      </w:r>
    </w:p>
    <w:p>
      <w:pPr>
        <w:spacing w:line="360" w:lineRule="auto" w:before="0" w:after="120"/>
        <w:ind w:firstLine="720"/>
        <w:jc w:val="both"/>
      </w:pPr>
      <w:r>
        <w:rPr>
          <w:rFonts w:ascii="Times New Roman" w:hAnsi="Times New Roman"/>
          <w:sz w:val="26"/>
        </w:rPr>
        <w:t>2. Engineer and deploy a high-performance machine learning risk prediction engine using an XGBoost Classifier, utilizing feature extraction (average internal percentage, minimum subject score, count of failing subjects) to predict calibrated failure probabilities with sub-15ms inference latency.</w:t>
      </w:r>
    </w:p>
    <w:p>
      <w:pPr>
        <w:spacing w:line="360" w:lineRule="auto" w:before="0" w:after="120"/>
        <w:ind w:firstLine="720"/>
        <w:jc w:val="both"/>
      </w:pPr>
      <w:r>
        <w:rPr>
          <w:rFonts w:ascii="Times New Roman" w:hAnsi="Times New Roman"/>
          <w:sz w:val="26"/>
        </w:rPr>
        <w:t>3. Architect a resilient conversational AI query planner powered by Groq Large Language Models, featuring a zero-token local intent caching router, an automated multi-key pool failover mechanism, and cascading fallback models to ensure zero service disruption under cloud API rate limits.</w:t>
      </w:r>
    </w:p>
    <w:p>
      <w:pPr>
        <w:spacing w:line="360" w:lineRule="auto" w:before="0" w:after="120"/>
        <w:ind w:firstLine="720"/>
        <w:jc w:val="both"/>
      </w:pPr>
      <w:r>
        <w:rPr>
          <w:rFonts w:ascii="Times New Roman" w:hAnsi="Times New Roman"/>
          <w:sz w:val="26"/>
        </w:rPr>
        <w:t>4. Construct a responsive, single-page executive analytics dashboard in React 19 and Vite 8, featuring twelve interactive Recharts visualization components with client-side PNG, SVG, and CSV export capabilities.</w:t>
      </w:r>
    </w:p>
    <w:p>
      <w:pPr>
        <w:spacing w:line="360" w:lineRule="auto" w:before="280" w:after="120"/>
        <w:ind w:firstLine="0"/>
        <w:jc w:val="left"/>
      </w:pPr>
      <w:r>
        <w:rPr>
          <w:rFonts w:ascii="Times New Roman" w:hAnsi="Times New Roman"/>
          <w:b/>
          <w:sz w:val="26"/>
        </w:rPr>
        <w:t>3.2 System Architecture Overview</w:t>
      </w:r>
    </w:p>
    <w:p>
      <w:pPr>
        <w:spacing w:line="360" w:lineRule="auto" w:before="0" w:after="120"/>
        <w:ind w:firstLine="720"/>
        <w:jc w:val="both"/>
      </w:pPr>
      <w:r>
        <w:rPr>
          <w:rFonts w:ascii="Times New Roman" w:hAnsi="Times New Roman"/>
          <w:sz w:val="26"/>
        </w:rPr>
        <w:t>The Academic Intelligence Platform follows a decoupled, three-tier service-oriented architecture designed for horizontal scalability, high throughput, and strict separation of concerns. Figure 3.1 illustrates the structural composition of the system.</w:t>
      </w:r>
    </w:p>
    <w:p>
      <w:pPr>
        <w:spacing w:line="360" w:lineRule="auto" w:before="0" w:after="120"/>
        <w:ind w:firstLine="720"/>
        <w:jc w:val="both"/>
      </w:pPr>
      <w:r>
        <w:rPr>
          <w:rFonts w:ascii="Times New Roman" w:hAnsi="Times New Roman"/>
          <w:sz w:val="26"/>
        </w:rPr>
        <w:t>The Presentation Tier comprises a modern React 19 single-page application bundled with Vite 8. It houses the Executive Dashboard, AI Prediction Hub, Student Directory, and Conversational Visualization Studio. It interfaces with the backend exclusively via asynchronous RESTful HTTP endpoints, rendering dynamic visualizations using Recharts and handling client-side export generation.</w:t>
      </w:r>
    </w:p>
    <w:p>
      <w:pPr>
        <w:spacing w:line="360" w:lineRule="auto" w:before="0" w:after="120"/>
        <w:ind w:firstLine="720"/>
        <w:jc w:val="both"/>
      </w:pPr>
      <w:r>
        <w:rPr>
          <w:rFonts w:ascii="Times New Roman" w:hAnsi="Times New Roman"/>
          <w:sz w:val="26"/>
        </w:rPr>
        <w:t>The Application Tier is powered by a high-performance FastAPI asynchronous server running on Python 3.12 and Uvicorn. This tier encapsulates four core services: (1) the Data Aggregation Service (data_service.py); (2) the Machine Learning Risk Engine (model_service.py); (3) the Conversational AI Engine (ai_service.py); and (4) the Audit Logger Service (logger_service.py).</w:t>
      </w:r>
    </w:p>
    <w:p>
      <w:pPr>
        <w:spacing w:line="360" w:lineRule="auto" w:before="0" w:after="120"/>
        <w:ind w:firstLine="720"/>
        <w:jc w:val="both"/>
      </w:pPr>
      <w:r>
        <w:rPr>
          <w:rFonts w:ascii="Times New Roman" w:hAnsi="Times New Roman"/>
          <w:sz w:val="26"/>
        </w:rPr>
        <w:t>The Storage &amp; Cloud AI Tier includes the local departmental spreadsheet repository (*-CONS-WO.xlsx), serialized machine learning artifacts (.joblib), runtime query audit logs (ai_query_logs.json), and external cloud inference pools hosted on Groq.</w:t>
      </w:r>
    </w:p>
    <w:p>
      <w:pPr>
        <w:spacing w:line="360" w:lineRule="auto" w:before="280" w:after="120"/>
        <w:ind w:firstLine="0"/>
        <w:jc w:val="left"/>
      </w:pPr>
      <w:r>
        <w:rPr>
          <w:rFonts w:ascii="Times New Roman" w:hAnsi="Times New Roman"/>
          <w:b/>
          <w:sz w:val="26"/>
        </w:rPr>
        <w:t>3.3 Academic Data Ingestion &amp; Normalization Pipeline</w:t>
      </w:r>
    </w:p>
    <w:p>
      <w:pPr>
        <w:spacing w:line="360" w:lineRule="auto" w:before="0" w:after="120"/>
        <w:ind w:firstLine="720"/>
        <w:jc w:val="both"/>
      </w:pPr>
      <w:r>
        <w:rPr>
          <w:rFonts w:ascii="Times New Roman" w:hAnsi="Times New Roman"/>
          <w:sz w:val="26"/>
        </w:rPr>
        <w:t>Institutional academic data is generated across twenty undergraduate departments following different curriculum regulations. The data ingestion service dynamically discovers and loads these workbooks from the hierarchical directory structure: backend/data/UG/&lt;DEPARTMENT&gt;/&lt;SEMESTER&gt;/&lt;DEPT&gt;-CONS-WO.xlsx.</w:t>
      </w:r>
    </w:p>
    <w:p>
      <w:pPr>
        <w:spacing w:line="360" w:lineRule="auto" w:before="0" w:after="120"/>
        <w:ind w:firstLine="720"/>
        <w:jc w:val="both"/>
      </w:pPr>
      <w:r>
        <w:rPr>
          <w:rFonts w:ascii="Times New Roman" w:hAnsi="Times New Roman"/>
          <w:sz w:val="26"/>
        </w:rPr>
        <w:t>Because each department operates with distinct course codes, varying numbers of theory and laboratory subjects, and different assessment rubrics, the ingestion pipeline implements dynamic header detection. It scans initial rows for the student registration number header, extracts student register numbers, names, subject codes, continuous internal assessment (CIA) marks, end-semester exam marks, total marks, letter grades, and semester GPA. Table 3.1 outlines the primary academic result schema extracted across all departments.</w:t>
      </w:r>
    </w:p>
    <w:p>
      <w:pPr>
        <w:spacing w:before="240" w:after="80"/>
        <w:jc w:val="center"/>
      </w:pPr>
      <w:r>
        <w:drawing>
          <wp:inline xmlns:a="http://schemas.openxmlformats.org/drawingml/2006/main" xmlns:pic="http://schemas.openxmlformats.org/drawingml/2006/picture">
            <wp:extent cx="5486400" cy="3692770"/>
            <wp:docPr id="1027" name="Picture 1027"/>
            <wp:cNvGraphicFramePr>
              <a:graphicFrameLocks noChangeAspect="1"/>
            </wp:cNvGraphicFramePr>
            <a:graphic>
              <a:graphicData uri="http://schemas.openxmlformats.org/drawingml/2006/picture">
                <pic:pic>
                  <pic:nvPicPr>
                    <pic:cNvPr id="0" name="fig3_1_system_architecture.png"/>
                    <pic:cNvPicPr/>
                  </pic:nvPicPr>
                  <pic:blipFill>
                    <a:blip r:embed="rId19"/>
                    <a:stretch>
                      <a:fillRect/>
                    </a:stretch>
                  </pic:blipFill>
                  <pic:spPr>
                    <a:xfrm>
                      <a:off x="0" y="0"/>
                      <a:ext cx="5486400" cy="3692770"/>
                    </a:xfrm>
                    <a:prstGeom prst="rect"/>
                  </pic:spPr>
                </pic:pic>
              </a:graphicData>
            </a:graphic>
          </wp:inline>
        </w:drawing>
      </w:r>
    </w:p>
    <w:p>
      <w:pPr>
        <w:spacing w:line="276" w:lineRule="auto" w:before="120" w:after="240"/>
        <w:ind w:firstLine="0"/>
        <w:jc w:val="center"/>
      </w:pPr>
      <w:r>
        <w:rPr>
          <w:rFonts w:ascii="Times New Roman" w:hAnsi="Times New Roman"/>
          <w:b/>
          <w:sz w:val="22"/>
        </w:rPr>
        <w:t>Figure 3.1: Academic Intelligence Platform System Architecture Overview</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Entity / Field</w:t>
            </w:r>
          </w:p>
        </w:tc>
        <w:tc>
          <w:tcPr>
            <w:tcW w:type="dxa" w:w="2256"/>
            <w:shd w:val="clear" w:color="auto" w:fill="D9D9D9"/>
            <w:vAlign w:val="center"/>
          </w:tcPr>
          <w:p>
            <w:pPr>
              <w:spacing w:line="276" w:lineRule="auto" w:before="60" w:after="60"/>
              <w:jc w:val="center"/>
            </w:pPr>
            <w:r>
              <w:rPr>
                <w:rFonts w:ascii="Times New Roman" w:hAnsi="Times New Roman"/>
                <w:b/>
                <w:sz w:val="22"/>
              </w:rPr>
              <w:t>Source Spreadsheet Column</w:t>
            </w:r>
          </w:p>
        </w:tc>
        <w:tc>
          <w:tcPr>
            <w:tcW w:type="dxa" w:w="2256"/>
            <w:shd w:val="clear" w:color="auto" w:fill="D9D9D9"/>
            <w:vAlign w:val="center"/>
          </w:tcPr>
          <w:p>
            <w:pPr>
              <w:spacing w:line="276" w:lineRule="auto" w:before="60" w:after="60"/>
              <w:jc w:val="center"/>
            </w:pPr>
            <w:r>
              <w:rPr>
                <w:rFonts w:ascii="Times New Roman" w:hAnsi="Times New Roman"/>
                <w:b/>
                <w:sz w:val="22"/>
              </w:rPr>
              <w:t>Normalized Target Type</w:t>
            </w:r>
          </w:p>
        </w:tc>
        <w:tc>
          <w:tcPr>
            <w:tcW w:type="dxa" w:w="2256"/>
            <w:shd w:val="clear" w:color="auto" w:fill="D9D9D9"/>
            <w:vAlign w:val="center"/>
          </w:tcPr>
          <w:p>
            <w:pPr>
              <w:spacing w:line="276" w:lineRule="auto" w:before="60" w:after="60"/>
              <w:jc w:val="center"/>
            </w:pPr>
            <w:r>
              <w:rPr>
                <w:rFonts w:ascii="Times New Roman" w:hAnsi="Times New Roman"/>
                <w:b/>
                <w:sz w:val="22"/>
              </w:rPr>
              <w:t>Analytical Purpose</w:t>
            </w:r>
          </w:p>
        </w:tc>
      </w:tr>
      <w:tr>
        <w:tc>
          <w:tcPr>
            <w:tcW w:type="dxa" w:w="2256"/>
            <w:vAlign w:val="center"/>
          </w:tcPr>
          <w:p>
            <w:pPr>
              <w:spacing w:line="276" w:lineRule="auto" w:before="40" w:after="40"/>
              <w:jc w:val="center"/>
            </w:pPr>
            <w:r>
              <w:rPr>
                <w:rFonts w:ascii="Times New Roman" w:hAnsi="Times New Roman"/>
                <w:sz w:val="21"/>
              </w:rPr>
              <w:t>Register Number</w:t>
            </w:r>
          </w:p>
        </w:tc>
        <w:tc>
          <w:tcPr>
            <w:tcW w:type="dxa" w:w="2256"/>
            <w:vAlign w:val="center"/>
          </w:tcPr>
          <w:p>
            <w:pPr>
              <w:spacing w:line="276" w:lineRule="auto" w:before="40" w:after="40"/>
              <w:jc w:val="left"/>
            </w:pPr>
            <w:r>
              <w:rPr>
                <w:rFonts w:ascii="Times New Roman" w:hAnsi="Times New Roman"/>
                <w:sz w:val="21"/>
              </w:rPr>
              <w:t>REG NO / ROLL NO</w:t>
            </w:r>
          </w:p>
        </w:tc>
        <w:tc>
          <w:tcPr>
            <w:tcW w:type="dxa" w:w="2256"/>
            <w:vAlign w:val="center"/>
          </w:tcPr>
          <w:p>
            <w:pPr>
              <w:spacing w:line="276" w:lineRule="auto" w:before="40" w:after="40"/>
              <w:jc w:val="left"/>
            </w:pPr>
            <w:r>
              <w:rPr>
                <w:rFonts w:ascii="Times New Roman" w:hAnsi="Times New Roman"/>
                <w:sz w:val="21"/>
              </w:rPr>
              <w:t>String (Unique ID)</w:t>
            </w:r>
          </w:p>
        </w:tc>
        <w:tc>
          <w:tcPr>
            <w:tcW w:type="dxa" w:w="2256"/>
            <w:vAlign w:val="center"/>
          </w:tcPr>
          <w:p>
            <w:pPr>
              <w:spacing w:line="276" w:lineRule="auto" w:before="40" w:after="40"/>
              <w:jc w:val="left"/>
            </w:pPr>
            <w:r>
              <w:rPr>
                <w:rFonts w:ascii="Times New Roman" w:hAnsi="Times New Roman"/>
                <w:sz w:val="21"/>
              </w:rPr>
              <w:t>Primary student identification across semesters</w:t>
            </w:r>
          </w:p>
        </w:tc>
      </w:tr>
      <w:tr>
        <w:tc>
          <w:tcPr>
            <w:tcW w:type="dxa" w:w="2256"/>
            <w:vAlign w:val="center"/>
          </w:tcPr>
          <w:p>
            <w:pPr>
              <w:spacing w:line="276" w:lineRule="auto" w:before="40" w:after="40"/>
              <w:jc w:val="center"/>
            </w:pPr>
            <w:r>
              <w:rPr>
                <w:rFonts w:ascii="Times New Roman" w:hAnsi="Times New Roman"/>
                <w:sz w:val="21"/>
              </w:rPr>
              <w:t>Student Name</w:t>
            </w:r>
          </w:p>
        </w:tc>
        <w:tc>
          <w:tcPr>
            <w:tcW w:type="dxa" w:w="2256"/>
            <w:vAlign w:val="center"/>
          </w:tcPr>
          <w:p>
            <w:pPr>
              <w:spacing w:line="276" w:lineRule="auto" w:before="40" w:after="40"/>
              <w:jc w:val="left"/>
            </w:pPr>
            <w:r>
              <w:rPr>
                <w:rFonts w:ascii="Times New Roman" w:hAnsi="Times New Roman"/>
                <w:sz w:val="21"/>
              </w:rPr>
              <w:t>STUDENT NAME</w:t>
            </w:r>
          </w:p>
        </w:tc>
        <w:tc>
          <w:tcPr>
            <w:tcW w:type="dxa" w:w="2256"/>
            <w:vAlign w:val="center"/>
          </w:tcPr>
          <w:p>
            <w:pPr>
              <w:spacing w:line="276" w:lineRule="auto" w:before="40" w:after="40"/>
              <w:jc w:val="left"/>
            </w:pPr>
            <w:r>
              <w:rPr>
                <w:rFonts w:ascii="Times New Roman" w:hAnsi="Times New Roman"/>
                <w:sz w:val="21"/>
              </w:rPr>
              <w:t>String (Title Case)</w:t>
            </w:r>
          </w:p>
        </w:tc>
        <w:tc>
          <w:tcPr>
            <w:tcW w:type="dxa" w:w="2256"/>
            <w:vAlign w:val="center"/>
          </w:tcPr>
          <w:p>
            <w:pPr>
              <w:spacing w:line="276" w:lineRule="auto" w:before="40" w:after="40"/>
              <w:jc w:val="left"/>
            </w:pPr>
            <w:r>
              <w:rPr>
                <w:rFonts w:ascii="Times New Roman" w:hAnsi="Times New Roman"/>
                <w:sz w:val="21"/>
              </w:rPr>
              <w:t>Directory search and individual profile view</w:t>
            </w:r>
          </w:p>
        </w:tc>
      </w:tr>
      <w:tr>
        <w:tc>
          <w:tcPr>
            <w:tcW w:type="dxa" w:w="2256"/>
            <w:vAlign w:val="center"/>
          </w:tcPr>
          <w:p>
            <w:pPr>
              <w:spacing w:line="276" w:lineRule="auto" w:before="40" w:after="40"/>
              <w:jc w:val="center"/>
            </w:pPr>
            <w:r>
              <w:rPr>
                <w:rFonts w:ascii="Times New Roman" w:hAnsi="Times New Roman"/>
                <w:sz w:val="21"/>
              </w:rPr>
              <w:t>Department Code</w:t>
            </w:r>
          </w:p>
        </w:tc>
        <w:tc>
          <w:tcPr>
            <w:tcW w:type="dxa" w:w="2256"/>
            <w:vAlign w:val="center"/>
          </w:tcPr>
          <w:p>
            <w:pPr>
              <w:spacing w:line="276" w:lineRule="auto" w:before="40" w:after="40"/>
              <w:jc w:val="left"/>
            </w:pPr>
            <w:r>
              <w:rPr>
                <w:rFonts w:ascii="Times New Roman" w:hAnsi="Times New Roman"/>
                <w:sz w:val="21"/>
              </w:rPr>
              <w:t>Directory Path / Header</w:t>
            </w:r>
          </w:p>
        </w:tc>
        <w:tc>
          <w:tcPr>
            <w:tcW w:type="dxa" w:w="2256"/>
            <w:vAlign w:val="center"/>
          </w:tcPr>
          <w:p>
            <w:pPr>
              <w:spacing w:line="276" w:lineRule="auto" w:before="40" w:after="40"/>
              <w:jc w:val="left"/>
            </w:pPr>
            <w:r>
              <w:rPr>
                <w:rFonts w:ascii="Times New Roman" w:hAnsi="Times New Roman"/>
                <w:sz w:val="21"/>
              </w:rPr>
              <w:t>String (CS, IT, AD, etc.)</w:t>
            </w:r>
          </w:p>
        </w:tc>
        <w:tc>
          <w:tcPr>
            <w:tcW w:type="dxa" w:w="2256"/>
            <w:vAlign w:val="center"/>
          </w:tcPr>
          <w:p>
            <w:pPr>
              <w:spacing w:line="276" w:lineRule="auto" w:before="40" w:after="40"/>
              <w:jc w:val="left"/>
            </w:pPr>
            <w:r>
              <w:rPr>
                <w:rFonts w:ascii="Times New Roman" w:hAnsi="Times New Roman"/>
                <w:sz w:val="21"/>
              </w:rPr>
              <w:t>Cohort grouping and departmental benchmarking</w:t>
            </w:r>
          </w:p>
        </w:tc>
      </w:tr>
      <w:tr>
        <w:tc>
          <w:tcPr>
            <w:tcW w:type="dxa" w:w="2256"/>
            <w:vAlign w:val="center"/>
          </w:tcPr>
          <w:p>
            <w:pPr>
              <w:spacing w:line="276" w:lineRule="auto" w:before="40" w:after="40"/>
              <w:jc w:val="center"/>
            </w:pPr>
            <w:r>
              <w:rPr>
                <w:rFonts w:ascii="Times New Roman" w:hAnsi="Times New Roman"/>
                <w:sz w:val="21"/>
              </w:rPr>
              <w:t>Semester</w:t>
            </w:r>
          </w:p>
        </w:tc>
        <w:tc>
          <w:tcPr>
            <w:tcW w:type="dxa" w:w="2256"/>
            <w:vAlign w:val="center"/>
          </w:tcPr>
          <w:p>
            <w:pPr>
              <w:spacing w:line="276" w:lineRule="auto" w:before="40" w:after="40"/>
              <w:jc w:val="left"/>
            </w:pPr>
            <w:r>
              <w:rPr>
                <w:rFonts w:ascii="Times New Roman" w:hAnsi="Times New Roman"/>
                <w:sz w:val="21"/>
              </w:rPr>
              <w:t>Subfolder (I, III, V, VII)</w:t>
            </w:r>
          </w:p>
        </w:tc>
        <w:tc>
          <w:tcPr>
            <w:tcW w:type="dxa" w:w="2256"/>
            <w:vAlign w:val="center"/>
          </w:tcPr>
          <w:p>
            <w:pPr>
              <w:spacing w:line="276" w:lineRule="auto" w:before="40" w:after="40"/>
              <w:jc w:val="left"/>
            </w:pPr>
            <w:r>
              <w:rPr>
                <w:rFonts w:ascii="Times New Roman" w:hAnsi="Times New Roman"/>
                <w:sz w:val="21"/>
              </w:rPr>
              <w:t>String (Roman Numeral)</w:t>
            </w:r>
          </w:p>
        </w:tc>
        <w:tc>
          <w:tcPr>
            <w:tcW w:type="dxa" w:w="2256"/>
            <w:vAlign w:val="center"/>
          </w:tcPr>
          <w:p>
            <w:pPr>
              <w:spacing w:line="276" w:lineRule="auto" w:before="40" w:after="40"/>
              <w:jc w:val="left"/>
            </w:pPr>
            <w:r>
              <w:rPr>
                <w:rFonts w:ascii="Times New Roman" w:hAnsi="Times New Roman"/>
                <w:sz w:val="21"/>
              </w:rPr>
              <w:t>Curricular stage and longitudinal progression tracking</w:t>
            </w:r>
          </w:p>
        </w:tc>
      </w:tr>
      <w:tr>
        <w:tc>
          <w:tcPr>
            <w:tcW w:type="dxa" w:w="2256"/>
            <w:vAlign w:val="center"/>
          </w:tcPr>
          <w:p>
            <w:pPr>
              <w:spacing w:line="276" w:lineRule="auto" w:before="40" w:after="40"/>
              <w:jc w:val="center"/>
            </w:pPr>
            <w:r>
              <w:rPr>
                <w:rFonts w:ascii="Times New Roman" w:hAnsi="Times New Roman"/>
                <w:sz w:val="21"/>
              </w:rPr>
              <w:t>Course Code</w:t>
            </w:r>
          </w:p>
        </w:tc>
        <w:tc>
          <w:tcPr>
            <w:tcW w:type="dxa" w:w="2256"/>
            <w:vAlign w:val="center"/>
          </w:tcPr>
          <w:p>
            <w:pPr>
              <w:spacing w:line="276" w:lineRule="auto" w:before="40" w:after="40"/>
              <w:jc w:val="left"/>
            </w:pPr>
            <w:r>
              <w:rPr>
                <w:rFonts w:ascii="Times New Roman" w:hAnsi="Times New Roman"/>
                <w:sz w:val="21"/>
              </w:rPr>
              <w:t>Sub-header (e.g., CS3501)</w:t>
            </w:r>
          </w:p>
        </w:tc>
        <w:tc>
          <w:tcPr>
            <w:tcW w:type="dxa" w:w="2256"/>
            <w:vAlign w:val="center"/>
          </w:tcPr>
          <w:p>
            <w:pPr>
              <w:spacing w:line="276" w:lineRule="auto" w:before="40" w:after="40"/>
              <w:jc w:val="left"/>
            </w:pPr>
            <w:r>
              <w:rPr>
                <w:rFonts w:ascii="Times New Roman" w:hAnsi="Times New Roman"/>
                <w:sz w:val="21"/>
              </w:rPr>
              <w:t>String (Alphanumeric)</w:t>
            </w:r>
          </w:p>
        </w:tc>
        <w:tc>
          <w:tcPr>
            <w:tcW w:type="dxa" w:w="2256"/>
            <w:vAlign w:val="center"/>
          </w:tcPr>
          <w:p>
            <w:pPr>
              <w:spacing w:line="276" w:lineRule="auto" w:before="40" w:after="40"/>
              <w:jc w:val="left"/>
            </w:pPr>
            <w:r>
              <w:rPr>
                <w:rFonts w:ascii="Times New Roman" w:hAnsi="Times New Roman"/>
                <w:sz w:val="21"/>
              </w:rPr>
              <w:t>Subject-level failure and difficulty analysis</w:t>
            </w:r>
          </w:p>
        </w:tc>
      </w:tr>
      <w:tr>
        <w:tc>
          <w:tcPr>
            <w:tcW w:type="dxa" w:w="2256"/>
            <w:vAlign w:val="center"/>
          </w:tcPr>
          <w:p>
            <w:pPr>
              <w:spacing w:line="276" w:lineRule="auto" w:before="40" w:after="40"/>
              <w:jc w:val="center"/>
            </w:pPr>
            <w:r>
              <w:rPr>
                <w:rFonts w:ascii="Times New Roman" w:hAnsi="Times New Roman"/>
                <w:sz w:val="21"/>
              </w:rPr>
              <w:t>Internal Marks</w:t>
            </w:r>
          </w:p>
        </w:tc>
        <w:tc>
          <w:tcPr>
            <w:tcW w:type="dxa" w:w="2256"/>
            <w:vAlign w:val="center"/>
          </w:tcPr>
          <w:p>
            <w:pPr>
              <w:spacing w:line="276" w:lineRule="auto" w:before="40" w:after="40"/>
              <w:jc w:val="left"/>
            </w:pPr>
            <w:r>
              <w:rPr>
                <w:rFonts w:ascii="Times New Roman" w:hAnsi="Times New Roman"/>
                <w:sz w:val="21"/>
              </w:rPr>
              <w:t>CIA / INT (out of 40/50/60)</w:t>
            </w:r>
          </w:p>
        </w:tc>
        <w:tc>
          <w:tcPr>
            <w:tcW w:type="dxa" w:w="2256"/>
            <w:vAlign w:val="center"/>
          </w:tcPr>
          <w:p>
            <w:pPr>
              <w:spacing w:line="276" w:lineRule="auto" w:before="40" w:after="40"/>
              <w:jc w:val="left"/>
            </w:pPr>
            <w:r>
              <w:rPr>
                <w:rFonts w:ascii="Times New Roman" w:hAnsi="Times New Roman"/>
                <w:sz w:val="21"/>
              </w:rPr>
              <w:t>Float (Normalized 0-100%)</w:t>
            </w:r>
          </w:p>
        </w:tc>
        <w:tc>
          <w:tcPr>
            <w:tcW w:type="dxa" w:w="2256"/>
            <w:vAlign w:val="center"/>
          </w:tcPr>
          <w:p>
            <w:pPr>
              <w:spacing w:line="276" w:lineRule="auto" w:before="40" w:after="40"/>
              <w:jc w:val="left"/>
            </w:pPr>
            <w:r>
              <w:rPr>
                <w:rFonts w:ascii="Times New Roman" w:hAnsi="Times New Roman"/>
                <w:sz w:val="21"/>
              </w:rPr>
              <w:t>Primary feature input for XGBoost failure model</w:t>
            </w:r>
          </w:p>
        </w:tc>
      </w:tr>
      <w:tr>
        <w:tc>
          <w:tcPr>
            <w:tcW w:type="dxa" w:w="2256"/>
            <w:vAlign w:val="center"/>
          </w:tcPr>
          <w:p>
            <w:pPr>
              <w:spacing w:line="276" w:lineRule="auto" w:before="40" w:after="40"/>
              <w:jc w:val="center"/>
            </w:pPr>
            <w:r>
              <w:rPr>
                <w:rFonts w:ascii="Times New Roman" w:hAnsi="Times New Roman"/>
                <w:sz w:val="21"/>
              </w:rPr>
              <w:t>Total Marks</w:t>
            </w:r>
          </w:p>
        </w:tc>
        <w:tc>
          <w:tcPr>
            <w:tcW w:type="dxa" w:w="2256"/>
            <w:vAlign w:val="center"/>
          </w:tcPr>
          <w:p>
            <w:pPr>
              <w:spacing w:line="276" w:lineRule="auto" w:before="40" w:after="40"/>
              <w:jc w:val="left"/>
            </w:pPr>
            <w:r>
              <w:rPr>
                <w:rFonts w:ascii="Times New Roman" w:hAnsi="Times New Roman"/>
                <w:sz w:val="21"/>
              </w:rPr>
              <w:t>TOT / FINAL (out of 100)</w:t>
            </w:r>
          </w:p>
        </w:tc>
        <w:tc>
          <w:tcPr>
            <w:tcW w:type="dxa" w:w="2256"/>
            <w:vAlign w:val="center"/>
          </w:tcPr>
          <w:p>
            <w:pPr>
              <w:spacing w:line="276" w:lineRule="auto" w:before="40" w:after="40"/>
              <w:jc w:val="left"/>
            </w:pPr>
            <w:r>
              <w:rPr>
                <w:rFonts w:ascii="Times New Roman" w:hAnsi="Times New Roman"/>
                <w:sz w:val="21"/>
              </w:rPr>
              <w:t>Float (0.0 to 100.0)</w:t>
            </w:r>
          </w:p>
        </w:tc>
        <w:tc>
          <w:tcPr>
            <w:tcW w:type="dxa" w:w="2256"/>
            <w:vAlign w:val="center"/>
          </w:tcPr>
          <w:p>
            <w:pPr>
              <w:spacing w:line="276" w:lineRule="auto" w:before="40" w:after="40"/>
              <w:jc w:val="left"/>
            </w:pPr>
            <w:r>
              <w:rPr>
                <w:rFonts w:ascii="Times New Roman" w:hAnsi="Times New Roman"/>
                <w:sz w:val="21"/>
              </w:rPr>
              <w:t>Course performance and GPA calculation</w:t>
            </w:r>
          </w:p>
        </w:tc>
      </w:tr>
      <w:tr>
        <w:tc>
          <w:tcPr>
            <w:tcW w:type="dxa" w:w="2256"/>
            <w:vAlign w:val="center"/>
          </w:tcPr>
          <w:p>
            <w:pPr>
              <w:spacing w:line="276" w:lineRule="auto" w:before="40" w:after="40"/>
              <w:jc w:val="center"/>
            </w:pPr>
            <w:r>
              <w:rPr>
                <w:rFonts w:ascii="Times New Roman" w:hAnsi="Times New Roman"/>
                <w:sz w:val="21"/>
              </w:rPr>
              <w:t>Grade</w:t>
            </w:r>
          </w:p>
        </w:tc>
        <w:tc>
          <w:tcPr>
            <w:tcW w:type="dxa" w:w="2256"/>
            <w:vAlign w:val="center"/>
          </w:tcPr>
          <w:p>
            <w:pPr>
              <w:spacing w:line="276" w:lineRule="auto" w:before="40" w:after="40"/>
              <w:jc w:val="left"/>
            </w:pPr>
            <w:r>
              <w:rPr>
                <w:rFonts w:ascii="Times New Roman" w:hAnsi="Times New Roman"/>
                <w:sz w:val="21"/>
              </w:rPr>
              <w:t>GRD / GRADE</w:t>
            </w:r>
          </w:p>
        </w:tc>
        <w:tc>
          <w:tcPr>
            <w:tcW w:type="dxa" w:w="2256"/>
            <w:vAlign w:val="center"/>
          </w:tcPr>
          <w:p>
            <w:pPr>
              <w:spacing w:line="276" w:lineRule="auto" w:before="40" w:after="40"/>
              <w:jc w:val="left"/>
            </w:pPr>
            <w:r>
              <w:rPr>
                <w:rFonts w:ascii="Times New Roman" w:hAnsi="Times New Roman"/>
                <w:sz w:val="21"/>
              </w:rPr>
              <w:t>Categorical (O, A+, A, B+, B, C, U)</w:t>
            </w:r>
          </w:p>
        </w:tc>
        <w:tc>
          <w:tcPr>
            <w:tcW w:type="dxa" w:w="2256"/>
            <w:vAlign w:val="center"/>
          </w:tcPr>
          <w:p>
            <w:pPr>
              <w:spacing w:line="276" w:lineRule="auto" w:before="40" w:after="40"/>
              <w:jc w:val="left"/>
            </w:pPr>
            <w:r>
              <w:rPr>
                <w:rFonts w:ascii="Times New Roman" w:hAnsi="Times New Roman"/>
                <w:sz w:val="21"/>
              </w:rPr>
              <w:t>Letter grade distribution and arrears detection</w:t>
            </w:r>
          </w:p>
        </w:tc>
      </w:tr>
      <w:tr>
        <w:tc>
          <w:tcPr>
            <w:tcW w:type="dxa" w:w="2256"/>
            <w:vAlign w:val="center"/>
          </w:tcPr>
          <w:p>
            <w:pPr>
              <w:spacing w:line="276" w:lineRule="auto" w:before="40" w:after="40"/>
              <w:jc w:val="center"/>
            </w:pPr>
            <w:r>
              <w:rPr>
                <w:rFonts w:ascii="Times New Roman" w:hAnsi="Times New Roman"/>
                <w:sz w:val="21"/>
              </w:rPr>
              <w:t>Semester GPA</w:t>
            </w:r>
          </w:p>
        </w:tc>
        <w:tc>
          <w:tcPr>
            <w:tcW w:type="dxa" w:w="2256"/>
            <w:vAlign w:val="center"/>
          </w:tcPr>
          <w:p>
            <w:pPr>
              <w:spacing w:line="276" w:lineRule="auto" w:before="40" w:after="40"/>
              <w:jc w:val="left"/>
            </w:pPr>
            <w:r>
              <w:rPr>
                <w:rFonts w:ascii="Times New Roman" w:hAnsi="Times New Roman"/>
                <w:sz w:val="21"/>
              </w:rPr>
              <w:t>SGPA / GPA</w:t>
            </w:r>
          </w:p>
        </w:tc>
        <w:tc>
          <w:tcPr>
            <w:tcW w:type="dxa" w:w="2256"/>
            <w:vAlign w:val="center"/>
          </w:tcPr>
          <w:p>
            <w:pPr>
              <w:spacing w:line="276" w:lineRule="auto" w:before="40" w:after="40"/>
              <w:jc w:val="left"/>
            </w:pPr>
            <w:r>
              <w:rPr>
                <w:rFonts w:ascii="Times New Roman" w:hAnsi="Times New Roman"/>
                <w:sz w:val="21"/>
              </w:rPr>
              <w:t>Float (0.00 to 10.00)</w:t>
            </w:r>
          </w:p>
        </w:tc>
        <w:tc>
          <w:tcPr>
            <w:tcW w:type="dxa" w:w="2256"/>
            <w:vAlign w:val="center"/>
          </w:tcPr>
          <w:p>
            <w:pPr>
              <w:spacing w:line="276" w:lineRule="auto" w:before="40" w:after="40"/>
              <w:jc w:val="left"/>
            </w:pPr>
            <w:r>
              <w:rPr>
                <w:rFonts w:ascii="Times New Roman" w:hAnsi="Times New Roman"/>
                <w:sz w:val="21"/>
              </w:rPr>
              <w:t>Academic standing and distinction classification</w:t>
            </w:r>
          </w:p>
        </w:tc>
      </w:tr>
      <w:tr>
        <w:tc>
          <w:tcPr>
            <w:tcW w:type="dxa" w:w="2256"/>
            <w:vAlign w:val="center"/>
          </w:tcPr>
          <w:p>
            <w:pPr>
              <w:spacing w:line="276" w:lineRule="auto" w:before="40" w:after="40"/>
              <w:jc w:val="center"/>
            </w:pPr>
            <w:r>
              <w:rPr>
                <w:rFonts w:ascii="Times New Roman" w:hAnsi="Times New Roman"/>
                <w:sz w:val="21"/>
              </w:rPr>
              <w:t>Result Status</w:t>
            </w:r>
          </w:p>
        </w:tc>
        <w:tc>
          <w:tcPr>
            <w:tcW w:type="dxa" w:w="2256"/>
            <w:vAlign w:val="center"/>
          </w:tcPr>
          <w:p>
            <w:pPr>
              <w:spacing w:line="276" w:lineRule="auto" w:before="40" w:after="40"/>
              <w:jc w:val="left"/>
            </w:pPr>
            <w:r>
              <w:rPr>
                <w:rFonts w:ascii="Times New Roman" w:hAnsi="Times New Roman"/>
                <w:sz w:val="21"/>
              </w:rPr>
              <w:t>RES / RESULT</w:t>
            </w:r>
          </w:p>
        </w:tc>
        <w:tc>
          <w:tcPr>
            <w:tcW w:type="dxa" w:w="2256"/>
            <w:vAlign w:val="center"/>
          </w:tcPr>
          <w:p>
            <w:pPr>
              <w:spacing w:line="276" w:lineRule="auto" w:before="40" w:after="40"/>
              <w:jc w:val="left"/>
            </w:pPr>
            <w:r>
              <w:rPr>
                <w:rFonts w:ascii="Times New Roman" w:hAnsi="Times New Roman"/>
                <w:sz w:val="21"/>
              </w:rPr>
              <w:t>Categorical (PASS / FAIL)</w:t>
            </w:r>
          </w:p>
        </w:tc>
        <w:tc>
          <w:tcPr>
            <w:tcW w:type="dxa" w:w="2256"/>
            <w:vAlign w:val="center"/>
          </w:tcPr>
          <w:p>
            <w:pPr>
              <w:spacing w:line="276" w:lineRule="auto" w:before="40" w:after="40"/>
              <w:jc w:val="left"/>
            </w:pPr>
            <w:r>
              <w:rPr>
                <w:rFonts w:ascii="Times New Roman" w:hAnsi="Times New Roman"/>
                <w:sz w:val="21"/>
              </w:rPr>
              <w:t>Ground truth label for student risk evaluation</w:t>
            </w:r>
          </w:p>
        </w:tc>
      </w:tr>
    </w:tbl>
    <w:p>
      <w:pPr>
        <w:spacing w:line="276" w:lineRule="auto" w:before="120" w:after="240"/>
        <w:ind w:firstLine="0"/>
        <w:jc w:val="center"/>
      </w:pPr>
      <w:r>
        <w:rPr>
          <w:rFonts w:ascii="Times New Roman" w:hAnsi="Times New Roman"/>
          <w:b/>
          <w:sz w:val="22"/>
        </w:rPr>
        <w:t>Table 3.1: Academic Result Data Sources &amp; Schema Extracted by the Ingestion Pipeline</w:t>
      </w:r>
    </w:p>
    <w:p>
      <w:pPr>
        <w:spacing w:line="360" w:lineRule="auto" w:before="280" w:after="120"/>
        <w:ind w:firstLine="0"/>
        <w:jc w:val="left"/>
      </w:pPr>
      <w:r>
        <w:rPr>
          <w:rFonts w:ascii="Times New Roman" w:hAnsi="Times New Roman"/>
          <w:b/>
          <w:sz w:val="26"/>
        </w:rPr>
        <w:t>3.3.1 Data Normalization and Grade Conversion Rules</w:t>
      </w:r>
    </w:p>
    <w:p>
      <w:pPr>
        <w:spacing w:line="360" w:lineRule="auto" w:before="0" w:after="120"/>
        <w:ind w:firstLine="720"/>
        <w:jc w:val="both"/>
      </w:pPr>
      <w:r>
        <w:rPr>
          <w:rFonts w:ascii="Times New Roman" w:hAnsi="Times New Roman"/>
          <w:sz w:val="26"/>
        </w:rPr>
        <w:t>A critical engineering requirement of the ingestion pipeline is normalizing continuous internal assessment marks recorded under varying maximum score limits. If Course A is scored out of 50 marks and Course B out of 60 marks, raw marks cannot be directly evaluated by the machine learning classifier. The ingestion engine computes normalized percentage values using: S_norm = S_raw * (100.0 / Max_Marks).</w:t>
      </w:r>
    </w:p>
    <w:p>
      <w:pPr>
        <w:spacing w:line="360" w:lineRule="auto" w:before="0" w:after="120"/>
        <w:ind w:firstLine="720"/>
        <w:jc w:val="both"/>
      </w:pPr>
      <w:r>
        <w:rPr>
          <w:rFonts w:ascii="Times New Roman" w:hAnsi="Times New Roman"/>
          <w:sz w:val="26"/>
        </w:rPr>
        <w:t>Furthermore, letter grades are mapped to standard ten-point scale grade points following university academic regulations. Table 3.2 details the official mapping schema.</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Letter Grade</w:t>
            </w:r>
          </w:p>
        </w:tc>
        <w:tc>
          <w:tcPr>
            <w:tcW w:type="dxa" w:w="2256"/>
            <w:shd w:val="clear" w:color="auto" w:fill="D9D9D9"/>
            <w:vAlign w:val="center"/>
          </w:tcPr>
          <w:p>
            <w:pPr>
              <w:spacing w:line="276" w:lineRule="auto" w:before="60" w:after="60"/>
              <w:jc w:val="center"/>
            </w:pPr>
            <w:r>
              <w:rPr>
                <w:rFonts w:ascii="Times New Roman" w:hAnsi="Times New Roman"/>
                <w:b/>
                <w:sz w:val="22"/>
              </w:rPr>
              <w:t>Grade Point Value</w:t>
            </w:r>
          </w:p>
        </w:tc>
        <w:tc>
          <w:tcPr>
            <w:tcW w:type="dxa" w:w="2256"/>
            <w:shd w:val="clear" w:color="auto" w:fill="D9D9D9"/>
            <w:vAlign w:val="center"/>
          </w:tcPr>
          <w:p>
            <w:pPr>
              <w:spacing w:line="276" w:lineRule="auto" w:before="60" w:after="60"/>
              <w:jc w:val="center"/>
            </w:pPr>
            <w:r>
              <w:rPr>
                <w:rFonts w:ascii="Times New Roman" w:hAnsi="Times New Roman"/>
                <w:b/>
                <w:sz w:val="22"/>
              </w:rPr>
              <w:t>Academic Performance Level</w:t>
            </w:r>
          </w:p>
        </w:tc>
        <w:tc>
          <w:tcPr>
            <w:tcW w:type="dxa" w:w="2256"/>
            <w:shd w:val="clear" w:color="auto" w:fill="D9D9D9"/>
            <w:vAlign w:val="center"/>
          </w:tcPr>
          <w:p>
            <w:pPr>
              <w:spacing w:line="276" w:lineRule="auto" w:before="60" w:after="60"/>
              <w:jc w:val="center"/>
            </w:pPr>
            <w:r>
              <w:rPr>
                <w:rFonts w:ascii="Times New Roman" w:hAnsi="Times New Roman"/>
                <w:b/>
                <w:sz w:val="22"/>
              </w:rPr>
              <w:t>Semester Result Status</w:t>
            </w:r>
          </w:p>
        </w:tc>
      </w:tr>
      <w:tr>
        <w:tc>
          <w:tcPr>
            <w:tcW w:type="dxa" w:w="2256"/>
            <w:vAlign w:val="center"/>
          </w:tcPr>
          <w:p>
            <w:pPr>
              <w:spacing w:line="276" w:lineRule="auto" w:before="40" w:after="40"/>
              <w:jc w:val="center"/>
            </w:pPr>
            <w:r>
              <w:rPr>
                <w:rFonts w:ascii="Times New Roman" w:hAnsi="Times New Roman"/>
                <w:sz w:val="21"/>
              </w:rPr>
              <w:t>O</w:t>
            </w:r>
          </w:p>
        </w:tc>
        <w:tc>
          <w:tcPr>
            <w:tcW w:type="dxa" w:w="2256"/>
            <w:vAlign w:val="center"/>
          </w:tcPr>
          <w:p>
            <w:pPr>
              <w:spacing w:line="276" w:lineRule="auto" w:before="40" w:after="40"/>
              <w:jc w:val="left"/>
            </w:pPr>
            <w:r>
              <w:rPr>
                <w:rFonts w:ascii="Times New Roman" w:hAnsi="Times New Roman"/>
                <w:sz w:val="21"/>
              </w:rPr>
              <w:t>10</w:t>
            </w:r>
          </w:p>
        </w:tc>
        <w:tc>
          <w:tcPr>
            <w:tcW w:type="dxa" w:w="2256"/>
            <w:vAlign w:val="center"/>
          </w:tcPr>
          <w:p>
            <w:pPr>
              <w:spacing w:line="276" w:lineRule="auto" w:before="40" w:after="40"/>
              <w:jc w:val="left"/>
            </w:pPr>
            <w:r>
              <w:rPr>
                <w:rFonts w:ascii="Times New Roman" w:hAnsi="Times New Roman"/>
                <w:sz w:val="21"/>
              </w:rPr>
              <w:t>Outstanding (90% - 100%)</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A+</w:t>
            </w:r>
          </w:p>
        </w:tc>
        <w:tc>
          <w:tcPr>
            <w:tcW w:type="dxa" w:w="2256"/>
            <w:vAlign w:val="center"/>
          </w:tcPr>
          <w:p>
            <w:pPr>
              <w:spacing w:line="276" w:lineRule="auto" w:before="40" w:after="40"/>
              <w:jc w:val="left"/>
            </w:pPr>
            <w:r>
              <w:rPr>
                <w:rFonts w:ascii="Times New Roman" w:hAnsi="Times New Roman"/>
                <w:sz w:val="21"/>
              </w:rPr>
              <w:t>9</w:t>
            </w:r>
          </w:p>
        </w:tc>
        <w:tc>
          <w:tcPr>
            <w:tcW w:type="dxa" w:w="2256"/>
            <w:vAlign w:val="center"/>
          </w:tcPr>
          <w:p>
            <w:pPr>
              <w:spacing w:line="276" w:lineRule="auto" w:before="40" w:after="40"/>
              <w:jc w:val="left"/>
            </w:pPr>
            <w:r>
              <w:rPr>
                <w:rFonts w:ascii="Times New Roman" w:hAnsi="Times New Roman"/>
                <w:sz w:val="21"/>
              </w:rPr>
              <w:t>Excellent (80% - 89%)</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A</w:t>
            </w:r>
          </w:p>
        </w:tc>
        <w:tc>
          <w:tcPr>
            <w:tcW w:type="dxa" w:w="2256"/>
            <w:vAlign w:val="center"/>
          </w:tcPr>
          <w:p>
            <w:pPr>
              <w:spacing w:line="276" w:lineRule="auto" w:before="40" w:after="40"/>
              <w:jc w:val="left"/>
            </w:pPr>
            <w:r>
              <w:rPr>
                <w:rFonts w:ascii="Times New Roman" w:hAnsi="Times New Roman"/>
                <w:sz w:val="21"/>
              </w:rPr>
              <w:t>8</w:t>
            </w:r>
          </w:p>
        </w:tc>
        <w:tc>
          <w:tcPr>
            <w:tcW w:type="dxa" w:w="2256"/>
            <w:vAlign w:val="center"/>
          </w:tcPr>
          <w:p>
            <w:pPr>
              <w:spacing w:line="276" w:lineRule="auto" w:before="40" w:after="40"/>
              <w:jc w:val="left"/>
            </w:pPr>
            <w:r>
              <w:rPr>
                <w:rFonts w:ascii="Times New Roman" w:hAnsi="Times New Roman"/>
                <w:sz w:val="21"/>
              </w:rPr>
              <w:t>Very Good (70% - 79%)</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B+</w:t>
            </w:r>
          </w:p>
        </w:tc>
        <w:tc>
          <w:tcPr>
            <w:tcW w:type="dxa" w:w="2256"/>
            <w:vAlign w:val="center"/>
          </w:tcPr>
          <w:p>
            <w:pPr>
              <w:spacing w:line="276" w:lineRule="auto" w:before="40" w:after="40"/>
              <w:jc w:val="left"/>
            </w:pPr>
            <w:r>
              <w:rPr>
                <w:rFonts w:ascii="Times New Roman" w:hAnsi="Times New Roman"/>
                <w:sz w:val="21"/>
              </w:rPr>
              <w:t>7</w:t>
            </w:r>
          </w:p>
        </w:tc>
        <w:tc>
          <w:tcPr>
            <w:tcW w:type="dxa" w:w="2256"/>
            <w:vAlign w:val="center"/>
          </w:tcPr>
          <w:p>
            <w:pPr>
              <w:spacing w:line="276" w:lineRule="auto" w:before="40" w:after="40"/>
              <w:jc w:val="left"/>
            </w:pPr>
            <w:r>
              <w:rPr>
                <w:rFonts w:ascii="Times New Roman" w:hAnsi="Times New Roman"/>
                <w:sz w:val="21"/>
              </w:rPr>
              <w:t>Good (60% - 69%)</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B</w:t>
            </w:r>
          </w:p>
        </w:tc>
        <w:tc>
          <w:tcPr>
            <w:tcW w:type="dxa" w:w="2256"/>
            <w:vAlign w:val="center"/>
          </w:tcPr>
          <w:p>
            <w:pPr>
              <w:spacing w:line="276" w:lineRule="auto" w:before="40" w:after="40"/>
              <w:jc w:val="left"/>
            </w:pPr>
            <w:r>
              <w:rPr>
                <w:rFonts w:ascii="Times New Roman" w:hAnsi="Times New Roman"/>
                <w:sz w:val="21"/>
              </w:rPr>
              <w:t>6</w:t>
            </w:r>
          </w:p>
        </w:tc>
        <w:tc>
          <w:tcPr>
            <w:tcW w:type="dxa" w:w="2256"/>
            <w:vAlign w:val="center"/>
          </w:tcPr>
          <w:p>
            <w:pPr>
              <w:spacing w:line="276" w:lineRule="auto" w:before="40" w:after="40"/>
              <w:jc w:val="left"/>
            </w:pPr>
            <w:r>
              <w:rPr>
                <w:rFonts w:ascii="Times New Roman" w:hAnsi="Times New Roman"/>
                <w:sz w:val="21"/>
              </w:rPr>
              <w:t>Above Average (50% - 59%)</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C</w:t>
            </w:r>
          </w:p>
        </w:tc>
        <w:tc>
          <w:tcPr>
            <w:tcW w:type="dxa" w:w="2256"/>
            <w:vAlign w:val="center"/>
          </w:tcPr>
          <w:p>
            <w:pPr>
              <w:spacing w:line="276" w:lineRule="auto" w:before="40" w:after="40"/>
              <w:jc w:val="left"/>
            </w:pPr>
            <w:r>
              <w:rPr>
                <w:rFonts w:ascii="Times New Roman" w:hAnsi="Times New Roman"/>
                <w:sz w:val="21"/>
              </w:rPr>
              <w:t>5</w:t>
            </w:r>
          </w:p>
        </w:tc>
        <w:tc>
          <w:tcPr>
            <w:tcW w:type="dxa" w:w="2256"/>
            <w:vAlign w:val="center"/>
          </w:tcPr>
          <w:p>
            <w:pPr>
              <w:spacing w:line="276" w:lineRule="auto" w:before="40" w:after="40"/>
              <w:jc w:val="left"/>
            </w:pPr>
            <w:r>
              <w:rPr>
                <w:rFonts w:ascii="Times New Roman" w:hAnsi="Times New Roman"/>
                <w:sz w:val="21"/>
              </w:rPr>
              <w:t>Average (45% - 49%)</w:t>
            </w:r>
          </w:p>
        </w:tc>
        <w:tc>
          <w:tcPr>
            <w:tcW w:type="dxa" w:w="2256"/>
            <w:vAlign w:val="center"/>
          </w:tcPr>
          <w:p>
            <w:pPr>
              <w:spacing w:line="276" w:lineRule="auto" w:before="40" w:after="40"/>
              <w:jc w:val="left"/>
            </w:pPr>
            <w:r>
              <w:rPr>
                <w:rFonts w:ascii="Times New Roman" w:hAnsi="Times New Roman"/>
                <w:sz w:val="21"/>
              </w:rPr>
              <w:t>PASS</w:t>
            </w:r>
          </w:p>
        </w:tc>
      </w:tr>
      <w:tr>
        <w:tc>
          <w:tcPr>
            <w:tcW w:type="dxa" w:w="2256"/>
            <w:vAlign w:val="center"/>
          </w:tcPr>
          <w:p>
            <w:pPr>
              <w:spacing w:line="276" w:lineRule="auto" w:before="40" w:after="40"/>
              <w:jc w:val="center"/>
            </w:pPr>
            <w:r>
              <w:rPr>
                <w:rFonts w:ascii="Times New Roman" w:hAnsi="Times New Roman"/>
                <w:sz w:val="21"/>
              </w:rPr>
              <w:t>U / RA</w:t>
            </w:r>
          </w:p>
        </w:tc>
        <w:tc>
          <w:tcPr>
            <w:tcW w:type="dxa" w:w="2256"/>
            <w:vAlign w:val="center"/>
          </w:tcPr>
          <w:p>
            <w:pPr>
              <w:spacing w:line="276" w:lineRule="auto" w:before="40" w:after="40"/>
              <w:jc w:val="left"/>
            </w:pPr>
            <w:r>
              <w:rPr>
                <w:rFonts w:ascii="Times New Roman" w:hAnsi="Times New Roman"/>
                <w:sz w:val="21"/>
              </w:rPr>
              <w:t>0</w:t>
            </w:r>
          </w:p>
        </w:tc>
        <w:tc>
          <w:tcPr>
            <w:tcW w:type="dxa" w:w="2256"/>
            <w:vAlign w:val="center"/>
          </w:tcPr>
          <w:p>
            <w:pPr>
              <w:spacing w:line="276" w:lineRule="auto" w:before="40" w:after="40"/>
              <w:jc w:val="left"/>
            </w:pPr>
            <w:r>
              <w:rPr>
                <w:rFonts w:ascii="Times New Roman" w:hAnsi="Times New Roman"/>
                <w:sz w:val="21"/>
              </w:rPr>
              <w:t>Re-Appearance / Arrear (&lt;45%)</w:t>
            </w:r>
          </w:p>
        </w:tc>
        <w:tc>
          <w:tcPr>
            <w:tcW w:type="dxa" w:w="2256"/>
            <w:vAlign w:val="center"/>
          </w:tcPr>
          <w:p>
            <w:pPr>
              <w:spacing w:line="276" w:lineRule="auto" w:before="40" w:after="40"/>
              <w:jc w:val="left"/>
            </w:pPr>
            <w:r>
              <w:rPr>
                <w:rFonts w:ascii="Times New Roman" w:hAnsi="Times New Roman"/>
                <w:sz w:val="21"/>
              </w:rPr>
              <w:t>FAIL</w:t>
            </w:r>
          </w:p>
        </w:tc>
      </w:tr>
      <w:tr>
        <w:tc>
          <w:tcPr>
            <w:tcW w:type="dxa" w:w="2256"/>
            <w:vAlign w:val="center"/>
          </w:tcPr>
          <w:p>
            <w:pPr>
              <w:spacing w:line="276" w:lineRule="auto" w:before="40" w:after="40"/>
              <w:jc w:val="center"/>
            </w:pPr>
            <w:r>
              <w:rPr>
                <w:rFonts w:ascii="Times New Roman" w:hAnsi="Times New Roman"/>
                <w:sz w:val="21"/>
              </w:rPr>
              <w:t>AB</w:t>
            </w:r>
          </w:p>
        </w:tc>
        <w:tc>
          <w:tcPr>
            <w:tcW w:type="dxa" w:w="2256"/>
            <w:vAlign w:val="center"/>
          </w:tcPr>
          <w:p>
            <w:pPr>
              <w:spacing w:line="276" w:lineRule="auto" w:before="40" w:after="40"/>
              <w:jc w:val="left"/>
            </w:pPr>
            <w:r>
              <w:rPr>
                <w:rFonts w:ascii="Times New Roman" w:hAnsi="Times New Roman"/>
                <w:sz w:val="21"/>
              </w:rPr>
              <w:t>0</w:t>
            </w:r>
          </w:p>
        </w:tc>
        <w:tc>
          <w:tcPr>
            <w:tcW w:type="dxa" w:w="2256"/>
            <w:vAlign w:val="center"/>
          </w:tcPr>
          <w:p>
            <w:pPr>
              <w:spacing w:line="276" w:lineRule="auto" w:before="40" w:after="40"/>
              <w:jc w:val="left"/>
            </w:pPr>
            <w:r>
              <w:rPr>
                <w:rFonts w:ascii="Times New Roman" w:hAnsi="Times New Roman"/>
                <w:sz w:val="21"/>
              </w:rPr>
              <w:t>Absent from Examination</w:t>
            </w:r>
          </w:p>
        </w:tc>
        <w:tc>
          <w:tcPr>
            <w:tcW w:type="dxa" w:w="2256"/>
            <w:vAlign w:val="center"/>
          </w:tcPr>
          <w:p>
            <w:pPr>
              <w:spacing w:line="276" w:lineRule="auto" w:before="40" w:after="40"/>
              <w:jc w:val="left"/>
            </w:pPr>
            <w:r>
              <w:rPr>
                <w:rFonts w:ascii="Times New Roman" w:hAnsi="Times New Roman"/>
                <w:sz w:val="21"/>
              </w:rPr>
              <w:t>FAIL</w:t>
            </w:r>
          </w:p>
        </w:tc>
      </w:tr>
      <w:tr>
        <w:tc>
          <w:tcPr>
            <w:tcW w:type="dxa" w:w="2256"/>
            <w:vAlign w:val="center"/>
          </w:tcPr>
          <w:p>
            <w:pPr>
              <w:spacing w:line="276" w:lineRule="auto" w:before="40" w:after="40"/>
              <w:jc w:val="center"/>
            </w:pPr>
            <w:r>
              <w:rPr>
                <w:rFonts w:ascii="Times New Roman" w:hAnsi="Times New Roman"/>
                <w:sz w:val="21"/>
              </w:rPr>
              <w:t>W</w:t>
            </w:r>
          </w:p>
        </w:tc>
        <w:tc>
          <w:tcPr>
            <w:tcW w:type="dxa" w:w="2256"/>
            <w:vAlign w:val="center"/>
          </w:tcPr>
          <w:p>
            <w:pPr>
              <w:spacing w:line="276" w:lineRule="auto" w:before="40" w:after="40"/>
              <w:jc w:val="left"/>
            </w:pPr>
            <w:r>
              <w:rPr>
                <w:rFonts w:ascii="Times New Roman" w:hAnsi="Times New Roman"/>
                <w:sz w:val="21"/>
              </w:rPr>
              <w:t>0</w:t>
            </w:r>
          </w:p>
        </w:tc>
        <w:tc>
          <w:tcPr>
            <w:tcW w:type="dxa" w:w="2256"/>
            <w:vAlign w:val="center"/>
          </w:tcPr>
          <w:p>
            <w:pPr>
              <w:spacing w:line="276" w:lineRule="auto" w:before="40" w:after="40"/>
              <w:jc w:val="left"/>
            </w:pPr>
            <w:r>
              <w:rPr>
                <w:rFonts w:ascii="Times New Roman" w:hAnsi="Times New Roman"/>
                <w:sz w:val="21"/>
              </w:rPr>
              <w:t>Withdrawn from Course</w:t>
            </w:r>
          </w:p>
        </w:tc>
        <w:tc>
          <w:tcPr>
            <w:tcW w:type="dxa" w:w="2256"/>
            <w:vAlign w:val="center"/>
          </w:tcPr>
          <w:p>
            <w:pPr>
              <w:spacing w:line="276" w:lineRule="auto" w:before="40" w:after="40"/>
              <w:jc w:val="left"/>
            </w:pPr>
            <w:r>
              <w:rPr>
                <w:rFonts w:ascii="Times New Roman" w:hAnsi="Times New Roman"/>
                <w:sz w:val="21"/>
              </w:rPr>
              <w:t>WITHDRAWN</w:t>
            </w:r>
          </w:p>
        </w:tc>
      </w:tr>
    </w:tbl>
    <w:p>
      <w:pPr>
        <w:spacing w:line="276" w:lineRule="auto" w:before="120" w:after="240"/>
        <w:ind w:firstLine="0"/>
        <w:jc w:val="center"/>
      </w:pPr>
      <w:r>
        <w:rPr>
          <w:rFonts w:ascii="Times New Roman" w:hAnsi="Times New Roman"/>
          <w:b/>
          <w:sz w:val="22"/>
        </w:rPr>
        <w:t>Table 3.2: Internal Assessment Scaling and Grade Normalization Mapping Rules</w:t>
      </w:r>
    </w:p>
    <w:p>
      <w:pPr>
        <w:spacing w:line="360" w:lineRule="auto" w:before="280" w:after="120"/>
        <w:ind w:firstLine="0"/>
        <w:jc w:val="left"/>
      </w:pPr>
      <w:r>
        <w:rPr>
          <w:rFonts w:ascii="Times New Roman" w:hAnsi="Times New Roman"/>
          <w:b/>
          <w:sz w:val="26"/>
        </w:rPr>
        <w:t>3.4 Machine Learning Risk Prediction Engine</w:t>
      </w:r>
    </w:p>
    <w:p>
      <w:pPr>
        <w:spacing w:line="360" w:lineRule="auto" w:before="0" w:after="120"/>
        <w:ind w:firstLine="720"/>
        <w:jc w:val="both"/>
      </w:pPr>
      <w:r>
        <w:rPr>
          <w:rFonts w:ascii="Times New Roman" w:hAnsi="Times New Roman"/>
          <w:sz w:val="26"/>
        </w:rPr>
        <w:t>The predictive failure risk modeling problem is formulated as a supervised binary classification task with calibrated probability estimation. Given a student feature vector X representing normalized continuous internal assessment marks across all enrolled courses in the active semester, the goal is to predict the probability P(Fail | X) that the student will incur at least one course failure.</w:t>
      </w:r>
    </w:p>
    <w:p>
      <w:pPr>
        <w:spacing w:line="360" w:lineRule="auto" w:before="0" w:after="120"/>
        <w:ind w:firstLine="720"/>
        <w:jc w:val="both"/>
      </w:pPr>
      <w:r>
        <w:rPr>
          <w:rFonts w:ascii="Times New Roman" w:hAnsi="Times New Roman"/>
          <w:sz w:val="26"/>
        </w:rPr>
        <w:t>The model utilizes an optimized XGBoost Classifier (XGBClassifier) trained with the objective 'binary:logistic'. Tree-based gradient boosting was selected due to its superior handling of non-linear feature interactions, resilience against multicollinearity among related engineering subjects, and deterministic feature importance ranking. The feature set comprises three composite indicators engineered to capture both holistic academic competence and course-specific vulnerabilities:</w:t>
      </w:r>
    </w:p>
    <w:p>
      <w:pPr>
        <w:spacing w:line="360" w:lineRule="auto" w:before="0" w:after="120"/>
        <w:ind w:firstLine="720"/>
        <w:jc w:val="both"/>
      </w:pPr>
      <w:r>
        <w:rPr>
          <w:rFonts w:ascii="Times New Roman" w:hAnsi="Times New Roman"/>
          <w:sz w:val="26"/>
        </w:rPr>
        <w:t>1. Avg_Internal_Pct: The arithmetic mean of all normalized internal assessment percentages across the student's enrolled courses.</w:t>
      </w:r>
    </w:p>
    <w:p>
      <w:pPr>
        <w:spacing w:line="360" w:lineRule="auto" w:before="0" w:after="120"/>
        <w:ind w:firstLine="720"/>
        <w:jc w:val="both"/>
      </w:pPr>
      <w:r>
        <w:rPr>
          <w:rFonts w:ascii="Times New Roman" w:hAnsi="Times New Roman"/>
          <w:sz w:val="26"/>
        </w:rPr>
        <w:t>2. Min_Internal_Pct: The lowest normalized percentage achieved by the student in any single enrolled course, capturing localized subject failure risk.</w:t>
      </w:r>
    </w:p>
    <w:p>
      <w:pPr>
        <w:spacing w:line="360" w:lineRule="auto" w:before="0" w:after="120"/>
        <w:ind w:firstLine="720"/>
        <w:jc w:val="both"/>
      </w:pPr>
      <w:r>
        <w:rPr>
          <w:rFonts w:ascii="Times New Roman" w:hAnsi="Times New Roman"/>
          <w:sz w:val="26"/>
        </w:rPr>
        <w:t>3. Low_Internal_Count: The total count of enrolled courses in which the student's normalized score falls below 50%, capturing multi-course vulnerability.</w:t>
      </w:r>
    </w:p>
    <w:p>
      <w:pPr>
        <w:spacing w:line="360" w:lineRule="auto" w:before="0" w:after="120"/>
        <w:ind w:firstLine="720"/>
        <w:jc w:val="both"/>
      </w:pPr>
      <w:r>
        <w:rPr>
          <w:rFonts w:ascii="Times New Roman" w:hAnsi="Times New Roman"/>
          <w:sz w:val="26"/>
        </w:rPr>
        <w:t>Table 3.3 details the feature formulations and the calibrated risk categorization bands.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Risk Category</w:t>
            </w:r>
          </w:p>
        </w:tc>
        <w:tc>
          <w:tcPr>
            <w:tcW w:type="dxa" w:w="2256"/>
            <w:shd w:val="clear" w:color="auto" w:fill="D9D9D9"/>
            <w:vAlign w:val="center"/>
          </w:tcPr>
          <w:p>
            <w:pPr>
              <w:spacing w:line="276" w:lineRule="auto" w:before="60" w:after="60"/>
              <w:jc w:val="center"/>
            </w:pPr>
            <w:r>
              <w:rPr>
                <w:rFonts w:ascii="Times New Roman" w:hAnsi="Times New Roman"/>
                <w:b/>
                <w:sz w:val="22"/>
              </w:rPr>
              <w:t>Probability Range P(Fail)</w:t>
            </w:r>
          </w:p>
        </w:tc>
        <w:tc>
          <w:tcPr>
            <w:tcW w:type="dxa" w:w="2256"/>
            <w:shd w:val="clear" w:color="auto" w:fill="D9D9D9"/>
            <w:vAlign w:val="center"/>
          </w:tcPr>
          <w:p>
            <w:pPr>
              <w:spacing w:line="276" w:lineRule="auto" w:before="60" w:after="60"/>
              <w:jc w:val="center"/>
            </w:pPr>
            <w:r>
              <w:rPr>
                <w:rFonts w:ascii="Times New Roman" w:hAnsi="Times New Roman"/>
                <w:b/>
                <w:sz w:val="22"/>
              </w:rPr>
              <w:t>Pedagogical Meaning</w:t>
            </w:r>
          </w:p>
        </w:tc>
        <w:tc>
          <w:tcPr>
            <w:tcW w:type="dxa" w:w="2256"/>
            <w:shd w:val="clear" w:color="auto" w:fill="D9D9D9"/>
            <w:vAlign w:val="center"/>
          </w:tcPr>
          <w:p>
            <w:pPr>
              <w:spacing w:line="276" w:lineRule="auto" w:before="60" w:after="60"/>
              <w:jc w:val="center"/>
            </w:pPr>
            <w:r>
              <w:rPr>
                <w:rFonts w:ascii="Times New Roman" w:hAnsi="Times New Roman"/>
                <w:b/>
                <w:sz w:val="22"/>
              </w:rPr>
              <w:t>Faculty Advisory Action</w:t>
            </w:r>
          </w:p>
        </w:tc>
      </w:tr>
      <w:tr>
        <w:tc>
          <w:tcPr>
            <w:tcW w:type="dxa" w:w="2256"/>
            <w:vAlign w:val="center"/>
          </w:tcPr>
          <w:p>
            <w:pPr>
              <w:spacing w:line="276" w:lineRule="auto" w:before="40" w:after="40"/>
              <w:jc w:val="center"/>
            </w:pPr>
            <w:r>
              <w:rPr>
                <w:rFonts w:ascii="Times New Roman" w:hAnsi="Times New Roman"/>
                <w:sz w:val="21"/>
              </w:rPr>
              <w:t>SAFE (PASS)</w:t>
            </w:r>
          </w:p>
        </w:tc>
        <w:tc>
          <w:tcPr>
            <w:tcW w:type="dxa" w:w="2256"/>
            <w:vAlign w:val="center"/>
          </w:tcPr>
          <w:p>
            <w:pPr>
              <w:spacing w:line="276" w:lineRule="auto" w:before="40" w:after="40"/>
              <w:jc w:val="left"/>
            </w:pPr>
            <w:r>
              <w:rPr>
                <w:rFonts w:ascii="Times New Roman" w:hAnsi="Times New Roman"/>
                <w:sz w:val="21"/>
              </w:rPr>
              <w:t>0.0% to 29.9%</w:t>
            </w:r>
          </w:p>
        </w:tc>
        <w:tc>
          <w:tcPr>
            <w:tcW w:type="dxa" w:w="2256"/>
            <w:vAlign w:val="center"/>
          </w:tcPr>
          <w:p>
            <w:pPr>
              <w:spacing w:line="276" w:lineRule="auto" w:before="40" w:after="40"/>
              <w:jc w:val="left"/>
            </w:pPr>
            <w:r>
              <w:rPr>
                <w:rFonts w:ascii="Times New Roman" w:hAnsi="Times New Roman"/>
                <w:sz w:val="21"/>
              </w:rPr>
              <w:t>Strong academic standing across all subjects</w:t>
            </w:r>
          </w:p>
        </w:tc>
        <w:tc>
          <w:tcPr>
            <w:tcW w:type="dxa" w:w="2256"/>
            <w:vAlign w:val="center"/>
          </w:tcPr>
          <w:p>
            <w:pPr>
              <w:spacing w:line="276" w:lineRule="auto" w:before="40" w:after="40"/>
              <w:jc w:val="left"/>
            </w:pPr>
            <w:r>
              <w:rPr>
                <w:rFonts w:ascii="Times New Roman" w:hAnsi="Times New Roman"/>
                <w:sz w:val="21"/>
              </w:rPr>
              <w:t>Maintain regular schedule; encourage peer tutoring participation</w:t>
            </w:r>
          </w:p>
        </w:tc>
      </w:tr>
      <w:tr>
        <w:tc>
          <w:tcPr>
            <w:tcW w:type="dxa" w:w="2256"/>
            <w:vAlign w:val="center"/>
          </w:tcPr>
          <w:p>
            <w:pPr>
              <w:spacing w:line="276" w:lineRule="auto" w:before="40" w:after="40"/>
              <w:jc w:val="center"/>
            </w:pPr>
            <w:r>
              <w:rPr>
                <w:rFonts w:ascii="Times New Roman" w:hAnsi="Times New Roman"/>
                <w:sz w:val="21"/>
              </w:rPr>
              <w:t>MEDIUM RISK</w:t>
            </w:r>
          </w:p>
        </w:tc>
        <w:tc>
          <w:tcPr>
            <w:tcW w:type="dxa" w:w="2256"/>
            <w:vAlign w:val="center"/>
          </w:tcPr>
          <w:p>
            <w:pPr>
              <w:spacing w:line="276" w:lineRule="auto" w:before="40" w:after="40"/>
              <w:jc w:val="left"/>
            </w:pPr>
            <w:r>
              <w:rPr>
                <w:rFonts w:ascii="Times New Roman" w:hAnsi="Times New Roman"/>
                <w:sz w:val="21"/>
              </w:rPr>
              <w:t>30.0% to 64.9%</w:t>
            </w:r>
          </w:p>
        </w:tc>
        <w:tc>
          <w:tcPr>
            <w:tcW w:type="dxa" w:w="2256"/>
            <w:vAlign w:val="center"/>
          </w:tcPr>
          <w:p>
            <w:pPr>
              <w:spacing w:line="276" w:lineRule="auto" w:before="40" w:after="40"/>
              <w:jc w:val="left"/>
            </w:pPr>
            <w:r>
              <w:rPr>
                <w:rFonts w:ascii="Times New Roman" w:hAnsi="Times New Roman"/>
                <w:sz w:val="21"/>
              </w:rPr>
              <w:t>Borderline marks in one or more core subjects</w:t>
            </w:r>
          </w:p>
        </w:tc>
        <w:tc>
          <w:tcPr>
            <w:tcW w:type="dxa" w:w="2256"/>
            <w:vAlign w:val="center"/>
          </w:tcPr>
          <w:p>
            <w:pPr>
              <w:spacing w:line="276" w:lineRule="auto" w:before="40" w:after="40"/>
              <w:jc w:val="left"/>
            </w:pPr>
            <w:r>
              <w:rPr>
                <w:rFonts w:ascii="Times New Roman" w:hAnsi="Times New Roman"/>
                <w:sz w:val="21"/>
              </w:rPr>
              <w:t>Mandatory faculty mentoring and targeted assignment review</w:t>
            </w:r>
          </w:p>
        </w:tc>
      </w:tr>
      <w:tr>
        <w:tc>
          <w:tcPr>
            <w:tcW w:type="dxa" w:w="2256"/>
            <w:vAlign w:val="center"/>
          </w:tcPr>
          <w:p>
            <w:pPr>
              <w:spacing w:line="276" w:lineRule="auto" w:before="40" w:after="40"/>
              <w:jc w:val="center"/>
            </w:pPr>
            <w:r>
              <w:rPr>
                <w:rFonts w:ascii="Times New Roman" w:hAnsi="Times New Roman"/>
                <w:sz w:val="21"/>
              </w:rPr>
              <w:t>HIGH RISK (FAIL)</w:t>
            </w:r>
          </w:p>
        </w:tc>
        <w:tc>
          <w:tcPr>
            <w:tcW w:type="dxa" w:w="2256"/>
            <w:vAlign w:val="center"/>
          </w:tcPr>
          <w:p>
            <w:pPr>
              <w:spacing w:line="276" w:lineRule="auto" w:before="40" w:after="40"/>
              <w:jc w:val="left"/>
            </w:pPr>
            <w:r>
              <w:rPr>
                <w:rFonts w:ascii="Times New Roman" w:hAnsi="Times New Roman"/>
                <w:sz w:val="21"/>
              </w:rPr>
              <w:t>65.0% to 100.0%</w:t>
            </w:r>
          </w:p>
        </w:tc>
        <w:tc>
          <w:tcPr>
            <w:tcW w:type="dxa" w:w="2256"/>
            <w:vAlign w:val="center"/>
          </w:tcPr>
          <w:p>
            <w:pPr>
              <w:spacing w:line="276" w:lineRule="auto" w:before="40" w:after="40"/>
              <w:jc w:val="left"/>
            </w:pPr>
            <w:r>
              <w:rPr>
                <w:rFonts w:ascii="Times New Roman" w:hAnsi="Times New Roman"/>
                <w:sz w:val="21"/>
              </w:rPr>
              <w:t>Critical vulnerability; multiple subject failures likely</w:t>
            </w:r>
          </w:p>
        </w:tc>
        <w:tc>
          <w:tcPr>
            <w:tcW w:type="dxa" w:w="2256"/>
            <w:vAlign w:val="center"/>
          </w:tcPr>
          <w:p>
            <w:pPr>
              <w:spacing w:line="276" w:lineRule="auto" w:before="40" w:after="40"/>
              <w:jc w:val="left"/>
            </w:pPr>
            <w:r>
              <w:rPr>
                <w:rFonts w:ascii="Times New Roman" w:hAnsi="Times New Roman"/>
                <w:sz w:val="21"/>
              </w:rPr>
              <w:t>Immediate HOD intervention, remedial classes, and parent conference</w:t>
            </w:r>
          </w:p>
        </w:tc>
      </w:tr>
    </w:tbl>
    <w:p>
      <w:pPr>
        <w:spacing w:line="276" w:lineRule="auto" w:before="120" w:after="240"/>
        <w:ind w:firstLine="0"/>
        <w:jc w:val="center"/>
      </w:pPr>
      <w:r>
        <w:rPr>
          <w:rFonts w:ascii="Times New Roman" w:hAnsi="Times New Roman"/>
          <w:b/>
          <w:sz w:val="22"/>
        </w:rPr>
        <w:t>Table 3.3: XGBoost Feature Formulations and Risk Categorization Thresholds</w:t>
      </w:r>
    </w:p>
    <w:p>
      <w:pPr>
        <w:spacing w:line="360" w:lineRule="auto" w:before="280" w:after="120"/>
        <w:ind w:firstLine="0"/>
        <w:jc w:val="left"/>
      </w:pPr>
      <w:r>
        <w:rPr>
          <w:rFonts w:ascii="Times New Roman" w:hAnsi="Times New Roman"/>
          <w:b/>
          <w:sz w:val="26"/>
        </w:rPr>
        <w:t>3.5 Conversational AI Query Subsystem &amp; Graph Specification Engine</w:t>
      </w:r>
    </w:p>
    <w:p>
      <w:pPr>
        <w:spacing w:line="360" w:lineRule="auto" w:before="0" w:after="120"/>
        <w:ind w:firstLine="720"/>
        <w:jc w:val="both"/>
      </w:pPr>
      <w:r>
        <w:rPr>
          <w:rFonts w:ascii="Times New Roman" w:hAnsi="Times New Roman"/>
          <w:sz w:val="26"/>
        </w:rPr>
        <w:t>The conversational analytics subsystem (ai_service.py) enables non-technical academic stakeholders to interrogate complex institutional records using natural language. The architecture is illustrated in Figure 3.2.</w:t>
      </w:r>
    </w:p>
    <w:p>
      <w:pPr>
        <w:spacing w:line="360" w:lineRule="auto" w:before="0" w:after="120"/>
        <w:ind w:firstLine="720"/>
        <w:jc w:val="both"/>
      </w:pPr>
      <w:r>
        <w:rPr>
          <w:rFonts w:ascii="Times New Roman" w:hAnsi="Times New Roman"/>
          <w:sz w:val="26"/>
        </w:rPr>
        <w:t>To eliminate cloud API latency and conserve token quotas for standard institutional inquiries, queries are first evaluated by a local Rule-Based Intent Classifier. If the user request matches common analytical patterns (such as requesting the top performers, overall grade distribution, class division, or department pass percentages), the local query planner generates structured results and visualization specifications instantly with zero token consumption and sub-10ms response times.</w:t>
      </w:r>
    </w:p>
    <w:p>
      <w:pPr>
        <w:spacing w:line="360" w:lineRule="auto" w:before="0" w:after="120"/>
        <w:ind w:firstLine="720"/>
        <w:jc w:val="both"/>
      </w:pPr>
      <w:r>
        <w:rPr>
          <w:rFonts w:ascii="Times New Roman" w:hAnsi="Times New Roman"/>
          <w:sz w:val="26"/>
        </w:rPr>
        <w:t>For complex or ad-hoc queries, the request is dispatched to Groq's high-speed inference engine using a multi-turn planner prompt. The LLM is constrained to output a structured JSON response containing: (1) intent classification; (2) queryPlan detailing entity, filters, groupings, aggregations, and row limits; and (3) graphSpecification defining visualization type, axis bindings, and series.</w:t>
      </w:r>
    </w:p>
    <w:p>
      <w:pPr>
        <w:spacing w:line="360" w:lineRule="auto" w:before="0" w:after="120"/>
        <w:ind w:firstLine="720"/>
        <w:jc w:val="both"/>
      </w:pPr>
      <w:r>
        <w:rPr>
          <w:rFonts w:ascii="Times New Roman" w:hAnsi="Times New Roman"/>
          <w:sz w:val="26"/>
        </w:rPr>
        <w:t>To safeguard against cloud API rate limiting (HTTP 429), the service implements an automated Multi-Key Pool Failover mechanism that dynamically rotates across configured primary, secondary, and tertiary keys. If all keys exhaust their token quotas on the primary model (openai/gpt-oss-120b), queries automatically cascade to secondary fallback models (openai/gpt-oss-20b and qwen/qwen3.8-27b). The returned specification is then validated and repaired against active dataset columns via validate_and_repair_specification() before rendering.</w:t>
      </w:r>
    </w:p>
    <w:p>
      <w:pPr>
        <w:spacing w:line="360" w:lineRule="auto" w:before="280" w:after="120"/>
        <w:ind w:firstLine="0"/>
        <w:jc w:val="left"/>
      </w:pPr>
      <w:r>
        <w:rPr>
          <w:rFonts w:ascii="Times New Roman" w:hAnsi="Times New Roman"/>
          <w:b/>
          <w:sz w:val="26"/>
        </w:rPr>
        <w:t>3.6 Dynamic Frontend Visual Analytics Subsystem</w:t>
      </w:r>
    </w:p>
    <w:p>
      <w:pPr>
        <w:spacing w:line="360" w:lineRule="auto" w:before="0" w:after="120"/>
        <w:ind w:firstLine="720"/>
        <w:jc w:val="both"/>
      </w:pPr>
      <w:r>
        <w:rPr>
          <w:rFonts w:ascii="Times New Roman" w:hAnsi="Times New Roman"/>
          <w:sz w:val="26"/>
        </w:rPr>
        <w:t>The frontend visualization layer is engineered as a modular, reusable charting suite built with React 19 and Recharts. The architecture features twelve dedicated visualization components (Vertical Bar, Horizontal Bar, Grouped Bar, Stacked Bar, Line, Area, Pie, Donut, Radar, and Scatter).</w:t>
      </w:r>
    </w:p>
    <w:p>
      <w:pPr>
        <w:spacing w:line="360" w:lineRule="auto" w:before="0" w:after="120"/>
        <w:ind w:firstLine="720"/>
        <w:jc w:val="both"/>
      </w:pPr>
      <w:r>
        <w:rPr>
          <w:rFonts w:ascii="Times New Roman" w:hAnsi="Times New Roman"/>
          <w:sz w:val="26"/>
        </w:rPr>
        <w:t>Each chart is encased in a unified ChartContainer providing responsive viewport handling, a ChartHeader with real-time metadata badges, an interactive ChartToolbar enabling dynamic chart-type toggling, custom tooltips with currency and percentage formatting, and an integrated export engine supporting one-click raster PNG, vector SVG, and CSV dataset downloads.</w:t>
      </w:r>
    </w:p>
    <w:p>
      <w:pPr>
        <w:spacing w:line="360" w:lineRule="auto" w:before="280" w:after="120"/>
        <w:ind w:firstLine="0"/>
        <w:jc w:val="left"/>
      </w:pPr>
      <w:r>
        <w:rPr>
          <w:rFonts w:ascii="Times New Roman" w:hAnsi="Times New Roman"/>
          <w:b/>
          <w:sz w:val="26"/>
        </w:rPr>
        <w:t>3.7 Selection of Tools and Technologies</w:t>
      </w:r>
    </w:p>
    <w:p>
      <w:pPr>
        <w:spacing w:line="360" w:lineRule="auto" w:before="0" w:after="120"/>
        <w:ind w:firstLine="720"/>
        <w:jc w:val="both"/>
      </w:pPr>
      <w:r>
        <w:rPr>
          <w:rFonts w:ascii="Times New Roman" w:hAnsi="Times New Roman"/>
          <w:sz w:val="26"/>
        </w:rPr>
        <w:t>The selection of software components and libraries was guided by performance, cross-platform compatibility, and zero-licensing cost. Table 3.4 summarizes the technological stack.</w:t>
      </w:r>
    </w:p>
    <w:p>
      <w:pPr>
        <w:spacing w:before="240" w:after="80"/>
        <w:jc w:val="center"/>
      </w:pPr>
      <w:r>
        <w:drawing>
          <wp:inline xmlns:a="http://schemas.openxmlformats.org/drawingml/2006/main" xmlns:pic="http://schemas.openxmlformats.org/drawingml/2006/picture">
            <wp:extent cx="5486400" cy="4189615"/>
            <wp:docPr id="1028" name="Picture 1028"/>
            <wp:cNvGraphicFramePr>
              <a:graphicFrameLocks noChangeAspect="1"/>
            </wp:cNvGraphicFramePr>
            <a:graphic>
              <a:graphicData uri="http://schemas.openxmlformats.org/drawingml/2006/picture">
                <pic:pic>
                  <pic:nvPicPr>
                    <pic:cNvPr id="0" name="fig3_2_ai_failover_flowchart.png"/>
                    <pic:cNvPicPr/>
                  </pic:nvPicPr>
                  <pic:blipFill>
                    <a:blip r:embed="rId20"/>
                    <a:stretch>
                      <a:fillRect/>
                    </a:stretch>
                  </pic:blipFill>
                  <pic:spPr>
                    <a:xfrm>
                      <a:off x="0" y="0"/>
                      <a:ext cx="5486400" cy="4189615"/>
                    </a:xfrm>
                    <a:prstGeom prst="rect"/>
                  </pic:spPr>
                </pic:pic>
              </a:graphicData>
            </a:graphic>
          </wp:inline>
        </w:drawing>
      </w:r>
    </w:p>
    <w:p>
      <w:pPr>
        <w:spacing w:line="276" w:lineRule="auto" w:before="120" w:after="240"/>
        <w:ind w:firstLine="0"/>
        <w:jc w:val="center"/>
      </w:pPr>
      <w:r>
        <w:rPr>
          <w:rFonts w:ascii="Times New Roman" w:hAnsi="Times New Roman"/>
          <w:b/>
          <w:sz w:val="22"/>
        </w:rPr>
        <w:t>Figure 3.2: End-to-End Conversational AI &amp; Failover Execution Flow</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Component Layer</w:t>
            </w:r>
          </w:p>
        </w:tc>
        <w:tc>
          <w:tcPr>
            <w:tcW w:type="dxa" w:w="2256"/>
            <w:shd w:val="clear" w:color="auto" w:fill="D9D9D9"/>
            <w:vAlign w:val="center"/>
          </w:tcPr>
          <w:p>
            <w:pPr>
              <w:spacing w:line="276" w:lineRule="auto" w:before="60" w:after="60"/>
              <w:jc w:val="center"/>
            </w:pPr>
            <w:r>
              <w:rPr>
                <w:rFonts w:ascii="Times New Roman" w:hAnsi="Times New Roman"/>
                <w:b/>
                <w:sz w:val="22"/>
              </w:rPr>
              <w:t>Technology / Framework</w:t>
            </w:r>
          </w:p>
        </w:tc>
        <w:tc>
          <w:tcPr>
            <w:tcW w:type="dxa" w:w="2256"/>
            <w:shd w:val="clear" w:color="auto" w:fill="D9D9D9"/>
            <w:vAlign w:val="center"/>
          </w:tcPr>
          <w:p>
            <w:pPr>
              <w:spacing w:line="276" w:lineRule="auto" w:before="60" w:after="60"/>
              <w:jc w:val="center"/>
            </w:pPr>
            <w:r>
              <w:rPr>
                <w:rFonts w:ascii="Times New Roman" w:hAnsi="Times New Roman"/>
                <w:b/>
                <w:sz w:val="22"/>
              </w:rPr>
              <w:t>Version</w:t>
            </w:r>
          </w:p>
        </w:tc>
        <w:tc>
          <w:tcPr>
            <w:tcW w:type="dxa" w:w="2256"/>
            <w:shd w:val="clear" w:color="auto" w:fill="D9D9D9"/>
            <w:vAlign w:val="center"/>
          </w:tcPr>
          <w:p>
            <w:pPr>
              <w:spacing w:line="276" w:lineRule="auto" w:before="60" w:after="60"/>
              <w:jc w:val="center"/>
            </w:pPr>
            <w:r>
              <w:rPr>
                <w:rFonts w:ascii="Times New Roman" w:hAnsi="Times New Roman"/>
                <w:b/>
                <w:sz w:val="22"/>
              </w:rPr>
              <w:t>Technical Justification</w:t>
            </w:r>
          </w:p>
        </w:tc>
      </w:tr>
      <w:tr>
        <w:tc>
          <w:tcPr>
            <w:tcW w:type="dxa" w:w="2256"/>
            <w:vAlign w:val="center"/>
          </w:tcPr>
          <w:p>
            <w:pPr>
              <w:spacing w:line="276" w:lineRule="auto" w:before="40" w:after="40"/>
              <w:jc w:val="center"/>
            </w:pPr>
            <w:r>
              <w:rPr>
                <w:rFonts w:ascii="Times New Roman" w:hAnsi="Times New Roman"/>
                <w:sz w:val="21"/>
              </w:rPr>
              <w:t>Backend REST Framework</w:t>
            </w:r>
          </w:p>
        </w:tc>
        <w:tc>
          <w:tcPr>
            <w:tcW w:type="dxa" w:w="2256"/>
            <w:vAlign w:val="center"/>
          </w:tcPr>
          <w:p>
            <w:pPr>
              <w:spacing w:line="276" w:lineRule="auto" w:before="40" w:after="40"/>
              <w:jc w:val="left"/>
            </w:pPr>
            <w:r>
              <w:rPr>
                <w:rFonts w:ascii="Times New Roman" w:hAnsi="Times New Roman"/>
                <w:sz w:val="21"/>
              </w:rPr>
              <w:t>FastAPI (Python)</w:t>
            </w:r>
          </w:p>
        </w:tc>
        <w:tc>
          <w:tcPr>
            <w:tcW w:type="dxa" w:w="2256"/>
            <w:vAlign w:val="center"/>
          </w:tcPr>
          <w:p>
            <w:pPr>
              <w:spacing w:line="276" w:lineRule="auto" w:before="40" w:after="40"/>
              <w:jc w:val="left"/>
            </w:pPr>
            <w:r>
              <w:rPr>
                <w:rFonts w:ascii="Times New Roman" w:hAnsi="Times New Roman"/>
                <w:sz w:val="21"/>
              </w:rPr>
              <w:t>0.110+</w:t>
            </w:r>
          </w:p>
        </w:tc>
        <w:tc>
          <w:tcPr>
            <w:tcW w:type="dxa" w:w="2256"/>
            <w:vAlign w:val="center"/>
          </w:tcPr>
          <w:p>
            <w:pPr>
              <w:spacing w:line="276" w:lineRule="auto" w:before="40" w:after="40"/>
              <w:jc w:val="left"/>
            </w:pPr>
            <w:r>
              <w:rPr>
                <w:rFonts w:ascii="Times New Roman" w:hAnsi="Times New Roman"/>
                <w:sz w:val="21"/>
              </w:rPr>
              <w:t>High-performance async server with automatic OpenAPI schema validation</w:t>
            </w:r>
          </w:p>
        </w:tc>
      </w:tr>
      <w:tr>
        <w:tc>
          <w:tcPr>
            <w:tcW w:type="dxa" w:w="2256"/>
            <w:vAlign w:val="center"/>
          </w:tcPr>
          <w:p>
            <w:pPr>
              <w:spacing w:line="276" w:lineRule="auto" w:before="40" w:after="40"/>
              <w:jc w:val="center"/>
            </w:pPr>
            <w:r>
              <w:rPr>
                <w:rFonts w:ascii="Times New Roman" w:hAnsi="Times New Roman"/>
                <w:sz w:val="21"/>
              </w:rPr>
              <w:t>ASGI Web Server</w:t>
            </w:r>
          </w:p>
        </w:tc>
        <w:tc>
          <w:tcPr>
            <w:tcW w:type="dxa" w:w="2256"/>
            <w:vAlign w:val="center"/>
          </w:tcPr>
          <w:p>
            <w:pPr>
              <w:spacing w:line="276" w:lineRule="auto" w:before="40" w:after="40"/>
              <w:jc w:val="left"/>
            </w:pPr>
            <w:r>
              <w:rPr>
                <w:rFonts w:ascii="Times New Roman" w:hAnsi="Times New Roman"/>
                <w:sz w:val="21"/>
              </w:rPr>
              <w:t>Uvicorn</w:t>
            </w:r>
          </w:p>
        </w:tc>
        <w:tc>
          <w:tcPr>
            <w:tcW w:type="dxa" w:w="2256"/>
            <w:vAlign w:val="center"/>
          </w:tcPr>
          <w:p>
            <w:pPr>
              <w:spacing w:line="276" w:lineRule="auto" w:before="40" w:after="40"/>
              <w:jc w:val="left"/>
            </w:pPr>
            <w:r>
              <w:rPr>
                <w:rFonts w:ascii="Times New Roman" w:hAnsi="Times New Roman"/>
                <w:sz w:val="21"/>
              </w:rPr>
              <w:t>0.29+</w:t>
            </w:r>
          </w:p>
        </w:tc>
        <w:tc>
          <w:tcPr>
            <w:tcW w:type="dxa" w:w="2256"/>
            <w:vAlign w:val="center"/>
          </w:tcPr>
          <w:p>
            <w:pPr>
              <w:spacing w:line="276" w:lineRule="auto" w:before="40" w:after="40"/>
              <w:jc w:val="left"/>
            </w:pPr>
            <w:r>
              <w:rPr>
                <w:rFonts w:ascii="Times New Roman" w:hAnsi="Times New Roman"/>
                <w:sz w:val="21"/>
              </w:rPr>
              <w:t>Lightweight, ultra-fast asynchronous server gateway interface</w:t>
            </w:r>
          </w:p>
        </w:tc>
      </w:tr>
      <w:tr>
        <w:tc>
          <w:tcPr>
            <w:tcW w:type="dxa" w:w="2256"/>
            <w:vAlign w:val="center"/>
          </w:tcPr>
          <w:p>
            <w:pPr>
              <w:spacing w:line="276" w:lineRule="auto" w:before="40" w:after="40"/>
              <w:jc w:val="center"/>
            </w:pPr>
            <w:r>
              <w:rPr>
                <w:rFonts w:ascii="Times New Roman" w:hAnsi="Times New Roman"/>
                <w:sz w:val="21"/>
              </w:rPr>
              <w:t>Machine Learning Engine</w:t>
            </w:r>
          </w:p>
        </w:tc>
        <w:tc>
          <w:tcPr>
            <w:tcW w:type="dxa" w:w="2256"/>
            <w:vAlign w:val="center"/>
          </w:tcPr>
          <w:p>
            <w:pPr>
              <w:spacing w:line="276" w:lineRule="auto" w:before="40" w:after="40"/>
              <w:jc w:val="left"/>
            </w:pPr>
            <w:r>
              <w:rPr>
                <w:rFonts w:ascii="Times New Roman" w:hAnsi="Times New Roman"/>
                <w:sz w:val="21"/>
              </w:rPr>
              <w:t>XGBoost</w:t>
            </w:r>
          </w:p>
        </w:tc>
        <w:tc>
          <w:tcPr>
            <w:tcW w:type="dxa" w:w="2256"/>
            <w:vAlign w:val="center"/>
          </w:tcPr>
          <w:p>
            <w:pPr>
              <w:spacing w:line="276" w:lineRule="auto" w:before="40" w:after="40"/>
              <w:jc w:val="left"/>
            </w:pPr>
            <w:r>
              <w:rPr>
                <w:rFonts w:ascii="Times New Roman" w:hAnsi="Times New Roman"/>
                <w:sz w:val="21"/>
              </w:rPr>
              <w:t>2.0+</w:t>
            </w:r>
          </w:p>
        </w:tc>
        <w:tc>
          <w:tcPr>
            <w:tcW w:type="dxa" w:w="2256"/>
            <w:vAlign w:val="center"/>
          </w:tcPr>
          <w:p>
            <w:pPr>
              <w:spacing w:line="276" w:lineRule="auto" w:before="40" w:after="40"/>
              <w:jc w:val="left"/>
            </w:pPr>
            <w:r>
              <w:rPr>
                <w:rFonts w:ascii="Times New Roman" w:hAnsi="Times New Roman"/>
                <w:sz w:val="21"/>
              </w:rPr>
              <w:t>State-of-the-art regularized gradient boosting with calibrated probabilities</w:t>
            </w:r>
          </w:p>
        </w:tc>
      </w:tr>
      <w:tr>
        <w:tc>
          <w:tcPr>
            <w:tcW w:type="dxa" w:w="2256"/>
            <w:vAlign w:val="center"/>
          </w:tcPr>
          <w:p>
            <w:pPr>
              <w:spacing w:line="276" w:lineRule="auto" w:before="40" w:after="40"/>
              <w:jc w:val="center"/>
            </w:pPr>
            <w:r>
              <w:rPr>
                <w:rFonts w:ascii="Times New Roman" w:hAnsi="Times New Roman"/>
                <w:sz w:val="21"/>
              </w:rPr>
              <w:t>ML Pipeline &amp; Utilities</w:t>
            </w:r>
          </w:p>
        </w:tc>
        <w:tc>
          <w:tcPr>
            <w:tcW w:type="dxa" w:w="2256"/>
            <w:vAlign w:val="center"/>
          </w:tcPr>
          <w:p>
            <w:pPr>
              <w:spacing w:line="276" w:lineRule="auto" w:before="40" w:after="40"/>
              <w:jc w:val="left"/>
            </w:pPr>
            <w:r>
              <w:rPr>
                <w:rFonts w:ascii="Times New Roman" w:hAnsi="Times New Roman"/>
                <w:sz w:val="21"/>
              </w:rPr>
              <w:t>Scikit-learn &amp; Joblib</w:t>
            </w:r>
          </w:p>
        </w:tc>
        <w:tc>
          <w:tcPr>
            <w:tcW w:type="dxa" w:w="2256"/>
            <w:vAlign w:val="center"/>
          </w:tcPr>
          <w:p>
            <w:pPr>
              <w:spacing w:line="276" w:lineRule="auto" w:before="40" w:after="40"/>
              <w:jc w:val="left"/>
            </w:pPr>
            <w:r>
              <w:rPr>
                <w:rFonts w:ascii="Times New Roman" w:hAnsi="Times New Roman"/>
                <w:sz w:val="21"/>
              </w:rPr>
              <w:t>1.4+</w:t>
            </w:r>
          </w:p>
        </w:tc>
        <w:tc>
          <w:tcPr>
            <w:tcW w:type="dxa" w:w="2256"/>
            <w:vAlign w:val="center"/>
          </w:tcPr>
          <w:p>
            <w:pPr>
              <w:spacing w:line="276" w:lineRule="auto" w:before="40" w:after="40"/>
              <w:jc w:val="left"/>
            </w:pPr>
            <w:r>
              <w:rPr>
                <w:rFonts w:ascii="Times New Roman" w:hAnsi="Times New Roman"/>
                <w:sz w:val="21"/>
              </w:rPr>
              <w:t>Model serialization, cross-validation, and metrics evaluation</w:t>
            </w:r>
          </w:p>
        </w:tc>
      </w:tr>
      <w:tr>
        <w:tc>
          <w:tcPr>
            <w:tcW w:type="dxa" w:w="2256"/>
            <w:vAlign w:val="center"/>
          </w:tcPr>
          <w:p>
            <w:pPr>
              <w:spacing w:line="276" w:lineRule="auto" w:before="40" w:after="40"/>
              <w:jc w:val="center"/>
            </w:pPr>
            <w:r>
              <w:rPr>
                <w:rFonts w:ascii="Times New Roman" w:hAnsi="Times New Roman"/>
                <w:sz w:val="21"/>
              </w:rPr>
              <w:t>Tabular Data Processing</w:t>
            </w:r>
          </w:p>
        </w:tc>
        <w:tc>
          <w:tcPr>
            <w:tcW w:type="dxa" w:w="2256"/>
            <w:vAlign w:val="center"/>
          </w:tcPr>
          <w:p>
            <w:pPr>
              <w:spacing w:line="276" w:lineRule="auto" w:before="40" w:after="40"/>
              <w:jc w:val="left"/>
            </w:pPr>
            <w:r>
              <w:rPr>
                <w:rFonts w:ascii="Times New Roman" w:hAnsi="Times New Roman"/>
                <w:sz w:val="21"/>
              </w:rPr>
              <w:t>Pandas &amp; OpenPyXL</w:t>
            </w:r>
          </w:p>
        </w:tc>
        <w:tc>
          <w:tcPr>
            <w:tcW w:type="dxa" w:w="2256"/>
            <w:vAlign w:val="center"/>
          </w:tcPr>
          <w:p>
            <w:pPr>
              <w:spacing w:line="276" w:lineRule="auto" w:before="40" w:after="40"/>
              <w:jc w:val="left"/>
            </w:pPr>
            <w:r>
              <w:rPr>
                <w:rFonts w:ascii="Times New Roman" w:hAnsi="Times New Roman"/>
                <w:sz w:val="21"/>
              </w:rPr>
              <w:t>2.2+</w:t>
            </w:r>
          </w:p>
        </w:tc>
        <w:tc>
          <w:tcPr>
            <w:tcW w:type="dxa" w:w="2256"/>
            <w:vAlign w:val="center"/>
          </w:tcPr>
          <w:p>
            <w:pPr>
              <w:spacing w:line="276" w:lineRule="auto" w:before="40" w:after="40"/>
              <w:jc w:val="left"/>
            </w:pPr>
            <w:r>
              <w:rPr>
                <w:rFonts w:ascii="Times New Roman" w:hAnsi="Times New Roman"/>
                <w:sz w:val="21"/>
              </w:rPr>
              <w:t>Fast in-memory filtering, multi-sheet Excel ingestion, and aggregations</w:t>
            </w:r>
          </w:p>
        </w:tc>
      </w:tr>
      <w:tr>
        <w:tc>
          <w:tcPr>
            <w:tcW w:type="dxa" w:w="2256"/>
            <w:vAlign w:val="center"/>
          </w:tcPr>
          <w:p>
            <w:pPr>
              <w:spacing w:line="276" w:lineRule="auto" w:before="40" w:after="40"/>
              <w:jc w:val="center"/>
            </w:pPr>
            <w:r>
              <w:rPr>
                <w:rFonts w:ascii="Times New Roman" w:hAnsi="Times New Roman"/>
                <w:sz w:val="21"/>
              </w:rPr>
              <w:t>Conversational AI Engine</w:t>
            </w:r>
          </w:p>
        </w:tc>
        <w:tc>
          <w:tcPr>
            <w:tcW w:type="dxa" w:w="2256"/>
            <w:vAlign w:val="center"/>
          </w:tcPr>
          <w:p>
            <w:pPr>
              <w:spacing w:line="276" w:lineRule="auto" w:before="40" w:after="40"/>
              <w:jc w:val="left"/>
            </w:pPr>
            <w:r>
              <w:rPr>
                <w:rFonts w:ascii="Times New Roman" w:hAnsi="Times New Roman"/>
                <w:sz w:val="21"/>
              </w:rPr>
              <w:t>Groq Python SDK</w:t>
            </w:r>
          </w:p>
        </w:tc>
        <w:tc>
          <w:tcPr>
            <w:tcW w:type="dxa" w:w="2256"/>
            <w:vAlign w:val="center"/>
          </w:tcPr>
          <w:p>
            <w:pPr>
              <w:spacing w:line="276" w:lineRule="auto" w:before="40" w:after="40"/>
              <w:jc w:val="left"/>
            </w:pPr>
            <w:r>
              <w:rPr>
                <w:rFonts w:ascii="Times New Roman" w:hAnsi="Times New Roman"/>
                <w:sz w:val="21"/>
              </w:rPr>
              <w:t>0.9+</w:t>
            </w:r>
          </w:p>
        </w:tc>
        <w:tc>
          <w:tcPr>
            <w:tcW w:type="dxa" w:w="2256"/>
            <w:vAlign w:val="center"/>
          </w:tcPr>
          <w:p>
            <w:pPr>
              <w:spacing w:line="276" w:lineRule="auto" w:before="40" w:after="40"/>
              <w:jc w:val="left"/>
            </w:pPr>
            <w:r>
              <w:rPr>
                <w:rFonts w:ascii="Times New Roman" w:hAnsi="Times New Roman"/>
                <w:sz w:val="21"/>
              </w:rPr>
              <w:t>Ultra-fast cloud LPUs delivering sub-500ms LLM inference</w:t>
            </w:r>
          </w:p>
        </w:tc>
      </w:tr>
      <w:tr>
        <w:tc>
          <w:tcPr>
            <w:tcW w:type="dxa" w:w="2256"/>
            <w:vAlign w:val="center"/>
          </w:tcPr>
          <w:p>
            <w:pPr>
              <w:spacing w:line="276" w:lineRule="auto" w:before="40" w:after="40"/>
              <w:jc w:val="center"/>
            </w:pPr>
            <w:r>
              <w:rPr>
                <w:rFonts w:ascii="Times New Roman" w:hAnsi="Times New Roman"/>
                <w:sz w:val="21"/>
              </w:rPr>
              <w:t>Frontend UI Framework</w:t>
            </w:r>
          </w:p>
        </w:tc>
        <w:tc>
          <w:tcPr>
            <w:tcW w:type="dxa" w:w="2256"/>
            <w:vAlign w:val="center"/>
          </w:tcPr>
          <w:p>
            <w:pPr>
              <w:spacing w:line="276" w:lineRule="auto" w:before="40" w:after="40"/>
              <w:jc w:val="left"/>
            </w:pPr>
            <w:r>
              <w:rPr>
                <w:rFonts w:ascii="Times New Roman" w:hAnsi="Times New Roman"/>
                <w:sz w:val="21"/>
              </w:rPr>
              <w:t>React</w:t>
            </w:r>
          </w:p>
        </w:tc>
        <w:tc>
          <w:tcPr>
            <w:tcW w:type="dxa" w:w="2256"/>
            <w:vAlign w:val="center"/>
          </w:tcPr>
          <w:p>
            <w:pPr>
              <w:spacing w:line="276" w:lineRule="auto" w:before="40" w:after="40"/>
              <w:jc w:val="left"/>
            </w:pPr>
            <w:r>
              <w:rPr>
                <w:rFonts w:ascii="Times New Roman" w:hAnsi="Times New Roman"/>
                <w:sz w:val="21"/>
              </w:rPr>
              <w:t>19.0</w:t>
            </w:r>
          </w:p>
        </w:tc>
        <w:tc>
          <w:tcPr>
            <w:tcW w:type="dxa" w:w="2256"/>
            <w:vAlign w:val="center"/>
          </w:tcPr>
          <w:p>
            <w:pPr>
              <w:spacing w:line="276" w:lineRule="auto" w:before="40" w:after="40"/>
              <w:jc w:val="left"/>
            </w:pPr>
            <w:r>
              <w:rPr>
                <w:rFonts w:ascii="Times New Roman" w:hAnsi="Times New Roman"/>
                <w:sz w:val="21"/>
              </w:rPr>
              <w:t>Declarative, component-driven reactive interface architecture</w:t>
            </w:r>
          </w:p>
        </w:tc>
      </w:tr>
      <w:tr>
        <w:tc>
          <w:tcPr>
            <w:tcW w:type="dxa" w:w="2256"/>
            <w:vAlign w:val="center"/>
          </w:tcPr>
          <w:p>
            <w:pPr>
              <w:spacing w:line="276" w:lineRule="auto" w:before="40" w:after="40"/>
              <w:jc w:val="center"/>
            </w:pPr>
            <w:r>
              <w:rPr>
                <w:rFonts w:ascii="Times New Roman" w:hAnsi="Times New Roman"/>
                <w:sz w:val="21"/>
              </w:rPr>
              <w:t>Web Application Bundler</w:t>
            </w:r>
          </w:p>
        </w:tc>
        <w:tc>
          <w:tcPr>
            <w:tcW w:type="dxa" w:w="2256"/>
            <w:vAlign w:val="center"/>
          </w:tcPr>
          <w:p>
            <w:pPr>
              <w:spacing w:line="276" w:lineRule="auto" w:before="40" w:after="40"/>
              <w:jc w:val="left"/>
            </w:pPr>
            <w:r>
              <w:rPr>
                <w:rFonts w:ascii="Times New Roman" w:hAnsi="Times New Roman"/>
                <w:sz w:val="21"/>
              </w:rPr>
              <w:t>Vite</w:t>
            </w:r>
          </w:p>
        </w:tc>
        <w:tc>
          <w:tcPr>
            <w:tcW w:type="dxa" w:w="2256"/>
            <w:vAlign w:val="center"/>
          </w:tcPr>
          <w:p>
            <w:pPr>
              <w:spacing w:line="276" w:lineRule="auto" w:before="40" w:after="40"/>
              <w:jc w:val="left"/>
            </w:pPr>
            <w:r>
              <w:rPr>
                <w:rFonts w:ascii="Times New Roman" w:hAnsi="Times New Roman"/>
                <w:sz w:val="21"/>
              </w:rPr>
              <w:t>8.2</w:t>
            </w:r>
          </w:p>
        </w:tc>
        <w:tc>
          <w:tcPr>
            <w:tcW w:type="dxa" w:w="2256"/>
            <w:vAlign w:val="center"/>
          </w:tcPr>
          <w:p>
            <w:pPr>
              <w:spacing w:line="276" w:lineRule="auto" w:before="40" w:after="40"/>
              <w:jc w:val="left"/>
            </w:pPr>
            <w:r>
              <w:rPr>
                <w:rFonts w:ascii="Times New Roman" w:hAnsi="Times New Roman"/>
                <w:sz w:val="21"/>
              </w:rPr>
              <w:t>Ultra-fast Hot Module Replacement and optimized production bundling</w:t>
            </w:r>
          </w:p>
        </w:tc>
      </w:tr>
      <w:tr>
        <w:tc>
          <w:tcPr>
            <w:tcW w:type="dxa" w:w="2256"/>
            <w:vAlign w:val="center"/>
          </w:tcPr>
          <w:p>
            <w:pPr>
              <w:spacing w:line="276" w:lineRule="auto" w:before="40" w:after="40"/>
              <w:jc w:val="center"/>
            </w:pPr>
            <w:r>
              <w:rPr>
                <w:rFonts w:ascii="Times New Roman" w:hAnsi="Times New Roman"/>
                <w:sz w:val="21"/>
              </w:rPr>
              <w:t>Charting &amp; Visualization</w:t>
            </w:r>
          </w:p>
        </w:tc>
        <w:tc>
          <w:tcPr>
            <w:tcW w:type="dxa" w:w="2256"/>
            <w:vAlign w:val="center"/>
          </w:tcPr>
          <w:p>
            <w:pPr>
              <w:spacing w:line="276" w:lineRule="auto" w:before="40" w:after="40"/>
              <w:jc w:val="left"/>
            </w:pPr>
            <w:r>
              <w:rPr>
                <w:rFonts w:ascii="Times New Roman" w:hAnsi="Times New Roman"/>
                <w:sz w:val="21"/>
              </w:rPr>
              <w:t>Recharts</w:t>
            </w:r>
          </w:p>
        </w:tc>
        <w:tc>
          <w:tcPr>
            <w:tcW w:type="dxa" w:w="2256"/>
            <w:vAlign w:val="center"/>
          </w:tcPr>
          <w:p>
            <w:pPr>
              <w:spacing w:line="276" w:lineRule="auto" w:before="40" w:after="40"/>
              <w:jc w:val="left"/>
            </w:pPr>
            <w:r>
              <w:rPr>
                <w:rFonts w:ascii="Times New Roman" w:hAnsi="Times New Roman"/>
                <w:sz w:val="21"/>
              </w:rPr>
              <w:t>2.12+</w:t>
            </w:r>
          </w:p>
        </w:tc>
        <w:tc>
          <w:tcPr>
            <w:tcW w:type="dxa" w:w="2256"/>
            <w:vAlign w:val="center"/>
          </w:tcPr>
          <w:p>
            <w:pPr>
              <w:spacing w:line="276" w:lineRule="auto" w:before="40" w:after="40"/>
              <w:jc w:val="left"/>
            </w:pPr>
            <w:r>
              <w:rPr>
                <w:rFonts w:ascii="Times New Roman" w:hAnsi="Times New Roman"/>
                <w:sz w:val="21"/>
              </w:rPr>
              <w:t>Composable SVG charting components built specifically for React</w:t>
            </w:r>
          </w:p>
        </w:tc>
      </w:tr>
      <w:tr>
        <w:tc>
          <w:tcPr>
            <w:tcW w:type="dxa" w:w="2256"/>
            <w:vAlign w:val="center"/>
          </w:tcPr>
          <w:p>
            <w:pPr>
              <w:spacing w:line="276" w:lineRule="auto" w:before="40" w:after="40"/>
              <w:jc w:val="center"/>
            </w:pPr>
            <w:r>
              <w:rPr>
                <w:rFonts w:ascii="Times New Roman" w:hAnsi="Times New Roman"/>
                <w:sz w:val="21"/>
              </w:rPr>
              <w:t>Client-Side Export</w:t>
            </w:r>
          </w:p>
        </w:tc>
        <w:tc>
          <w:tcPr>
            <w:tcW w:type="dxa" w:w="2256"/>
            <w:vAlign w:val="center"/>
          </w:tcPr>
          <w:p>
            <w:pPr>
              <w:spacing w:line="276" w:lineRule="auto" w:before="40" w:after="40"/>
              <w:jc w:val="left"/>
            </w:pPr>
            <w:r>
              <w:rPr>
                <w:rFonts w:ascii="Times New Roman" w:hAnsi="Times New Roman"/>
                <w:sz w:val="21"/>
              </w:rPr>
              <w:t>HTML2Canvas &amp; FileSaver</w:t>
            </w:r>
          </w:p>
        </w:tc>
        <w:tc>
          <w:tcPr>
            <w:tcW w:type="dxa" w:w="2256"/>
            <w:vAlign w:val="center"/>
          </w:tcPr>
          <w:p>
            <w:pPr>
              <w:spacing w:line="276" w:lineRule="auto" w:before="40" w:after="40"/>
              <w:jc w:val="left"/>
            </w:pPr>
            <w:r>
              <w:rPr>
                <w:rFonts w:ascii="Times New Roman" w:hAnsi="Times New Roman"/>
                <w:sz w:val="21"/>
              </w:rPr>
              <w:t>Latest</w:t>
            </w:r>
          </w:p>
        </w:tc>
        <w:tc>
          <w:tcPr>
            <w:tcW w:type="dxa" w:w="2256"/>
            <w:vAlign w:val="center"/>
          </w:tcPr>
          <w:p>
            <w:pPr>
              <w:spacing w:line="276" w:lineRule="auto" w:before="40" w:after="40"/>
              <w:jc w:val="left"/>
            </w:pPr>
            <w:r>
              <w:rPr>
                <w:rFonts w:ascii="Times New Roman" w:hAnsi="Times New Roman"/>
                <w:sz w:val="21"/>
              </w:rPr>
              <w:t>High-resolution raster PNG, SVG, and CSV dataset serialization</w:t>
            </w:r>
          </w:p>
        </w:tc>
      </w:tr>
    </w:tbl>
    <w:p>
      <w:pPr>
        <w:spacing w:line="276" w:lineRule="auto" w:before="120" w:after="240"/>
        <w:ind w:firstLine="0"/>
        <w:jc w:val="center"/>
      </w:pPr>
      <w:r>
        <w:rPr>
          <w:rFonts w:ascii="Times New Roman" w:hAnsi="Times New Roman"/>
          <w:b/>
          <w:sz w:val="22"/>
        </w:rPr>
        <w:t>Table 3.4: Summary of Tools and Technologies Used</w:t>
      </w:r>
    </w:p>
    <w:p>
      <w:r>
        <w:br w:type="page"/>
      </w:r>
    </w:p>
    <w:p>
      <w:pPr>
        <w:spacing w:line="360" w:lineRule="auto" w:before="480" w:after="120"/>
        <w:ind w:firstLine="0"/>
        <w:jc w:val="center"/>
      </w:pPr>
      <w:r>
        <w:rPr>
          <w:rFonts w:ascii="Times New Roman" w:hAnsi="Times New Roman"/>
          <w:b/>
          <w:sz w:val="28"/>
        </w:rPr>
        <w:t>CHAPTER IV</w:t>
      </w:r>
    </w:p>
    <w:p>
      <w:pPr>
        <w:spacing w:line="360" w:lineRule="auto" w:before="0" w:after="360"/>
        <w:ind w:firstLine="0"/>
        <w:jc w:val="center"/>
      </w:pPr>
      <w:r>
        <w:rPr>
          <w:rFonts w:ascii="Times New Roman" w:hAnsi="Times New Roman"/>
          <w:b/>
          <w:sz w:val="28"/>
        </w:rPr>
        <w:t>PROPOSED WORK MODULES</w:t>
      </w:r>
    </w:p>
    <w:p>
      <w:pPr>
        <w:spacing w:line="360" w:lineRule="auto" w:before="280" w:after="120"/>
        <w:ind w:firstLine="0"/>
        <w:jc w:val="left"/>
      </w:pPr>
      <w:r>
        <w:rPr>
          <w:rFonts w:ascii="Times New Roman" w:hAnsi="Times New Roman"/>
          <w:b/>
          <w:sz w:val="26"/>
        </w:rPr>
        <w:t>4.1 Ingestion &amp; Academic Record Aggregator Module Implementation</w:t>
      </w:r>
    </w:p>
    <w:p>
      <w:pPr>
        <w:spacing w:line="360" w:lineRule="auto" w:before="0" w:after="120"/>
        <w:ind w:firstLine="720"/>
        <w:jc w:val="both"/>
      </w:pPr>
      <w:r>
        <w:rPr>
          <w:rFonts w:ascii="Times New Roman" w:hAnsi="Times New Roman"/>
          <w:sz w:val="26"/>
        </w:rPr>
        <w:t>The data ingestion subsystem is implemented in data_service.py. It coordinates file system discovery, spreadsheet parsing, and in-memory analytics caching across all department datasets.</w:t>
      </w:r>
    </w:p>
    <w:p>
      <w:pPr>
        <w:spacing w:line="360" w:lineRule="auto" w:before="0" w:after="120"/>
        <w:ind w:firstLine="720"/>
        <w:jc w:val="both"/>
      </w:pPr>
      <w:r>
        <w:rPr>
          <w:rFonts w:ascii="Times New Roman" w:hAnsi="Times New Roman"/>
          <w:sz w:val="26"/>
        </w:rPr>
        <w:t>Upon application startup, get_dataset_path() locates the root academic data repository (backend/data/UG). If the repository is empty, create_sample_dataset_if_empty() generates realistic seed Excel workbooks adhering to university grade scales, guaranteeing that all application features function immediately on any clean installation.</w:t>
      </w:r>
    </w:p>
    <w:p>
      <w:pPr>
        <w:spacing w:line="360" w:lineRule="auto" w:before="0" w:after="120"/>
        <w:ind w:firstLine="720"/>
        <w:jc w:val="both"/>
      </w:pPr>
      <w:r>
        <w:rPr>
          <w:rFonts w:ascii="Times New Roman" w:hAnsi="Times New Roman"/>
          <w:sz w:val="26"/>
        </w:rPr>
        <w:t>The load_data() function traverses all department subfolders, identifies semester directories (I, III, V, VII), and reads consolidated spreadsheets (*-CONS-WO.xlsx). Table 4.1 outlines the multi-stage parsing and normalization pipeline.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Pipeline Stage</w:t>
            </w:r>
          </w:p>
        </w:tc>
        <w:tc>
          <w:tcPr>
            <w:tcW w:type="dxa" w:w="2256"/>
            <w:shd w:val="clear" w:color="auto" w:fill="D9D9D9"/>
            <w:vAlign w:val="center"/>
          </w:tcPr>
          <w:p>
            <w:pPr>
              <w:spacing w:line="276" w:lineRule="auto" w:before="60" w:after="60"/>
              <w:jc w:val="center"/>
            </w:pPr>
            <w:r>
              <w:rPr>
                <w:rFonts w:ascii="Times New Roman" w:hAnsi="Times New Roman"/>
                <w:b/>
                <w:sz w:val="22"/>
              </w:rPr>
              <w:t>Primary Method / Module</w:t>
            </w:r>
          </w:p>
        </w:tc>
        <w:tc>
          <w:tcPr>
            <w:tcW w:type="dxa" w:w="2256"/>
            <w:shd w:val="clear" w:color="auto" w:fill="D9D9D9"/>
            <w:vAlign w:val="center"/>
          </w:tcPr>
          <w:p>
            <w:pPr>
              <w:spacing w:line="276" w:lineRule="auto" w:before="60" w:after="60"/>
              <w:jc w:val="center"/>
            </w:pPr>
            <w:r>
              <w:rPr>
                <w:rFonts w:ascii="Times New Roman" w:hAnsi="Times New Roman"/>
                <w:b/>
                <w:sz w:val="22"/>
              </w:rPr>
              <w:t>Input Source</w:t>
            </w:r>
          </w:p>
        </w:tc>
        <w:tc>
          <w:tcPr>
            <w:tcW w:type="dxa" w:w="2256"/>
            <w:shd w:val="clear" w:color="auto" w:fill="D9D9D9"/>
            <w:vAlign w:val="center"/>
          </w:tcPr>
          <w:p>
            <w:pPr>
              <w:spacing w:line="276" w:lineRule="auto" w:before="60" w:after="60"/>
              <w:jc w:val="center"/>
            </w:pPr>
            <w:r>
              <w:rPr>
                <w:rFonts w:ascii="Times New Roman" w:hAnsi="Times New Roman"/>
                <w:b/>
                <w:sz w:val="22"/>
              </w:rPr>
              <w:t>Output Artifact / Transformation</w:t>
            </w:r>
          </w:p>
        </w:tc>
      </w:tr>
      <w:tr>
        <w:tc>
          <w:tcPr>
            <w:tcW w:type="dxa" w:w="2256"/>
            <w:vAlign w:val="center"/>
          </w:tcPr>
          <w:p>
            <w:pPr>
              <w:spacing w:line="276" w:lineRule="auto" w:before="40" w:after="40"/>
              <w:jc w:val="center"/>
            </w:pPr>
            <w:r>
              <w:rPr>
                <w:rFonts w:ascii="Times New Roman" w:hAnsi="Times New Roman"/>
                <w:sz w:val="21"/>
              </w:rPr>
              <w:t>Directory Discovery</w:t>
            </w:r>
          </w:p>
        </w:tc>
        <w:tc>
          <w:tcPr>
            <w:tcW w:type="dxa" w:w="2256"/>
            <w:vAlign w:val="center"/>
          </w:tcPr>
          <w:p>
            <w:pPr>
              <w:spacing w:line="276" w:lineRule="auto" w:before="40" w:after="40"/>
              <w:jc w:val="left"/>
            </w:pPr>
            <w:r>
              <w:rPr>
                <w:rFonts w:ascii="Times New Roman" w:hAnsi="Times New Roman"/>
                <w:sz w:val="21"/>
              </w:rPr>
              <w:t>get_dataset_path()</w:t>
            </w:r>
          </w:p>
        </w:tc>
        <w:tc>
          <w:tcPr>
            <w:tcW w:type="dxa" w:w="2256"/>
            <w:vAlign w:val="center"/>
          </w:tcPr>
          <w:p>
            <w:pPr>
              <w:spacing w:line="276" w:lineRule="auto" w:before="40" w:after="40"/>
              <w:jc w:val="left"/>
            </w:pPr>
            <w:r>
              <w:rPr>
                <w:rFonts w:ascii="Times New Roman" w:hAnsi="Times New Roman"/>
                <w:sz w:val="21"/>
              </w:rPr>
              <w:t>File System Path / .env</w:t>
            </w:r>
          </w:p>
        </w:tc>
        <w:tc>
          <w:tcPr>
            <w:tcW w:type="dxa" w:w="2256"/>
            <w:vAlign w:val="center"/>
          </w:tcPr>
          <w:p>
            <w:pPr>
              <w:spacing w:line="276" w:lineRule="auto" w:before="40" w:after="40"/>
              <w:jc w:val="left"/>
            </w:pPr>
            <w:r>
              <w:rPr>
                <w:rFonts w:ascii="Times New Roman" w:hAnsi="Times New Roman"/>
                <w:sz w:val="21"/>
              </w:rPr>
              <w:t>Resolved path to multi-department root directory</w:t>
            </w:r>
          </w:p>
        </w:tc>
      </w:tr>
      <w:tr>
        <w:tc>
          <w:tcPr>
            <w:tcW w:type="dxa" w:w="2256"/>
            <w:vAlign w:val="center"/>
          </w:tcPr>
          <w:p>
            <w:pPr>
              <w:spacing w:line="276" w:lineRule="auto" w:before="40" w:after="40"/>
              <w:jc w:val="center"/>
            </w:pPr>
            <w:r>
              <w:rPr>
                <w:rFonts w:ascii="Times New Roman" w:hAnsi="Times New Roman"/>
                <w:sz w:val="21"/>
              </w:rPr>
              <w:t>Workbook Traversal</w:t>
            </w:r>
          </w:p>
        </w:tc>
        <w:tc>
          <w:tcPr>
            <w:tcW w:type="dxa" w:w="2256"/>
            <w:vAlign w:val="center"/>
          </w:tcPr>
          <w:p>
            <w:pPr>
              <w:spacing w:line="276" w:lineRule="auto" w:before="40" w:after="40"/>
              <w:jc w:val="left"/>
            </w:pPr>
            <w:r>
              <w:rPr>
                <w:rFonts w:ascii="Times New Roman" w:hAnsi="Times New Roman"/>
                <w:sz w:val="21"/>
              </w:rPr>
              <w:t>os.walk() &amp; glob</w:t>
            </w:r>
          </w:p>
        </w:tc>
        <w:tc>
          <w:tcPr>
            <w:tcW w:type="dxa" w:w="2256"/>
            <w:vAlign w:val="center"/>
          </w:tcPr>
          <w:p>
            <w:pPr>
              <w:spacing w:line="276" w:lineRule="auto" w:before="40" w:after="40"/>
              <w:jc w:val="left"/>
            </w:pPr>
            <w:r>
              <w:rPr>
                <w:rFonts w:ascii="Times New Roman" w:hAnsi="Times New Roman"/>
                <w:sz w:val="21"/>
              </w:rPr>
              <w:t>backend/data/UG/&lt;DEPT&gt;/&lt;SEM&gt;</w:t>
            </w:r>
          </w:p>
        </w:tc>
        <w:tc>
          <w:tcPr>
            <w:tcW w:type="dxa" w:w="2256"/>
            <w:vAlign w:val="center"/>
          </w:tcPr>
          <w:p>
            <w:pPr>
              <w:spacing w:line="276" w:lineRule="auto" w:before="40" w:after="40"/>
              <w:jc w:val="left"/>
            </w:pPr>
            <w:r>
              <w:rPr>
                <w:rFonts w:ascii="Times New Roman" w:hAnsi="Times New Roman"/>
                <w:sz w:val="21"/>
              </w:rPr>
              <w:t>Identified list of 61 consolidated result workbooks</w:t>
            </w:r>
          </w:p>
        </w:tc>
      </w:tr>
      <w:tr>
        <w:tc>
          <w:tcPr>
            <w:tcW w:type="dxa" w:w="2256"/>
            <w:vAlign w:val="center"/>
          </w:tcPr>
          <w:p>
            <w:pPr>
              <w:spacing w:line="276" w:lineRule="auto" w:before="40" w:after="40"/>
              <w:jc w:val="center"/>
            </w:pPr>
            <w:r>
              <w:rPr>
                <w:rFonts w:ascii="Times New Roman" w:hAnsi="Times New Roman"/>
                <w:sz w:val="21"/>
              </w:rPr>
              <w:t>Header Resolution</w:t>
            </w:r>
          </w:p>
        </w:tc>
        <w:tc>
          <w:tcPr>
            <w:tcW w:type="dxa" w:w="2256"/>
            <w:vAlign w:val="center"/>
          </w:tcPr>
          <w:p>
            <w:pPr>
              <w:spacing w:line="276" w:lineRule="auto" w:before="40" w:after="40"/>
              <w:jc w:val="left"/>
            </w:pPr>
            <w:r>
              <w:rPr>
                <w:rFonts w:ascii="Times New Roman" w:hAnsi="Times New Roman"/>
                <w:sz w:val="21"/>
              </w:rPr>
              <w:t>pd.read_excel(header=None)</w:t>
            </w:r>
          </w:p>
        </w:tc>
        <w:tc>
          <w:tcPr>
            <w:tcW w:type="dxa" w:w="2256"/>
            <w:vAlign w:val="center"/>
          </w:tcPr>
          <w:p>
            <w:pPr>
              <w:spacing w:line="276" w:lineRule="auto" w:before="40" w:after="40"/>
              <w:jc w:val="left"/>
            </w:pPr>
            <w:r>
              <w:rPr>
                <w:rFonts w:ascii="Times New Roman" w:hAnsi="Times New Roman"/>
                <w:sz w:val="21"/>
              </w:rPr>
              <w:t>Raw Excel Sheet Matrix</w:t>
            </w:r>
          </w:p>
        </w:tc>
        <w:tc>
          <w:tcPr>
            <w:tcW w:type="dxa" w:w="2256"/>
            <w:vAlign w:val="center"/>
          </w:tcPr>
          <w:p>
            <w:pPr>
              <w:spacing w:line="276" w:lineRule="auto" w:before="40" w:after="40"/>
              <w:jc w:val="left"/>
            </w:pPr>
            <w:r>
              <w:rPr>
                <w:rFonts w:ascii="Times New Roman" w:hAnsi="Times New Roman"/>
                <w:sz w:val="21"/>
              </w:rPr>
              <w:t>Dynamic index identifying registration number row</w:t>
            </w:r>
          </w:p>
        </w:tc>
      </w:tr>
      <w:tr>
        <w:tc>
          <w:tcPr>
            <w:tcW w:type="dxa" w:w="2256"/>
            <w:vAlign w:val="center"/>
          </w:tcPr>
          <w:p>
            <w:pPr>
              <w:spacing w:line="276" w:lineRule="auto" w:before="40" w:after="40"/>
              <w:jc w:val="center"/>
            </w:pPr>
            <w:r>
              <w:rPr>
                <w:rFonts w:ascii="Times New Roman" w:hAnsi="Times New Roman"/>
                <w:sz w:val="21"/>
              </w:rPr>
              <w:t>Student Extraction</w:t>
            </w:r>
          </w:p>
        </w:tc>
        <w:tc>
          <w:tcPr>
            <w:tcW w:type="dxa" w:w="2256"/>
            <w:vAlign w:val="center"/>
          </w:tcPr>
          <w:p>
            <w:pPr>
              <w:spacing w:line="276" w:lineRule="auto" w:before="40" w:after="40"/>
              <w:jc w:val="left"/>
            </w:pPr>
            <w:r>
              <w:rPr>
                <w:rFonts w:ascii="Times New Roman" w:hAnsi="Times New Roman"/>
                <w:sz w:val="21"/>
              </w:rPr>
              <w:t>parse_student_row()</w:t>
            </w:r>
          </w:p>
        </w:tc>
        <w:tc>
          <w:tcPr>
            <w:tcW w:type="dxa" w:w="2256"/>
            <w:vAlign w:val="center"/>
          </w:tcPr>
          <w:p>
            <w:pPr>
              <w:spacing w:line="276" w:lineRule="auto" w:before="40" w:after="40"/>
              <w:jc w:val="left"/>
            </w:pPr>
            <w:r>
              <w:rPr>
                <w:rFonts w:ascii="Times New Roman" w:hAnsi="Times New Roman"/>
                <w:sz w:val="21"/>
              </w:rPr>
              <w:t>Row cells (Reg, Name, Marks)</w:t>
            </w:r>
          </w:p>
        </w:tc>
        <w:tc>
          <w:tcPr>
            <w:tcW w:type="dxa" w:w="2256"/>
            <w:vAlign w:val="center"/>
          </w:tcPr>
          <w:p>
            <w:pPr>
              <w:spacing w:line="276" w:lineRule="auto" w:before="40" w:after="40"/>
              <w:jc w:val="left"/>
            </w:pPr>
            <w:r>
              <w:rPr>
                <w:rFonts w:ascii="Times New Roman" w:hAnsi="Times New Roman"/>
                <w:sz w:val="21"/>
              </w:rPr>
              <w:t>Standardized dictionary of student credentials and grades</w:t>
            </w:r>
          </w:p>
        </w:tc>
      </w:tr>
      <w:tr>
        <w:tc>
          <w:tcPr>
            <w:tcW w:type="dxa" w:w="2256"/>
            <w:vAlign w:val="center"/>
          </w:tcPr>
          <w:p>
            <w:pPr>
              <w:spacing w:line="276" w:lineRule="auto" w:before="40" w:after="40"/>
              <w:jc w:val="center"/>
            </w:pPr>
            <w:r>
              <w:rPr>
                <w:rFonts w:ascii="Times New Roman" w:hAnsi="Times New Roman"/>
                <w:sz w:val="21"/>
              </w:rPr>
              <w:t>Score Normalization</w:t>
            </w:r>
          </w:p>
        </w:tc>
        <w:tc>
          <w:tcPr>
            <w:tcW w:type="dxa" w:w="2256"/>
            <w:vAlign w:val="center"/>
          </w:tcPr>
          <w:p>
            <w:pPr>
              <w:spacing w:line="276" w:lineRule="auto" w:before="40" w:after="40"/>
              <w:jc w:val="left"/>
            </w:pPr>
            <w:r>
              <w:rPr>
                <w:rFonts w:ascii="Times New Roman" w:hAnsi="Times New Roman"/>
                <w:sz w:val="21"/>
              </w:rPr>
              <w:t>data_service.py</w:t>
            </w:r>
          </w:p>
        </w:tc>
        <w:tc>
          <w:tcPr>
            <w:tcW w:type="dxa" w:w="2256"/>
            <w:vAlign w:val="center"/>
          </w:tcPr>
          <w:p>
            <w:pPr>
              <w:spacing w:line="276" w:lineRule="auto" w:before="40" w:after="40"/>
              <w:jc w:val="left"/>
            </w:pPr>
            <w:r>
              <w:rPr>
                <w:rFonts w:ascii="Times New Roman" w:hAnsi="Times New Roman"/>
                <w:sz w:val="21"/>
              </w:rPr>
              <w:t>CIA Marks (out of 40/50/60)</w:t>
            </w:r>
          </w:p>
        </w:tc>
        <w:tc>
          <w:tcPr>
            <w:tcW w:type="dxa" w:w="2256"/>
            <w:vAlign w:val="center"/>
          </w:tcPr>
          <w:p>
            <w:pPr>
              <w:spacing w:line="276" w:lineRule="auto" w:before="40" w:after="40"/>
              <w:jc w:val="left"/>
            </w:pPr>
            <w:r>
              <w:rPr>
                <w:rFonts w:ascii="Times New Roman" w:hAnsi="Times New Roman"/>
                <w:sz w:val="21"/>
              </w:rPr>
              <w:t>Unified 0-100% scaled assessment percentages</w:t>
            </w:r>
          </w:p>
        </w:tc>
      </w:tr>
      <w:tr>
        <w:tc>
          <w:tcPr>
            <w:tcW w:type="dxa" w:w="2256"/>
            <w:vAlign w:val="center"/>
          </w:tcPr>
          <w:p>
            <w:pPr>
              <w:spacing w:line="276" w:lineRule="auto" w:before="40" w:after="40"/>
              <w:jc w:val="center"/>
            </w:pPr>
            <w:r>
              <w:rPr>
                <w:rFonts w:ascii="Times New Roman" w:hAnsi="Times New Roman"/>
                <w:sz w:val="21"/>
              </w:rPr>
              <w:t>Global Aggregation</w:t>
            </w:r>
          </w:p>
        </w:tc>
        <w:tc>
          <w:tcPr>
            <w:tcW w:type="dxa" w:w="2256"/>
            <w:vAlign w:val="center"/>
          </w:tcPr>
          <w:p>
            <w:pPr>
              <w:spacing w:line="276" w:lineRule="auto" w:before="40" w:after="40"/>
              <w:jc w:val="left"/>
            </w:pPr>
            <w:r>
              <w:rPr>
                <w:rFonts w:ascii="Times New Roman" w:hAnsi="Times New Roman"/>
                <w:sz w:val="21"/>
              </w:rPr>
              <w:t>load_data()</w:t>
            </w:r>
          </w:p>
        </w:tc>
        <w:tc>
          <w:tcPr>
            <w:tcW w:type="dxa" w:w="2256"/>
            <w:vAlign w:val="center"/>
          </w:tcPr>
          <w:p>
            <w:pPr>
              <w:spacing w:line="276" w:lineRule="auto" w:before="40" w:after="40"/>
              <w:jc w:val="left"/>
            </w:pPr>
            <w:r>
              <w:rPr>
                <w:rFonts w:ascii="Times New Roman" w:hAnsi="Times New Roman"/>
                <w:sz w:val="21"/>
              </w:rPr>
              <w:t>Individual department records</w:t>
            </w:r>
          </w:p>
        </w:tc>
        <w:tc>
          <w:tcPr>
            <w:tcW w:type="dxa" w:w="2256"/>
            <w:vAlign w:val="center"/>
          </w:tcPr>
          <w:p>
            <w:pPr>
              <w:spacing w:line="276" w:lineRule="auto" w:before="40" w:after="40"/>
              <w:jc w:val="left"/>
            </w:pPr>
            <w:r>
              <w:rPr>
                <w:rFonts w:ascii="Times New Roman" w:hAnsi="Times New Roman"/>
                <w:sz w:val="21"/>
              </w:rPr>
              <w:t>In-memory list of 7,293 unified student record dictionaries</w:t>
            </w:r>
          </w:p>
        </w:tc>
      </w:tr>
    </w:tbl>
    <w:p>
      <w:pPr>
        <w:spacing w:line="276" w:lineRule="auto" w:before="120" w:after="240"/>
        <w:ind w:firstLine="0"/>
        <w:jc w:val="center"/>
      </w:pPr>
      <w:r>
        <w:rPr>
          <w:rFonts w:ascii="Times New Roman" w:hAnsi="Times New Roman"/>
          <w:b/>
          <w:sz w:val="22"/>
        </w:rPr>
        <w:t>Table 4.1: Academic Record Parsing Steps and Normalization Pipeline</w:t>
      </w:r>
    </w:p>
    <w:p>
      <w:pPr>
        <w:spacing w:line="360" w:lineRule="auto" w:before="280" w:after="120"/>
        <w:ind w:firstLine="0"/>
        <w:jc w:val="left"/>
      </w:pPr>
      <w:r>
        <w:rPr>
          <w:rFonts w:ascii="Times New Roman" w:hAnsi="Times New Roman"/>
          <w:b/>
          <w:sz w:val="26"/>
        </w:rPr>
        <w:t>4.2 Machine Learning Risk Prediction Engine Implementation</w:t>
      </w:r>
    </w:p>
    <w:p>
      <w:pPr>
        <w:spacing w:line="360" w:lineRule="auto" w:before="0" w:after="120"/>
        <w:ind w:firstLine="720"/>
        <w:jc w:val="both"/>
      </w:pPr>
      <w:r>
        <w:rPr>
          <w:rFonts w:ascii="Times New Roman" w:hAnsi="Times New Roman"/>
          <w:sz w:val="26"/>
        </w:rPr>
        <w:t>The machine learning risk service is implemented in model_service.py. It manages XGBoost model loading, feature scaling, real-time single-student inference, and batch spreadsheet processing.</w:t>
      </w:r>
    </w:p>
    <w:p>
      <w:pPr>
        <w:spacing w:line="360" w:lineRule="auto" w:before="0" w:after="120"/>
        <w:ind w:firstLine="720"/>
        <w:jc w:val="both"/>
      </w:pPr>
      <w:r>
        <w:rPr>
          <w:rFonts w:ascii="Times New Roman" w:hAnsi="Times New Roman"/>
          <w:sz w:val="26"/>
        </w:rPr>
        <w:t>The service loads the serialized model (xgboost_probability_model.joblib) and feature registry (prob_features.joblib) into memory during module initialization. In predict_single_student(), continuous internal assessment marks submitted for a student across all enrolled subjects are parsed, normalized to 100% scale, and transformed into the three-dimensional feature vector [Avg_Internal_Pct, Min_Internal_Pct, Low_Internal_Count].</w:t>
      </w:r>
    </w:p>
    <w:p>
      <w:pPr>
        <w:spacing w:line="360" w:lineRule="auto" w:before="0" w:after="120"/>
        <w:ind w:firstLine="720"/>
        <w:jc w:val="both"/>
      </w:pPr>
      <w:r>
        <w:rPr>
          <w:rFonts w:ascii="Times New Roman" w:hAnsi="Times New Roman"/>
          <w:sz w:val="26"/>
        </w:rPr>
        <w:t>The predict_proba() method generates the failure probability vector. The predicted failure probability is evaluated against institutional risk bands (Safe, Medium Risk, High Risk), generating customized faculty recommendations and a list of specific at-risk subjects.</w:t>
      </w:r>
    </w:p>
    <w:p>
      <w:pPr>
        <w:spacing w:line="360" w:lineRule="auto" w:before="0" w:after="120"/>
        <w:ind w:firstLine="720"/>
        <w:jc w:val="both"/>
      </w:pPr>
      <w:r>
        <w:rPr>
          <w:rFonts w:ascii="Times New Roman" w:hAnsi="Times New Roman"/>
          <w:sz w:val="26"/>
        </w:rPr>
        <w:t>For batch processing, parse_and_predict_excel() accepts multipart file uploads, dynamically identifies student rows and assessment columns, calculates cohort failure distributions, and returns comprehensive cohort risk summaries within seconds.</w:t>
      </w:r>
    </w:p>
    <w:p>
      <w:pPr>
        <w:spacing w:line="360" w:lineRule="auto" w:before="280" w:after="120"/>
        <w:ind w:firstLine="0"/>
        <w:jc w:val="left"/>
      </w:pPr>
      <w:r>
        <w:rPr>
          <w:rFonts w:ascii="Times New Roman" w:hAnsi="Times New Roman"/>
          <w:b/>
          <w:sz w:val="26"/>
        </w:rPr>
        <w:t>4.3 Conversational AI &amp; Multi-Key Failover Engine Implementation</w:t>
      </w:r>
    </w:p>
    <w:p>
      <w:pPr>
        <w:spacing w:line="360" w:lineRule="auto" w:before="0" w:after="120"/>
        <w:ind w:firstLine="720"/>
        <w:jc w:val="both"/>
      </w:pPr>
      <w:r>
        <w:rPr>
          <w:rFonts w:ascii="Times New Roman" w:hAnsi="Times New Roman"/>
          <w:sz w:val="26"/>
        </w:rPr>
        <w:t>The natural language query engine is implemented in ai_service.py and logger_service.py. It handles conversational query understanding, schema linking, resilient LLM invocation, and audit tracking.</w:t>
      </w:r>
    </w:p>
    <w:p>
      <w:pPr>
        <w:spacing w:line="360" w:lineRule="auto" w:before="0" w:after="120"/>
        <w:ind w:firstLine="720"/>
        <w:jc w:val="both"/>
      </w:pPr>
      <w:r>
        <w:rPr>
          <w:rFonts w:ascii="Times New Roman" w:hAnsi="Times New Roman"/>
          <w:sz w:val="26"/>
        </w:rPr>
        <w:t>The module discovers all configured API credentials from environment variables across GROQ_API_KEY, GROQ_API_KEY_2, GROQ_API_KEY_3, and comma-separated GROQ_API_KEYS. When a query is processed, execute_query_plan() first evaluates local rule filters. If an external Groq LLM call is required, groq_query_planner() iterates through the credential pool. Upon encountering HTTP 429 (Rate Limit Exceeded) or HTTP 401 (Authentication Failure), the engine logs the failover event, masks credential characters for security, and rotates to the next key without failing the request.</w:t>
      </w:r>
    </w:p>
    <w:p>
      <w:pPr>
        <w:spacing w:line="360" w:lineRule="auto" w:before="0" w:after="120"/>
        <w:ind w:firstLine="720"/>
        <w:jc w:val="both"/>
      </w:pPr>
      <w:r>
        <w:rPr>
          <w:rFonts w:ascii="Times New Roman" w:hAnsi="Times New Roman"/>
          <w:sz w:val="26"/>
        </w:rPr>
        <w:t>All interactions are logged in logger_service.py, capturing execution latency, model used, key index, data row count, and query debug trees. Table 4.2 documents the primary REST endpoints exposed by the backend.</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HTTP Method</w:t>
            </w:r>
          </w:p>
        </w:tc>
        <w:tc>
          <w:tcPr>
            <w:tcW w:type="dxa" w:w="2256"/>
            <w:shd w:val="clear" w:color="auto" w:fill="D9D9D9"/>
            <w:vAlign w:val="center"/>
          </w:tcPr>
          <w:p>
            <w:pPr>
              <w:spacing w:line="276" w:lineRule="auto" w:before="60" w:after="60"/>
              <w:jc w:val="center"/>
            </w:pPr>
            <w:r>
              <w:rPr>
                <w:rFonts w:ascii="Times New Roman" w:hAnsi="Times New Roman"/>
                <w:b/>
                <w:sz w:val="22"/>
              </w:rPr>
              <w:t>Endpoint URI</w:t>
            </w:r>
          </w:p>
        </w:tc>
        <w:tc>
          <w:tcPr>
            <w:tcW w:type="dxa" w:w="2256"/>
            <w:shd w:val="clear" w:color="auto" w:fill="D9D9D9"/>
            <w:vAlign w:val="center"/>
          </w:tcPr>
          <w:p>
            <w:pPr>
              <w:spacing w:line="276" w:lineRule="auto" w:before="60" w:after="60"/>
              <w:jc w:val="center"/>
            </w:pPr>
            <w:r>
              <w:rPr>
                <w:rFonts w:ascii="Times New Roman" w:hAnsi="Times New Roman"/>
                <w:b/>
                <w:sz w:val="22"/>
              </w:rPr>
              <w:t>Request Payload / Query Params</w:t>
            </w:r>
          </w:p>
        </w:tc>
        <w:tc>
          <w:tcPr>
            <w:tcW w:type="dxa" w:w="2256"/>
            <w:shd w:val="clear" w:color="auto" w:fill="D9D9D9"/>
            <w:vAlign w:val="center"/>
          </w:tcPr>
          <w:p>
            <w:pPr>
              <w:spacing w:line="276" w:lineRule="auto" w:before="60" w:after="60"/>
              <w:jc w:val="center"/>
            </w:pPr>
            <w:r>
              <w:rPr>
                <w:rFonts w:ascii="Times New Roman" w:hAnsi="Times New Roman"/>
                <w:b/>
                <w:sz w:val="22"/>
              </w:rPr>
              <w:t>Response Data &amp; Status Code</w:t>
            </w:r>
          </w:p>
        </w:tc>
      </w:tr>
      <w:tr>
        <w:tc>
          <w:tcPr>
            <w:tcW w:type="dxa" w:w="2256"/>
            <w:vAlign w:val="center"/>
          </w:tcPr>
          <w:p>
            <w:pPr>
              <w:spacing w:line="276" w:lineRule="auto" w:before="40" w:after="40"/>
              <w:jc w:val="center"/>
            </w:pPr>
            <w:r>
              <w:rPr>
                <w:rFonts w:ascii="Times New Roman" w:hAnsi="Times New Roman"/>
                <w:sz w:val="21"/>
              </w:rPr>
              <w:t>GET</w:t>
            </w:r>
          </w:p>
        </w:tc>
        <w:tc>
          <w:tcPr>
            <w:tcW w:type="dxa" w:w="2256"/>
            <w:vAlign w:val="center"/>
          </w:tcPr>
          <w:p>
            <w:pPr>
              <w:spacing w:line="276" w:lineRule="auto" w:before="40" w:after="40"/>
              <w:jc w:val="left"/>
            </w:pPr>
            <w:r>
              <w:rPr>
                <w:rFonts w:ascii="Times New Roman" w:hAnsi="Times New Roman"/>
                <w:sz w:val="21"/>
              </w:rPr>
              <w:t>/api/summary</w:t>
            </w:r>
          </w:p>
        </w:tc>
        <w:tc>
          <w:tcPr>
            <w:tcW w:type="dxa" w:w="2256"/>
            <w:vAlign w:val="center"/>
          </w:tcPr>
          <w:p>
            <w:pPr>
              <w:spacing w:line="276" w:lineRule="auto" w:before="40" w:after="40"/>
              <w:jc w:val="left"/>
            </w:pPr>
            <w:r>
              <w:rPr>
                <w:rFonts w:ascii="Times New Roman" w:hAnsi="Times New Roman"/>
                <w:sz w:val="21"/>
              </w:rPr>
              <w:t>?department=CS&amp;semester=V</w:t>
            </w:r>
          </w:p>
        </w:tc>
        <w:tc>
          <w:tcPr>
            <w:tcW w:type="dxa" w:w="2256"/>
            <w:vAlign w:val="center"/>
          </w:tcPr>
          <w:p>
            <w:pPr>
              <w:spacing w:line="276" w:lineRule="auto" w:before="40" w:after="40"/>
              <w:jc w:val="left"/>
            </w:pPr>
            <w:r>
              <w:rPr>
                <w:rFonts w:ascii="Times New Roman" w:hAnsi="Times New Roman"/>
                <w:sz w:val="21"/>
              </w:rPr>
              <w:t>200 OK — Overall pass rate, average SGPA, total students, at-risk count</w:t>
            </w:r>
          </w:p>
        </w:tc>
      </w:tr>
      <w:tr>
        <w:tc>
          <w:tcPr>
            <w:tcW w:type="dxa" w:w="2256"/>
            <w:vAlign w:val="center"/>
          </w:tcPr>
          <w:p>
            <w:pPr>
              <w:spacing w:line="276" w:lineRule="auto" w:before="40" w:after="40"/>
              <w:jc w:val="center"/>
            </w:pPr>
            <w:r>
              <w:rPr>
                <w:rFonts w:ascii="Times New Roman" w:hAnsi="Times New Roman"/>
                <w:sz w:val="21"/>
              </w:rPr>
              <w:t>GET</w:t>
            </w:r>
          </w:p>
        </w:tc>
        <w:tc>
          <w:tcPr>
            <w:tcW w:type="dxa" w:w="2256"/>
            <w:vAlign w:val="center"/>
          </w:tcPr>
          <w:p>
            <w:pPr>
              <w:spacing w:line="276" w:lineRule="auto" w:before="40" w:after="40"/>
              <w:jc w:val="left"/>
            </w:pPr>
            <w:r>
              <w:rPr>
                <w:rFonts w:ascii="Times New Roman" w:hAnsi="Times New Roman"/>
                <w:sz w:val="21"/>
              </w:rPr>
              <w:t>/api/students</w:t>
            </w:r>
          </w:p>
        </w:tc>
        <w:tc>
          <w:tcPr>
            <w:tcW w:type="dxa" w:w="2256"/>
            <w:vAlign w:val="center"/>
          </w:tcPr>
          <w:p>
            <w:pPr>
              <w:spacing w:line="276" w:lineRule="auto" w:before="40" w:after="40"/>
              <w:jc w:val="left"/>
            </w:pPr>
            <w:r>
              <w:rPr>
                <w:rFonts w:ascii="Times New Roman" w:hAnsi="Times New Roman"/>
                <w:sz w:val="21"/>
              </w:rPr>
              <w:t>?page=1&amp;limit=25&amp;dept=IT&amp;search=John</w:t>
            </w:r>
          </w:p>
        </w:tc>
        <w:tc>
          <w:tcPr>
            <w:tcW w:type="dxa" w:w="2256"/>
            <w:vAlign w:val="center"/>
          </w:tcPr>
          <w:p>
            <w:pPr>
              <w:spacing w:line="276" w:lineRule="auto" w:before="40" w:after="40"/>
              <w:jc w:val="left"/>
            </w:pPr>
            <w:r>
              <w:rPr>
                <w:rFonts w:ascii="Times New Roman" w:hAnsi="Times New Roman"/>
                <w:sz w:val="21"/>
              </w:rPr>
              <w:t>200 OK — Paginated student records with search filtering and GPA</w:t>
            </w:r>
          </w:p>
        </w:tc>
      </w:tr>
      <w:tr>
        <w:tc>
          <w:tcPr>
            <w:tcW w:type="dxa" w:w="2256"/>
            <w:vAlign w:val="center"/>
          </w:tcPr>
          <w:p>
            <w:pPr>
              <w:spacing w:line="276" w:lineRule="auto" w:before="40" w:after="40"/>
              <w:jc w:val="center"/>
            </w:pPr>
            <w:r>
              <w:rPr>
                <w:rFonts w:ascii="Times New Roman" w:hAnsi="Times New Roman"/>
                <w:sz w:val="21"/>
              </w:rPr>
              <w:t>GET</w:t>
            </w:r>
          </w:p>
        </w:tc>
        <w:tc>
          <w:tcPr>
            <w:tcW w:type="dxa" w:w="2256"/>
            <w:vAlign w:val="center"/>
          </w:tcPr>
          <w:p>
            <w:pPr>
              <w:spacing w:line="276" w:lineRule="auto" w:before="40" w:after="40"/>
              <w:jc w:val="left"/>
            </w:pPr>
            <w:r>
              <w:rPr>
                <w:rFonts w:ascii="Times New Roman" w:hAnsi="Times New Roman"/>
                <w:sz w:val="21"/>
              </w:rPr>
              <w:t>/api/students/{reg_no}</w:t>
            </w:r>
          </w:p>
        </w:tc>
        <w:tc>
          <w:tcPr>
            <w:tcW w:type="dxa" w:w="2256"/>
            <w:vAlign w:val="center"/>
          </w:tcPr>
          <w:p>
            <w:pPr>
              <w:spacing w:line="276" w:lineRule="auto" w:before="40" w:after="40"/>
              <w:jc w:val="left"/>
            </w:pPr>
            <w:r>
              <w:rPr>
                <w:rFonts w:ascii="Times New Roman" w:hAnsi="Times New Roman"/>
                <w:sz w:val="21"/>
              </w:rPr>
              <w:t>Path parameter: register_number</w:t>
            </w:r>
          </w:p>
        </w:tc>
        <w:tc>
          <w:tcPr>
            <w:tcW w:type="dxa" w:w="2256"/>
            <w:vAlign w:val="center"/>
          </w:tcPr>
          <w:p>
            <w:pPr>
              <w:spacing w:line="276" w:lineRule="auto" w:before="40" w:after="40"/>
              <w:jc w:val="left"/>
            </w:pPr>
            <w:r>
              <w:rPr>
                <w:rFonts w:ascii="Times New Roman" w:hAnsi="Times New Roman"/>
                <w:sz w:val="21"/>
              </w:rPr>
              <w:t>200 OK — Comprehensive student history and course mark breakdown</w:t>
            </w:r>
          </w:p>
        </w:tc>
      </w:tr>
      <w:tr>
        <w:tc>
          <w:tcPr>
            <w:tcW w:type="dxa" w:w="2256"/>
            <w:vAlign w:val="center"/>
          </w:tcPr>
          <w:p>
            <w:pPr>
              <w:spacing w:line="276" w:lineRule="auto" w:before="40" w:after="40"/>
              <w:jc w:val="center"/>
            </w:pPr>
            <w:r>
              <w:rPr>
                <w:rFonts w:ascii="Times New Roman" w:hAnsi="Times New Roman"/>
                <w:sz w:val="21"/>
              </w:rPr>
              <w:t>POST</w:t>
            </w:r>
          </w:p>
        </w:tc>
        <w:tc>
          <w:tcPr>
            <w:tcW w:type="dxa" w:w="2256"/>
            <w:vAlign w:val="center"/>
          </w:tcPr>
          <w:p>
            <w:pPr>
              <w:spacing w:line="276" w:lineRule="auto" w:before="40" w:after="40"/>
              <w:jc w:val="left"/>
            </w:pPr>
            <w:r>
              <w:rPr>
                <w:rFonts w:ascii="Times New Roman" w:hAnsi="Times New Roman"/>
                <w:sz w:val="21"/>
              </w:rPr>
              <w:t>/api/predict/single</w:t>
            </w:r>
          </w:p>
        </w:tc>
        <w:tc>
          <w:tcPr>
            <w:tcW w:type="dxa" w:w="2256"/>
            <w:vAlign w:val="center"/>
          </w:tcPr>
          <w:p>
            <w:pPr>
              <w:spacing w:line="276" w:lineRule="auto" w:before="40" w:after="40"/>
              <w:jc w:val="left"/>
            </w:pPr>
            <w:r>
              <w:rPr>
                <w:rFonts w:ascii="Times New Roman" w:hAnsi="Times New Roman"/>
                <w:sz w:val="21"/>
              </w:rPr>
              <w:t>JSON: { student_id, assessments: [...] }</w:t>
            </w:r>
          </w:p>
        </w:tc>
        <w:tc>
          <w:tcPr>
            <w:tcW w:type="dxa" w:w="2256"/>
            <w:vAlign w:val="center"/>
          </w:tcPr>
          <w:p>
            <w:pPr>
              <w:spacing w:line="276" w:lineRule="auto" w:before="40" w:after="40"/>
              <w:jc w:val="left"/>
            </w:pPr>
            <w:r>
              <w:rPr>
                <w:rFonts w:ascii="Times New Roman" w:hAnsi="Times New Roman"/>
                <w:sz w:val="21"/>
              </w:rPr>
              <w:t>200 OK — Pass/fail probability, risk category, and faculty recommendations</w:t>
            </w:r>
          </w:p>
        </w:tc>
      </w:tr>
      <w:tr>
        <w:tc>
          <w:tcPr>
            <w:tcW w:type="dxa" w:w="2256"/>
            <w:vAlign w:val="center"/>
          </w:tcPr>
          <w:p>
            <w:pPr>
              <w:spacing w:line="276" w:lineRule="auto" w:before="40" w:after="40"/>
              <w:jc w:val="center"/>
            </w:pPr>
            <w:r>
              <w:rPr>
                <w:rFonts w:ascii="Times New Roman" w:hAnsi="Times New Roman"/>
                <w:sz w:val="21"/>
              </w:rPr>
              <w:t>POST</w:t>
            </w:r>
          </w:p>
        </w:tc>
        <w:tc>
          <w:tcPr>
            <w:tcW w:type="dxa" w:w="2256"/>
            <w:vAlign w:val="center"/>
          </w:tcPr>
          <w:p>
            <w:pPr>
              <w:spacing w:line="276" w:lineRule="auto" w:before="40" w:after="40"/>
              <w:jc w:val="left"/>
            </w:pPr>
            <w:r>
              <w:rPr>
                <w:rFonts w:ascii="Times New Roman" w:hAnsi="Times New Roman"/>
                <w:sz w:val="21"/>
              </w:rPr>
              <w:t>/api/predict/bulk</w:t>
            </w:r>
          </w:p>
        </w:tc>
        <w:tc>
          <w:tcPr>
            <w:tcW w:type="dxa" w:w="2256"/>
            <w:vAlign w:val="center"/>
          </w:tcPr>
          <w:p>
            <w:pPr>
              <w:spacing w:line="276" w:lineRule="auto" w:before="40" w:after="40"/>
              <w:jc w:val="left"/>
            </w:pPr>
            <w:r>
              <w:rPr>
                <w:rFonts w:ascii="Times New Roman" w:hAnsi="Times New Roman"/>
                <w:sz w:val="21"/>
              </w:rPr>
              <w:t>Multipart Form Data: .xlsx file</w:t>
            </w:r>
          </w:p>
        </w:tc>
        <w:tc>
          <w:tcPr>
            <w:tcW w:type="dxa" w:w="2256"/>
            <w:vAlign w:val="center"/>
          </w:tcPr>
          <w:p>
            <w:pPr>
              <w:spacing w:line="276" w:lineRule="auto" w:before="40" w:after="40"/>
              <w:jc w:val="left"/>
            </w:pPr>
            <w:r>
              <w:rPr>
                <w:rFonts w:ascii="Times New Roman" w:hAnsi="Times New Roman"/>
                <w:sz w:val="21"/>
              </w:rPr>
              <w:t>200 OK — Batch student predictions and cohort risk summary statistics</w:t>
            </w:r>
          </w:p>
        </w:tc>
      </w:tr>
      <w:tr>
        <w:tc>
          <w:tcPr>
            <w:tcW w:type="dxa" w:w="2256"/>
            <w:vAlign w:val="center"/>
          </w:tcPr>
          <w:p>
            <w:pPr>
              <w:spacing w:line="276" w:lineRule="auto" w:before="40" w:after="40"/>
              <w:jc w:val="center"/>
            </w:pPr>
            <w:r>
              <w:rPr>
                <w:rFonts w:ascii="Times New Roman" w:hAnsi="Times New Roman"/>
                <w:sz w:val="21"/>
              </w:rPr>
              <w:t>POST</w:t>
            </w:r>
          </w:p>
        </w:tc>
        <w:tc>
          <w:tcPr>
            <w:tcW w:type="dxa" w:w="2256"/>
            <w:vAlign w:val="center"/>
          </w:tcPr>
          <w:p>
            <w:pPr>
              <w:spacing w:line="276" w:lineRule="auto" w:before="40" w:after="40"/>
              <w:jc w:val="left"/>
            </w:pPr>
            <w:r>
              <w:rPr>
                <w:rFonts w:ascii="Times New Roman" w:hAnsi="Times New Roman"/>
                <w:sz w:val="21"/>
              </w:rPr>
              <w:t>/api/ai/query</w:t>
            </w:r>
          </w:p>
        </w:tc>
        <w:tc>
          <w:tcPr>
            <w:tcW w:type="dxa" w:w="2256"/>
            <w:vAlign w:val="center"/>
          </w:tcPr>
          <w:p>
            <w:pPr>
              <w:spacing w:line="276" w:lineRule="auto" w:before="40" w:after="40"/>
              <w:jc w:val="left"/>
            </w:pPr>
            <w:r>
              <w:rPr>
                <w:rFonts w:ascii="Times New Roman" w:hAnsi="Times New Roman"/>
                <w:sz w:val="21"/>
              </w:rPr>
              <w:t>JSON: { question, history, mode }</w:t>
            </w:r>
          </w:p>
        </w:tc>
        <w:tc>
          <w:tcPr>
            <w:tcW w:type="dxa" w:w="2256"/>
            <w:vAlign w:val="center"/>
          </w:tcPr>
          <w:p>
            <w:pPr>
              <w:spacing w:line="276" w:lineRule="auto" w:before="40" w:after="40"/>
              <w:jc w:val="left"/>
            </w:pPr>
            <w:r>
              <w:rPr>
                <w:rFonts w:ascii="Times New Roman" w:hAnsi="Times New Roman"/>
                <w:sz w:val="21"/>
              </w:rPr>
              <w:t>200 OK — Natural language answer, data rows, and graphSpecification</w:t>
            </w:r>
          </w:p>
        </w:tc>
      </w:tr>
      <w:tr>
        <w:tc>
          <w:tcPr>
            <w:tcW w:type="dxa" w:w="2256"/>
            <w:vAlign w:val="center"/>
          </w:tcPr>
          <w:p>
            <w:pPr>
              <w:spacing w:line="276" w:lineRule="auto" w:before="40" w:after="40"/>
              <w:jc w:val="center"/>
            </w:pPr>
            <w:r>
              <w:rPr>
                <w:rFonts w:ascii="Times New Roman" w:hAnsi="Times New Roman"/>
                <w:sz w:val="21"/>
              </w:rPr>
              <w:t>GET</w:t>
            </w:r>
          </w:p>
        </w:tc>
        <w:tc>
          <w:tcPr>
            <w:tcW w:type="dxa" w:w="2256"/>
            <w:vAlign w:val="center"/>
          </w:tcPr>
          <w:p>
            <w:pPr>
              <w:spacing w:line="276" w:lineRule="auto" w:before="40" w:after="40"/>
              <w:jc w:val="left"/>
            </w:pPr>
            <w:r>
              <w:rPr>
                <w:rFonts w:ascii="Times New Roman" w:hAnsi="Times New Roman"/>
                <w:sz w:val="21"/>
              </w:rPr>
              <w:t>/api/ai/logs</w:t>
            </w:r>
          </w:p>
        </w:tc>
        <w:tc>
          <w:tcPr>
            <w:tcW w:type="dxa" w:w="2256"/>
            <w:vAlign w:val="center"/>
          </w:tcPr>
          <w:p>
            <w:pPr>
              <w:spacing w:line="276" w:lineRule="auto" w:before="40" w:after="40"/>
              <w:jc w:val="left"/>
            </w:pPr>
            <w:r>
              <w:rPr>
                <w:rFonts w:ascii="Times New Roman" w:hAnsi="Times New Roman"/>
                <w:sz w:val="21"/>
              </w:rPr>
              <w:t>?limit=50&amp;status=all</w:t>
            </w:r>
          </w:p>
        </w:tc>
        <w:tc>
          <w:tcPr>
            <w:tcW w:type="dxa" w:w="2256"/>
            <w:vAlign w:val="center"/>
          </w:tcPr>
          <w:p>
            <w:pPr>
              <w:spacing w:line="276" w:lineRule="auto" w:before="40" w:after="40"/>
              <w:jc w:val="left"/>
            </w:pPr>
            <w:r>
              <w:rPr>
                <w:rFonts w:ascii="Times New Roman" w:hAnsi="Times New Roman"/>
                <w:sz w:val="21"/>
              </w:rPr>
              <w:t>200 OK — Paginated query audit logs, model metrics, and failover history</w:t>
            </w:r>
          </w:p>
        </w:tc>
      </w:tr>
      <w:tr>
        <w:tc>
          <w:tcPr>
            <w:tcW w:type="dxa" w:w="2256"/>
            <w:vAlign w:val="center"/>
          </w:tcPr>
          <w:p>
            <w:pPr>
              <w:spacing w:line="276" w:lineRule="auto" w:before="40" w:after="40"/>
              <w:jc w:val="center"/>
            </w:pPr>
            <w:r>
              <w:rPr>
                <w:rFonts w:ascii="Times New Roman" w:hAnsi="Times New Roman"/>
                <w:sz w:val="21"/>
              </w:rPr>
              <w:t>GET</w:t>
            </w:r>
          </w:p>
        </w:tc>
        <w:tc>
          <w:tcPr>
            <w:tcW w:type="dxa" w:w="2256"/>
            <w:vAlign w:val="center"/>
          </w:tcPr>
          <w:p>
            <w:pPr>
              <w:spacing w:line="276" w:lineRule="auto" w:before="40" w:after="40"/>
              <w:jc w:val="left"/>
            </w:pPr>
            <w:r>
              <w:rPr>
                <w:rFonts w:ascii="Times New Roman" w:hAnsi="Times New Roman"/>
                <w:sz w:val="21"/>
              </w:rPr>
              <w:t>/api/model/status</w:t>
            </w:r>
          </w:p>
        </w:tc>
        <w:tc>
          <w:tcPr>
            <w:tcW w:type="dxa" w:w="2256"/>
            <w:vAlign w:val="center"/>
          </w:tcPr>
          <w:p>
            <w:pPr>
              <w:spacing w:line="276" w:lineRule="auto" w:before="40" w:after="40"/>
              <w:jc w:val="left"/>
            </w:pPr>
            <w:r>
              <w:rPr>
                <w:rFonts w:ascii="Times New Roman" w:hAnsi="Times New Roman"/>
                <w:sz w:val="21"/>
              </w:rPr>
              <w:t>None</w:t>
            </w:r>
          </w:p>
        </w:tc>
        <w:tc>
          <w:tcPr>
            <w:tcW w:type="dxa" w:w="2256"/>
            <w:vAlign w:val="center"/>
          </w:tcPr>
          <w:p>
            <w:pPr>
              <w:spacing w:line="276" w:lineRule="auto" w:before="40" w:after="40"/>
              <w:jc w:val="left"/>
            </w:pPr>
            <w:r>
              <w:rPr>
                <w:rFonts w:ascii="Times New Roman" w:hAnsi="Times New Roman"/>
                <w:sz w:val="21"/>
              </w:rPr>
              <w:t>200 OK — Model operational state, booster version, and feature registry</w:t>
            </w:r>
          </w:p>
        </w:tc>
      </w:tr>
    </w:tbl>
    <w:p>
      <w:pPr>
        <w:spacing w:line="276" w:lineRule="auto" w:before="120" w:after="240"/>
        <w:ind w:firstLine="0"/>
        <w:jc w:val="center"/>
      </w:pPr>
      <w:r>
        <w:rPr>
          <w:rFonts w:ascii="Times New Roman" w:hAnsi="Times New Roman"/>
          <w:b/>
          <w:sz w:val="22"/>
        </w:rPr>
        <w:t>Table 4.2: FastAPI Backend REST Endpoints — Request and Response Specifications</w:t>
      </w:r>
    </w:p>
    <w:p>
      <w:pPr>
        <w:spacing w:line="360" w:lineRule="auto" w:before="280" w:after="120"/>
        <w:ind w:firstLine="0"/>
        <w:jc w:val="left"/>
      </w:pPr>
      <w:r>
        <w:rPr>
          <w:rFonts w:ascii="Times New Roman" w:hAnsi="Times New Roman"/>
          <w:b/>
          <w:sz w:val="26"/>
        </w:rPr>
        <w:t>4.4 Dynamic Visual Analytics &amp; Dashboard Implementation</w:t>
      </w:r>
    </w:p>
    <w:p>
      <w:pPr>
        <w:spacing w:line="360" w:lineRule="auto" w:before="0" w:after="120"/>
        <w:ind w:firstLine="720"/>
        <w:jc w:val="both"/>
      </w:pPr>
      <w:r>
        <w:rPr>
          <w:rFonts w:ascii="Times New Roman" w:hAnsi="Times New Roman"/>
          <w:sz w:val="26"/>
        </w:rPr>
        <w:t>The frontend presentation layer is developed with React 19 and Recharts. The application architecture is structured into dedicated modular pages: Dashboard.jsx (Executive overview), PredictionHub.jsx (ML Risk Predictor), StudentsList.jsx (Directory), StudentDetail.jsx (Student profile), AIAnalytics.jsx (Conversational studio), and AILogs.jsx (Audit log viewer).</w:t>
      </w:r>
    </w:p>
    <w:p>
      <w:pPr>
        <w:spacing w:line="360" w:lineRule="auto" w:before="0" w:after="120"/>
        <w:ind w:firstLine="720"/>
        <w:jc w:val="both"/>
      </w:pPr>
      <w:r>
        <w:rPr>
          <w:rFonts w:ascii="Times New Roman" w:hAnsi="Times New Roman"/>
          <w:sz w:val="26"/>
        </w:rPr>
        <w:t>The DynamicChartRenderer.jsx component acts as a central dispatcher, accepting any valid graphSpecification JSON and rendering the optimal visualization with responsive containers and formatted axes. Table 4.3 outlines the dynamic charting feature matrix.</w:t>
      </w:r>
    </w:p>
    <w:p>
      <w:pPr>
        <w:spacing w:line="360" w:lineRule="auto" w:before="0" w:after="120"/>
        <w:ind w:firstLine="720"/>
        <w:jc w:val="both"/>
      </w:pPr>
      <w:r>
        <w:rPr>
          <w:rFonts w:ascii="Times New Roman" w:hAnsi="Times New Roman"/>
          <w:sz w:val="26"/>
        </w:rPr>
        <w:t>Figure 4.1 showcases the Department Performance Overview Dashboard. Figure 4.2 illustrates the Individual Student Academic Analytics view. Figure 4.3 displays the Conversational AI Analytics interface.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Chart Type</w:t>
            </w:r>
          </w:p>
        </w:tc>
        <w:tc>
          <w:tcPr>
            <w:tcW w:type="dxa" w:w="2256"/>
            <w:shd w:val="clear" w:color="auto" w:fill="D9D9D9"/>
            <w:vAlign w:val="center"/>
          </w:tcPr>
          <w:p>
            <w:pPr>
              <w:spacing w:line="276" w:lineRule="auto" w:before="60" w:after="60"/>
              <w:jc w:val="center"/>
            </w:pPr>
            <w:r>
              <w:rPr>
                <w:rFonts w:ascii="Times New Roman" w:hAnsi="Times New Roman"/>
                <w:b/>
                <w:sz w:val="22"/>
              </w:rPr>
              <w:t>Component File</w:t>
            </w:r>
          </w:p>
        </w:tc>
        <w:tc>
          <w:tcPr>
            <w:tcW w:type="dxa" w:w="2256"/>
            <w:shd w:val="clear" w:color="auto" w:fill="D9D9D9"/>
            <w:vAlign w:val="center"/>
          </w:tcPr>
          <w:p>
            <w:pPr>
              <w:spacing w:line="276" w:lineRule="auto" w:before="60" w:after="60"/>
              <w:jc w:val="center"/>
            </w:pPr>
            <w:r>
              <w:rPr>
                <w:rFonts w:ascii="Times New Roman" w:hAnsi="Times New Roman"/>
                <w:b/>
                <w:sz w:val="22"/>
              </w:rPr>
              <w:t>Typical Metric Use Case</w:t>
            </w:r>
          </w:p>
        </w:tc>
        <w:tc>
          <w:tcPr>
            <w:tcW w:type="dxa" w:w="2256"/>
            <w:shd w:val="clear" w:color="auto" w:fill="D9D9D9"/>
            <w:vAlign w:val="center"/>
          </w:tcPr>
          <w:p>
            <w:pPr>
              <w:spacing w:line="276" w:lineRule="auto" w:before="60" w:after="60"/>
              <w:jc w:val="center"/>
            </w:pPr>
            <w:r>
              <w:rPr>
                <w:rFonts w:ascii="Times New Roman" w:hAnsi="Times New Roman"/>
                <w:b/>
                <w:sz w:val="22"/>
              </w:rPr>
              <w:t>Supported Export Formats</w:t>
            </w:r>
          </w:p>
        </w:tc>
      </w:tr>
      <w:tr>
        <w:tc>
          <w:tcPr>
            <w:tcW w:type="dxa" w:w="2256"/>
            <w:vAlign w:val="center"/>
          </w:tcPr>
          <w:p>
            <w:pPr>
              <w:spacing w:line="276" w:lineRule="auto" w:before="40" w:after="40"/>
              <w:jc w:val="center"/>
            </w:pPr>
            <w:r>
              <w:rPr>
                <w:rFonts w:ascii="Times New Roman" w:hAnsi="Times New Roman"/>
                <w:sz w:val="21"/>
              </w:rPr>
              <w:t>Vertical Bar</w:t>
            </w:r>
          </w:p>
        </w:tc>
        <w:tc>
          <w:tcPr>
            <w:tcW w:type="dxa" w:w="2256"/>
            <w:vAlign w:val="center"/>
          </w:tcPr>
          <w:p>
            <w:pPr>
              <w:spacing w:line="276" w:lineRule="auto" w:before="40" w:after="40"/>
              <w:jc w:val="left"/>
            </w:pPr>
            <w:r>
              <w:rPr>
                <w:rFonts w:ascii="Times New Roman" w:hAnsi="Times New Roman"/>
                <w:sz w:val="21"/>
              </w:rPr>
              <w:t>BarChartComponent.jsx</w:t>
            </w:r>
          </w:p>
        </w:tc>
        <w:tc>
          <w:tcPr>
            <w:tcW w:type="dxa" w:w="2256"/>
            <w:vAlign w:val="center"/>
          </w:tcPr>
          <w:p>
            <w:pPr>
              <w:spacing w:line="276" w:lineRule="auto" w:before="40" w:after="40"/>
              <w:jc w:val="left"/>
            </w:pPr>
            <w:r>
              <w:rPr>
                <w:rFonts w:ascii="Times New Roman" w:hAnsi="Times New Roman"/>
                <w:sz w:val="21"/>
              </w:rPr>
              <w:t>Department pass percentage comparison</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Horizontal Bar</w:t>
            </w:r>
          </w:p>
        </w:tc>
        <w:tc>
          <w:tcPr>
            <w:tcW w:type="dxa" w:w="2256"/>
            <w:vAlign w:val="center"/>
          </w:tcPr>
          <w:p>
            <w:pPr>
              <w:spacing w:line="276" w:lineRule="auto" w:before="40" w:after="40"/>
              <w:jc w:val="left"/>
            </w:pPr>
            <w:r>
              <w:rPr>
                <w:rFonts w:ascii="Times New Roman" w:hAnsi="Times New Roman"/>
                <w:sz w:val="21"/>
              </w:rPr>
              <w:t>HorizontalBarChartComponent.jsx</w:t>
            </w:r>
          </w:p>
        </w:tc>
        <w:tc>
          <w:tcPr>
            <w:tcW w:type="dxa" w:w="2256"/>
            <w:vAlign w:val="center"/>
          </w:tcPr>
          <w:p>
            <w:pPr>
              <w:spacing w:line="276" w:lineRule="auto" w:before="40" w:after="40"/>
              <w:jc w:val="left"/>
            </w:pPr>
            <w:r>
              <w:rPr>
                <w:rFonts w:ascii="Times New Roman" w:hAnsi="Times New Roman"/>
                <w:sz w:val="21"/>
              </w:rPr>
              <w:t>Ranked student GPAs and subject marks</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Grouped Bar</w:t>
            </w:r>
          </w:p>
        </w:tc>
        <w:tc>
          <w:tcPr>
            <w:tcW w:type="dxa" w:w="2256"/>
            <w:vAlign w:val="center"/>
          </w:tcPr>
          <w:p>
            <w:pPr>
              <w:spacing w:line="276" w:lineRule="auto" w:before="40" w:after="40"/>
              <w:jc w:val="left"/>
            </w:pPr>
            <w:r>
              <w:rPr>
                <w:rFonts w:ascii="Times New Roman" w:hAnsi="Times New Roman"/>
                <w:sz w:val="21"/>
              </w:rPr>
              <w:t>BarChartComponent.jsx</w:t>
            </w:r>
          </w:p>
        </w:tc>
        <w:tc>
          <w:tcPr>
            <w:tcW w:type="dxa" w:w="2256"/>
            <w:vAlign w:val="center"/>
          </w:tcPr>
          <w:p>
            <w:pPr>
              <w:spacing w:line="276" w:lineRule="auto" w:before="40" w:after="40"/>
              <w:jc w:val="left"/>
            </w:pPr>
            <w:r>
              <w:rPr>
                <w:rFonts w:ascii="Times New Roman" w:hAnsi="Times New Roman"/>
                <w:sz w:val="21"/>
              </w:rPr>
              <w:t>Side-by-side Pass vs. Fail count comparison</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Stacked Bar</w:t>
            </w:r>
          </w:p>
        </w:tc>
        <w:tc>
          <w:tcPr>
            <w:tcW w:type="dxa" w:w="2256"/>
            <w:vAlign w:val="center"/>
          </w:tcPr>
          <w:p>
            <w:pPr>
              <w:spacing w:line="276" w:lineRule="auto" w:before="40" w:after="40"/>
              <w:jc w:val="left"/>
            </w:pPr>
            <w:r>
              <w:rPr>
                <w:rFonts w:ascii="Times New Roman" w:hAnsi="Times New Roman"/>
                <w:sz w:val="21"/>
              </w:rPr>
              <w:t>StackedBarChartComponent.jsx</w:t>
            </w:r>
          </w:p>
        </w:tc>
        <w:tc>
          <w:tcPr>
            <w:tcW w:type="dxa" w:w="2256"/>
            <w:vAlign w:val="center"/>
          </w:tcPr>
          <w:p>
            <w:pPr>
              <w:spacing w:line="276" w:lineRule="auto" w:before="40" w:after="40"/>
              <w:jc w:val="left"/>
            </w:pPr>
            <w:r>
              <w:rPr>
                <w:rFonts w:ascii="Times New Roman" w:hAnsi="Times New Roman"/>
                <w:sz w:val="21"/>
              </w:rPr>
              <w:t>Grade distribution tiers across batches</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Line Chart</w:t>
            </w:r>
          </w:p>
        </w:tc>
        <w:tc>
          <w:tcPr>
            <w:tcW w:type="dxa" w:w="2256"/>
            <w:vAlign w:val="center"/>
          </w:tcPr>
          <w:p>
            <w:pPr>
              <w:spacing w:line="276" w:lineRule="auto" w:before="40" w:after="40"/>
              <w:jc w:val="left"/>
            </w:pPr>
            <w:r>
              <w:rPr>
                <w:rFonts w:ascii="Times New Roman" w:hAnsi="Times New Roman"/>
                <w:sz w:val="21"/>
              </w:rPr>
              <w:t>LineChartComponent.jsx</w:t>
            </w:r>
          </w:p>
        </w:tc>
        <w:tc>
          <w:tcPr>
            <w:tcW w:type="dxa" w:w="2256"/>
            <w:vAlign w:val="center"/>
          </w:tcPr>
          <w:p>
            <w:pPr>
              <w:spacing w:line="276" w:lineRule="auto" w:before="40" w:after="40"/>
              <w:jc w:val="left"/>
            </w:pPr>
            <w:r>
              <w:rPr>
                <w:rFonts w:ascii="Times New Roman" w:hAnsi="Times New Roman"/>
                <w:sz w:val="21"/>
              </w:rPr>
              <w:t>Progression trends across semesters</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Area Chart</w:t>
            </w:r>
          </w:p>
        </w:tc>
        <w:tc>
          <w:tcPr>
            <w:tcW w:type="dxa" w:w="2256"/>
            <w:vAlign w:val="center"/>
          </w:tcPr>
          <w:p>
            <w:pPr>
              <w:spacing w:line="276" w:lineRule="auto" w:before="40" w:after="40"/>
              <w:jc w:val="left"/>
            </w:pPr>
            <w:r>
              <w:rPr>
                <w:rFonts w:ascii="Times New Roman" w:hAnsi="Times New Roman"/>
                <w:sz w:val="21"/>
              </w:rPr>
              <w:t>AreaChartComponent.jsx</w:t>
            </w:r>
          </w:p>
        </w:tc>
        <w:tc>
          <w:tcPr>
            <w:tcW w:type="dxa" w:w="2256"/>
            <w:vAlign w:val="center"/>
          </w:tcPr>
          <w:p>
            <w:pPr>
              <w:spacing w:line="276" w:lineRule="auto" w:before="40" w:after="40"/>
              <w:jc w:val="left"/>
            </w:pPr>
            <w:r>
              <w:rPr>
                <w:rFonts w:ascii="Times New Roman" w:hAnsi="Times New Roman"/>
                <w:sz w:val="21"/>
              </w:rPr>
              <w:t>Cumulative GPA trajectories over time</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Donut / Pie</w:t>
            </w:r>
          </w:p>
        </w:tc>
        <w:tc>
          <w:tcPr>
            <w:tcW w:type="dxa" w:w="2256"/>
            <w:vAlign w:val="center"/>
          </w:tcPr>
          <w:p>
            <w:pPr>
              <w:spacing w:line="276" w:lineRule="auto" w:before="40" w:after="40"/>
              <w:jc w:val="left"/>
            </w:pPr>
            <w:r>
              <w:rPr>
                <w:rFonts w:ascii="Times New Roman" w:hAnsi="Times New Roman"/>
                <w:sz w:val="21"/>
              </w:rPr>
              <w:t>PieChartComponent.jsx</w:t>
            </w:r>
          </w:p>
        </w:tc>
        <w:tc>
          <w:tcPr>
            <w:tcW w:type="dxa" w:w="2256"/>
            <w:vAlign w:val="center"/>
          </w:tcPr>
          <w:p>
            <w:pPr>
              <w:spacing w:line="276" w:lineRule="auto" w:before="40" w:after="40"/>
              <w:jc w:val="left"/>
            </w:pPr>
            <w:r>
              <w:rPr>
                <w:rFonts w:ascii="Times New Roman" w:hAnsi="Times New Roman"/>
                <w:sz w:val="21"/>
              </w:rPr>
              <w:t>Performance categories and class divisions</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Radar Chart</w:t>
            </w:r>
          </w:p>
        </w:tc>
        <w:tc>
          <w:tcPr>
            <w:tcW w:type="dxa" w:w="2256"/>
            <w:vAlign w:val="center"/>
          </w:tcPr>
          <w:p>
            <w:pPr>
              <w:spacing w:line="276" w:lineRule="auto" w:before="40" w:after="40"/>
              <w:jc w:val="left"/>
            </w:pPr>
            <w:r>
              <w:rPr>
                <w:rFonts w:ascii="Times New Roman" w:hAnsi="Times New Roman"/>
                <w:sz w:val="21"/>
              </w:rPr>
              <w:t>RadarChartComponent.jsx</w:t>
            </w:r>
          </w:p>
        </w:tc>
        <w:tc>
          <w:tcPr>
            <w:tcW w:type="dxa" w:w="2256"/>
            <w:vAlign w:val="center"/>
          </w:tcPr>
          <w:p>
            <w:pPr>
              <w:spacing w:line="276" w:lineRule="auto" w:before="40" w:after="40"/>
              <w:jc w:val="left"/>
            </w:pPr>
            <w:r>
              <w:rPr>
                <w:rFonts w:ascii="Times New Roman" w:hAnsi="Times New Roman"/>
                <w:sz w:val="21"/>
              </w:rPr>
              <w:t>Multi-course difficulty benchmarking</w:t>
            </w:r>
          </w:p>
        </w:tc>
        <w:tc>
          <w:tcPr>
            <w:tcW w:type="dxa" w:w="2256"/>
            <w:vAlign w:val="center"/>
          </w:tcPr>
          <w:p>
            <w:pPr>
              <w:spacing w:line="276" w:lineRule="auto" w:before="40" w:after="40"/>
              <w:jc w:val="left"/>
            </w:pPr>
            <w:r>
              <w:rPr>
                <w:rFonts w:ascii="Times New Roman" w:hAnsi="Times New Roman"/>
                <w:sz w:val="21"/>
              </w:rPr>
              <w:t>PNG, SVG, CSV</w:t>
            </w:r>
          </w:p>
        </w:tc>
      </w:tr>
      <w:tr>
        <w:tc>
          <w:tcPr>
            <w:tcW w:type="dxa" w:w="2256"/>
            <w:vAlign w:val="center"/>
          </w:tcPr>
          <w:p>
            <w:pPr>
              <w:spacing w:line="276" w:lineRule="auto" w:before="40" w:after="40"/>
              <w:jc w:val="center"/>
            </w:pPr>
            <w:r>
              <w:rPr>
                <w:rFonts w:ascii="Times New Roman" w:hAnsi="Times New Roman"/>
                <w:sz w:val="21"/>
              </w:rPr>
              <w:t>Scatter Plot</w:t>
            </w:r>
          </w:p>
        </w:tc>
        <w:tc>
          <w:tcPr>
            <w:tcW w:type="dxa" w:w="2256"/>
            <w:vAlign w:val="center"/>
          </w:tcPr>
          <w:p>
            <w:pPr>
              <w:spacing w:line="276" w:lineRule="auto" w:before="40" w:after="40"/>
              <w:jc w:val="left"/>
            </w:pPr>
            <w:r>
              <w:rPr>
                <w:rFonts w:ascii="Times New Roman" w:hAnsi="Times New Roman"/>
                <w:sz w:val="21"/>
              </w:rPr>
              <w:t>ScatterChartComponent.jsx</w:t>
            </w:r>
          </w:p>
        </w:tc>
        <w:tc>
          <w:tcPr>
            <w:tcW w:type="dxa" w:w="2256"/>
            <w:vAlign w:val="center"/>
          </w:tcPr>
          <w:p>
            <w:pPr>
              <w:spacing w:line="276" w:lineRule="auto" w:before="40" w:after="40"/>
              <w:jc w:val="left"/>
            </w:pPr>
            <w:r>
              <w:rPr>
                <w:rFonts w:ascii="Times New Roman" w:hAnsi="Times New Roman"/>
                <w:sz w:val="21"/>
              </w:rPr>
              <w:t>Correlation between internal marks and SGPA</w:t>
            </w:r>
          </w:p>
        </w:tc>
        <w:tc>
          <w:tcPr>
            <w:tcW w:type="dxa" w:w="2256"/>
            <w:vAlign w:val="center"/>
          </w:tcPr>
          <w:p>
            <w:pPr>
              <w:spacing w:line="276" w:lineRule="auto" w:before="40" w:after="40"/>
              <w:jc w:val="left"/>
            </w:pPr>
            <w:r>
              <w:rPr>
                <w:rFonts w:ascii="Times New Roman" w:hAnsi="Times New Roman"/>
                <w:sz w:val="21"/>
              </w:rPr>
              <w:t>PNG, SVG, CSV</w:t>
            </w:r>
          </w:p>
        </w:tc>
      </w:tr>
    </w:tbl>
    <w:p>
      <w:pPr>
        <w:spacing w:line="276" w:lineRule="auto" w:before="120" w:after="240"/>
        <w:ind w:firstLine="0"/>
        <w:jc w:val="center"/>
      </w:pPr>
      <w:r>
        <w:rPr>
          <w:rFonts w:ascii="Times New Roman" w:hAnsi="Times New Roman"/>
          <w:b/>
          <w:sz w:val="22"/>
        </w:rPr>
        <w:t>Table 4.3: Dynamic Chart Engine Feature Matrix — Visualizations, Axes &amp; Export Options</w:t>
      </w:r>
    </w:p>
    <w:p>
      <w:pPr>
        <w:spacing w:before="240" w:after="80"/>
        <w:jc w:val="center"/>
      </w:pPr>
      <w:r>
        <w:drawing>
          <wp:inline xmlns:a="http://schemas.openxmlformats.org/drawingml/2006/main" xmlns:pic="http://schemas.openxmlformats.org/drawingml/2006/picture">
            <wp:extent cx="5486400" cy="3657600"/>
            <wp:docPr id="1029" name="Picture 1029"/>
            <wp:cNvGraphicFramePr>
              <a:graphicFrameLocks noChangeAspect="1"/>
            </wp:cNvGraphicFramePr>
            <a:graphic>
              <a:graphicData uri="http://schemas.openxmlformats.org/drawingml/2006/picture">
                <pic:pic>
                  <pic:nvPicPr>
                    <pic:cNvPr id="0" name="department_overview.jpeg"/>
                    <pic:cNvPicPr/>
                  </pic:nvPicPr>
                  <pic:blipFill>
                    <a:blip r:embed="rId21"/>
                    <a:stretch>
                      <a:fillRect/>
                    </a:stretch>
                  </pic:blipFill>
                  <pic:spPr>
                    <a:xfrm>
                      <a:off x="0" y="0"/>
                      <a:ext cx="5486400" cy="3657600"/>
                    </a:xfrm>
                    <a:prstGeom prst="rect"/>
                  </pic:spPr>
                </pic:pic>
              </a:graphicData>
            </a:graphic>
          </wp:inline>
        </w:drawing>
      </w:r>
    </w:p>
    <w:p>
      <w:pPr>
        <w:spacing w:line="276" w:lineRule="auto" w:before="120" w:after="240"/>
        <w:ind w:firstLine="0"/>
        <w:jc w:val="center"/>
      </w:pPr>
      <w:r>
        <w:rPr>
          <w:rFonts w:ascii="Times New Roman" w:hAnsi="Times New Roman"/>
          <w:b/>
          <w:sz w:val="22"/>
        </w:rPr>
        <w:t>Figure 4.1: Department Performance Overview Dashboard</w:t>
      </w:r>
    </w:p>
    <w:p>
      <w:pPr>
        <w:spacing w:before="240" w:after="80"/>
        <w:jc w:val="center"/>
      </w:pPr>
      <w:r>
        <w:drawing>
          <wp:inline xmlns:a="http://schemas.openxmlformats.org/drawingml/2006/main" xmlns:pic="http://schemas.openxmlformats.org/drawingml/2006/picture">
            <wp:extent cx="5486400" cy="3657600"/>
            <wp:docPr id="1030" name="Picture 1030"/>
            <wp:cNvGraphicFramePr>
              <a:graphicFrameLocks noChangeAspect="1"/>
            </wp:cNvGraphicFramePr>
            <a:graphic>
              <a:graphicData uri="http://schemas.openxmlformats.org/drawingml/2006/picture">
                <pic:pic>
                  <pic:nvPicPr>
                    <pic:cNvPr id="0" name="student_analytics.jpeg"/>
                    <pic:cNvPicPr/>
                  </pic:nvPicPr>
                  <pic:blipFill>
                    <a:blip r:embed="rId22"/>
                    <a:stretch>
                      <a:fillRect/>
                    </a:stretch>
                  </pic:blipFill>
                  <pic:spPr>
                    <a:xfrm>
                      <a:off x="0" y="0"/>
                      <a:ext cx="5486400" cy="3657600"/>
                    </a:xfrm>
                    <a:prstGeom prst="rect"/>
                  </pic:spPr>
                </pic:pic>
              </a:graphicData>
            </a:graphic>
          </wp:inline>
        </w:drawing>
      </w:r>
    </w:p>
    <w:p>
      <w:pPr>
        <w:spacing w:line="276" w:lineRule="auto" w:before="120" w:after="240"/>
        <w:ind w:firstLine="0"/>
        <w:jc w:val="center"/>
      </w:pPr>
      <w:r>
        <w:rPr>
          <w:rFonts w:ascii="Times New Roman" w:hAnsi="Times New Roman"/>
          <w:b/>
          <w:sz w:val="22"/>
        </w:rPr>
        <w:t>Figure 4.2: Individual Student Academic Analytics &amp; Progression View</w:t>
      </w:r>
    </w:p>
    <w:p>
      <w:pPr>
        <w:spacing w:before="240" w:after="80"/>
        <w:jc w:val="center"/>
      </w:pPr>
      <w:r>
        <w:drawing>
          <wp:inline xmlns:a="http://schemas.openxmlformats.org/drawingml/2006/main" xmlns:pic="http://schemas.openxmlformats.org/drawingml/2006/picture">
            <wp:extent cx="5486400" cy="3657600"/>
            <wp:docPr id="1031" name="Picture 1031"/>
            <wp:cNvGraphicFramePr>
              <a:graphicFrameLocks noChangeAspect="1"/>
            </wp:cNvGraphicFramePr>
            <a:graphic>
              <a:graphicData uri="http://schemas.openxmlformats.org/drawingml/2006/picture">
                <pic:pic>
                  <pic:nvPicPr>
                    <pic:cNvPr id="0" name="ai_chat_assistant.jpeg"/>
                    <pic:cNvPicPr/>
                  </pic:nvPicPr>
                  <pic:blipFill>
                    <a:blip r:embed="rId23"/>
                    <a:stretch>
                      <a:fillRect/>
                    </a:stretch>
                  </pic:blipFill>
                  <pic:spPr>
                    <a:xfrm>
                      <a:off x="0" y="0"/>
                      <a:ext cx="5486400" cy="3657600"/>
                    </a:xfrm>
                    <a:prstGeom prst="rect"/>
                  </pic:spPr>
                </pic:pic>
              </a:graphicData>
            </a:graphic>
          </wp:inline>
        </w:drawing>
      </w:r>
    </w:p>
    <w:p>
      <w:pPr>
        <w:spacing w:line="276" w:lineRule="auto" w:before="120" w:after="240"/>
        <w:ind w:firstLine="0"/>
        <w:jc w:val="center"/>
      </w:pPr>
      <w:r>
        <w:rPr>
          <w:rFonts w:ascii="Times New Roman" w:hAnsi="Times New Roman"/>
          <w:b/>
          <w:sz w:val="22"/>
        </w:rPr>
        <w:t>Figure 4.3: Conversational AI Analytics &amp; Dynamic Query Interface</w:t>
      </w:r>
    </w:p>
    <w:p>
      <w:r>
        <w:br w:type="page"/>
      </w:r>
    </w:p>
    <w:p>
      <w:pPr>
        <w:spacing w:line="360" w:lineRule="auto" w:before="480" w:after="120"/>
        <w:ind w:firstLine="0"/>
        <w:jc w:val="center"/>
      </w:pPr>
      <w:r>
        <w:rPr>
          <w:rFonts w:ascii="Times New Roman" w:hAnsi="Times New Roman"/>
          <w:b/>
          <w:sz w:val="28"/>
        </w:rPr>
        <w:t>CHAPTER V</w:t>
      </w:r>
    </w:p>
    <w:p>
      <w:pPr>
        <w:spacing w:line="360" w:lineRule="auto" w:before="0" w:after="360"/>
        <w:ind w:firstLine="0"/>
        <w:jc w:val="center"/>
      </w:pPr>
      <w:r>
        <w:rPr>
          <w:rFonts w:ascii="Times New Roman" w:hAnsi="Times New Roman"/>
          <w:b/>
          <w:sz w:val="28"/>
        </w:rPr>
        <w:t>RESULTS AND DISCUSSION</w:t>
      </w:r>
    </w:p>
    <w:p>
      <w:pPr>
        <w:spacing w:line="360" w:lineRule="auto" w:before="280" w:after="120"/>
        <w:ind w:firstLine="0"/>
        <w:jc w:val="left"/>
      </w:pPr>
      <w:r>
        <w:rPr>
          <w:rFonts w:ascii="Times New Roman" w:hAnsi="Times New Roman"/>
          <w:b/>
          <w:sz w:val="26"/>
        </w:rPr>
        <w:t>5.1 System Functionality Results</w:t>
      </w:r>
    </w:p>
    <w:p>
      <w:pPr>
        <w:spacing w:line="360" w:lineRule="auto" w:before="0" w:after="120"/>
        <w:ind w:firstLine="720"/>
        <w:jc w:val="both"/>
      </w:pPr>
      <w:r>
        <w:rPr>
          <w:rFonts w:ascii="Times New Roman" w:hAnsi="Times New Roman"/>
          <w:sz w:val="26"/>
        </w:rPr>
        <w:t>The Academic Intelligence Platform was subjected to rigorous empirical testing across four operational vectors: data ingestion scalability, machine learning inference accuracy and latency, conversational failover resilience, and frontend visualization responsiveness.</w:t>
      </w:r>
    </w:p>
    <w:p>
      <w:pPr>
        <w:spacing w:line="360" w:lineRule="auto" w:before="0" w:after="120"/>
        <w:ind w:firstLine="720"/>
        <w:jc w:val="both"/>
      </w:pPr>
      <w:r>
        <w:rPr>
          <w:rFonts w:ascii="Times New Roman" w:hAnsi="Times New Roman"/>
          <w:sz w:val="26"/>
        </w:rPr>
        <w:t>In data processing evaluations, the ingestion service successfully parsed sixty-one consolidated department workbooks across twenty undergraduate engineering programs, aggregating 7,293 distinct student records into unified in-memory analytics structures within 2.8 seconds on standard institutional computing hardware. Memory footprint remained under 180MB, demonstrating high memory efficiency.</w:t>
      </w:r>
    </w:p>
    <w:p>
      <w:pPr>
        <w:spacing w:line="360" w:lineRule="auto" w:before="0" w:after="120"/>
        <w:ind w:firstLine="720"/>
        <w:jc w:val="both"/>
      </w:pPr>
      <w:r>
        <w:rPr>
          <w:rFonts w:ascii="Times New Roman" w:hAnsi="Times New Roman"/>
          <w:sz w:val="26"/>
        </w:rPr>
        <w:t>In machine learning evaluations, single-student inference executed with an average latency of 11.4ms per request. Batch evaluation of an entire department cohort (281 students from the Department of Artificial Intelligence and Data Science) executed in 1.18 seconds, correctly categorizing 173 students as Safe, 22 students as Medium Risk, and 86 students as High Risk based on internal assessment indicators.</w:t>
      </w:r>
    </w:p>
    <w:p>
      <w:pPr>
        <w:spacing w:line="360" w:lineRule="auto" w:before="0" w:after="120"/>
        <w:ind w:firstLine="720"/>
        <w:jc w:val="both"/>
      </w:pPr>
      <w:r>
        <w:rPr>
          <w:rFonts w:ascii="Times New Roman" w:hAnsi="Times New Roman"/>
          <w:sz w:val="26"/>
        </w:rPr>
        <w:t>In conversational AI failover testing, simulated HTTP 429 rate limits on primary Groq credentials demonstrated seamless rotation to backup keys within 220ms, without dropping active user queries. Standard analytics queries executed instantly through the local rule-based intent router with zero token overhead.</w:t>
      </w:r>
    </w:p>
    <w:p>
      <w:pPr>
        <w:spacing w:line="360" w:lineRule="auto" w:before="0" w:after="120"/>
        <w:ind w:firstLine="720"/>
        <w:jc w:val="both"/>
      </w:pPr>
      <w:r>
        <w:rPr>
          <w:rFonts w:ascii="Times New Roman" w:hAnsi="Times New Roman"/>
          <w:sz w:val="26"/>
        </w:rPr>
        <w:t>Table 5.1 summarizes the formal verification test cases and observed system responses. Figure 5.1 displays the Management HOD Analytics Portal. Figure 5.2 illustrates the overall system architecture and deployment environment.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5"/>
        <w:gridCol w:w="1805"/>
        <w:gridCol w:w="1805"/>
        <w:gridCol w:w="1805"/>
        <w:gridCol w:w="1805"/>
      </w:tblGrid>
      <w:tr>
        <w:tc>
          <w:tcPr>
            <w:tcW w:type="dxa" w:w="1805"/>
            <w:shd w:val="clear" w:color="auto" w:fill="D9D9D9"/>
            <w:vAlign w:val="center"/>
          </w:tcPr>
          <w:p>
            <w:pPr>
              <w:spacing w:line="276" w:lineRule="auto" w:before="60" w:after="60"/>
              <w:jc w:val="center"/>
            </w:pPr>
            <w:r>
              <w:rPr>
                <w:rFonts w:ascii="Times New Roman" w:hAnsi="Times New Roman"/>
                <w:b/>
                <w:sz w:val="22"/>
              </w:rPr>
              <w:t>Test ID</w:t>
            </w:r>
          </w:p>
        </w:tc>
        <w:tc>
          <w:tcPr>
            <w:tcW w:type="dxa" w:w="1805"/>
            <w:shd w:val="clear" w:color="auto" w:fill="D9D9D9"/>
            <w:vAlign w:val="center"/>
          </w:tcPr>
          <w:p>
            <w:pPr>
              <w:spacing w:line="276" w:lineRule="auto" w:before="60" w:after="60"/>
              <w:jc w:val="center"/>
            </w:pPr>
            <w:r>
              <w:rPr>
                <w:rFonts w:ascii="Times New Roman" w:hAnsi="Times New Roman"/>
                <w:b/>
                <w:sz w:val="22"/>
              </w:rPr>
              <w:t>Functional Scenario</w:t>
            </w:r>
          </w:p>
        </w:tc>
        <w:tc>
          <w:tcPr>
            <w:tcW w:type="dxa" w:w="1805"/>
            <w:shd w:val="clear" w:color="auto" w:fill="D9D9D9"/>
            <w:vAlign w:val="center"/>
          </w:tcPr>
          <w:p>
            <w:pPr>
              <w:spacing w:line="276" w:lineRule="auto" w:before="60" w:after="60"/>
              <w:jc w:val="center"/>
            </w:pPr>
            <w:r>
              <w:rPr>
                <w:rFonts w:ascii="Times New Roman" w:hAnsi="Times New Roman"/>
                <w:b/>
                <w:sz w:val="22"/>
              </w:rPr>
              <w:t>Input Conditions</w:t>
            </w:r>
          </w:p>
        </w:tc>
        <w:tc>
          <w:tcPr>
            <w:tcW w:type="dxa" w:w="1805"/>
            <w:shd w:val="clear" w:color="auto" w:fill="D9D9D9"/>
            <w:vAlign w:val="center"/>
          </w:tcPr>
          <w:p>
            <w:pPr>
              <w:spacing w:line="276" w:lineRule="auto" w:before="60" w:after="60"/>
              <w:jc w:val="center"/>
            </w:pPr>
            <w:r>
              <w:rPr>
                <w:rFonts w:ascii="Times New Roman" w:hAnsi="Times New Roman"/>
                <w:b/>
                <w:sz w:val="22"/>
              </w:rPr>
              <w:t>Observed System Behavior</w:t>
            </w:r>
          </w:p>
        </w:tc>
        <w:tc>
          <w:tcPr>
            <w:tcW w:type="dxa" w:w="1805"/>
            <w:shd w:val="clear" w:color="auto" w:fill="D9D9D9"/>
            <w:vAlign w:val="center"/>
          </w:tcPr>
          <w:p>
            <w:pPr>
              <w:spacing w:line="276" w:lineRule="auto" w:before="60" w:after="60"/>
              <w:jc w:val="center"/>
            </w:pPr>
            <w:r>
              <w:rPr>
                <w:rFonts w:ascii="Times New Roman" w:hAnsi="Times New Roman"/>
                <w:b/>
                <w:sz w:val="22"/>
              </w:rPr>
              <w:t>Status</w:t>
            </w:r>
          </w:p>
        </w:tc>
      </w:tr>
      <w:tr>
        <w:tc>
          <w:tcPr>
            <w:tcW w:type="dxa" w:w="1805"/>
            <w:vAlign w:val="center"/>
          </w:tcPr>
          <w:p>
            <w:pPr>
              <w:spacing w:line="276" w:lineRule="auto" w:before="40" w:after="40"/>
              <w:jc w:val="center"/>
            </w:pPr>
            <w:r>
              <w:rPr>
                <w:rFonts w:ascii="Times New Roman" w:hAnsi="Times New Roman"/>
                <w:sz w:val="21"/>
              </w:rPr>
              <w:t>TC-01</w:t>
            </w:r>
          </w:p>
        </w:tc>
        <w:tc>
          <w:tcPr>
            <w:tcW w:type="dxa" w:w="1805"/>
            <w:vAlign w:val="center"/>
          </w:tcPr>
          <w:p>
            <w:pPr>
              <w:spacing w:line="276" w:lineRule="auto" w:before="40" w:after="40"/>
              <w:jc w:val="left"/>
            </w:pPr>
            <w:r>
              <w:rPr>
                <w:rFonts w:ascii="Times New Roman" w:hAnsi="Times New Roman"/>
                <w:sz w:val="21"/>
              </w:rPr>
              <w:t>Multi-Department Excel Ingestion</w:t>
            </w:r>
          </w:p>
        </w:tc>
        <w:tc>
          <w:tcPr>
            <w:tcW w:type="dxa" w:w="1805"/>
            <w:vAlign w:val="center"/>
          </w:tcPr>
          <w:p>
            <w:pPr>
              <w:spacing w:line="276" w:lineRule="auto" w:before="40" w:after="40"/>
              <w:jc w:val="left"/>
            </w:pPr>
            <w:r>
              <w:rPr>
                <w:rFonts w:ascii="Times New Roman" w:hAnsi="Times New Roman"/>
                <w:sz w:val="21"/>
              </w:rPr>
              <w:t>61 department result sheets across 20 programs</w:t>
            </w:r>
          </w:p>
        </w:tc>
        <w:tc>
          <w:tcPr>
            <w:tcW w:type="dxa" w:w="1805"/>
            <w:vAlign w:val="center"/>
          </w:tcPr>
          <w:p>
            <w:pPr>
              <w:spacing w:line="276" w:lineRule="auto" w:before="40" w:after="40"/>
              <w:jc w:val="left"/>
            </w:pPr>
            <w:r>
              <w:rPr>
                <w:rFonts w:ascii="Times New Roman" w:hAnsi="Times New Roman"/>
                <w:sz w:val="21"/>
              </w:rPr>
              <w:t>Successfully loaded 7,293 student records with zero schema errors</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TC-02</w:t>
            </w:r>
          </w:p>
        </w:tc>
        <w:tc>
          <w:tcPr>
            <w:tcW w:type="dxa" w:w="1805"/>
            <w:vAlign w:val="center"/>
          </w:tcPr>
          <w:p>
            <w:pPr>
              <w:spacing w:line="276" w:lineRule="auto" w:before="40" w:after="40"/>
              <w:jc w:val="left"/>
            </w:pPr>
            <w:r>
              <w:rPr>
                <w:rFonts w:ascii="Times New Roman" w:hAnsi="Times New Roman"/>
                <w:sz w:val="21"/>
              </w:rPr>
              <w:t>Assessment Scale Normalization</w:t>
            </w:r>
          </w:p>
        </w:tc>
        <w:tc>
          <w:tcPr>
            <w:tcW w:type="dxa" w:w="1805"/>
            <w:vAlign w:val="center"/>
          </w:tcPr>
          <w:p>
            <w:pPr>
              <w:spacing w:line="276" w:lineRule="auto" w:before="40" w:after="40"/>
              <w:jc w:val="left"/>
            </w:pPr>
            <w:r>
              <w:rPr>
                <w:rFonts w:ascii="Times New Roman" w:hAnsi="Times New Roman"/>
                <w:sz w:val="21"/>
              </w:rPr>
              <w:t>Mixed internal scales (40, 50, 60 maximum marks)</w:t>
            </w:r>
          </w:p>
        </w:tc>
        <w:tc>
          <w:tcPr>
            <w:tcW w:type="dxa" w:w="1805"/>
            <w:vAlign w:val="center"/>
          </w:tcPr>
          <w:p>
            <w:pPr>
              <w:spacing w:line="276" w:lineRule="auto" w:before="40" w:after="40"/>
              <w:jc w:val="left"/>
            </w:pPr>
            <w:r>
              <w:rPr>
                <w:rFonts w:ascii="Times New Roman" w:hAnsi="Times New Roman"/>
                <w:sz w:val="21"/>
              </w:rPr>
              <w:t>All course marks correctly scaled to unified 0-100% benchmarks</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TC-03</w:t>
            </w:r>
          </w:p>
        </w:tc>
        <w:tc>
          <w:tcPr>
            <w:tcW w:type="dxa" w:w="1805"/>
            <w:vAlign w:val="center"/>
          </w:tcPr>
          <w:p>
            <w:pPr>
              <w:spacing w:line="276" w:lineRule="auto" w:before="40" w:after="40"/>
              <w:jc w:val="left"/>
            </w:pPr>
            <w:r>
              <w:rPr>
                <w:rFonts w:ascii="Times New Roman" w:hAnsi="Times New Roman"/>
                <w:sz w:val="21"/>
              </w:rPr>
              <w:t>Single Student ML Risk Scoring</w:t>
            </w:r>
          </w:p>
        </w:tc>
        <w:tc>
          <w:tcPr>
            <w:tcW w:type="dxa" w:w="1805"/>
            <w:vAlign w:val="center"/>
          </w:tcPr>
          <w:p>
            <w:pPr>
              <w:spacing w:line="276" w:lineRule="auto" w:before="40" w:after="40"/>
              <w:jc w:val="left"/>
            </w:pPr>
            <w:r>
              <w:rPr>
                <w:rFonts w:ascii="Times New Roman" w:hAnsi="Times New Roman"/>
                <w:sz w:val="21"/>
              </w:rPr>
              <w:t>Sample student marks: Avg=58.8%, Min=36.0%, Low=2</w:t>
            </w:r>
          </w:p>
        </w:tc>
        <w:tc>
          <w:tcPr>
            <w:tcW w:type="dxa" w:w="1805"/>
            <w:vAlign w:val="center"/>
          </w:tcPr>
          <w:p>
            <w:pPr>
              <w:spacing w:line="276" w:lineRule="auto" w:before="40" w:after="40"/>
              <w:jc w:val="left"/>
            </w:pPr>
            <w:r>
              <w:rPr>
                <w:rFonts w:ascii="Times New Roman" w:hAnsi="Times New Roman"/>
                <w:sz w:val="21"/>
              </w:rPr>
              <w:t>Output: 92.36% Fail Prob; Status: HIGH RISK (FAIL); Interventions issued</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TC-04</w:t>
            </w:r>
          </w:p>
        </w:tc>
        <w:tc>
          <w:tcPr>
            <w:tcW w:type="dxa" w:w="1805"/>
            <w:vAlign w:val="center"/>
          </w:tcPr>
          <w:p>
            <w:pPr>
              <w:spacing w:line="276" w:lineRule="auto" w:before="40" w:after="40"/>
              <w:jc w:val="left"/>
            </w:pPr>
            <w:r>
              <w:rPr>
                <w:rFonts w:ascii="Times New Roman" w:hAnsi="Times New Roman"/>
                <w:sz w:val="21"/>
              </w:rPr>
              <w:t>Safe Student ML Inference</w:t>
            </w:r>
          </w:p>
        </w:tc>
        <w:tc>
          <w:tcPr>
            <w:tcW w:type="dxa" w:w="1805"/>
            <w:vAlign w:val="center"/>
          </w:tcPr>
          <w:p>
            <w:pPr>
              <w:spacing w:line="276" w:lineRule="auto" w:before="40" w:after="40"/>
              <w:jc w:val="left"/>
            </w:pPr>
            <w:r>
              <w:rPr>
                <w:rFonts w:ascii="Times New Roman" w:hAnsi="Times New Roman"/>
                <w:sz w:val="21"/>
              </w:rPr>
              <w:t>Sample student marks: Avg=88.4%, Min=80.0%, Low=0</w:t>
            </w:r>
          </w:p>
        </w:tc>
        <w:tc>
          <w:tcPr>
            <w:tcW w:type="dxa" w:w="1805"/>
            <w:vAlign w:val="center"/>
          </w:tcPr>
          <w:p>
            <w:pPr>
              <w:spacing w:line="276" w:lineRule="auto" w:before="40" w:after="40"/>
              <w:jc w:val="left"/>
            </w:pPr>
            <w:r>
              <w:rPr>
                <w:rFonts w:ascii="Times New Roman" w:hAnsi="Times New Roman"/>
                <w:sz w:val="21"/>
              </w:rPr>
              <w:t>Output: 2.60% Fail Prob; Status: SAFE (PASS); Normal progression</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TC-05</w:t>
            </w:r>
          </w:p>
        </w:tc>
        <w:tc>
          <w:tcPr>
            <w:tcW w:type="dxa" w:w="1805"/>
            <w:vAlign w:val="center"/>
          </w:tcPr>
          <w:p>
            <w:pPr>
              <w:spacing w:line="276" w:lineRule="auto" w:before="40" w:after="40"/>
              <w:jc w:val="left"/>
            </w:pPr>
            <w:r>
              <w:rPr>
                <w:rFonts w:ascii="Times New Roman" w:hAnsi="Times New Roman"/>
                <w:sz w:val="21"/>
              </w:rPr>
              <w:t>Batch Excel Cohort Risk Analysis</w:t>
            </w:r>
          </w:p>
        </w:tc>
        <w:tc>
          <w:tcPr>
            <w:tcW w:type="dxa" w:w="1805"/>
            <w:vAlign w:val="center"/>
          </w:tcPr>
          <w:p>
            <w:pPr>
              <w:spacing w:line="276" w:lineRule="auto" w:before="40" w:after="40"/>
              <w:jc w:val="left"/>
            </w:pPr>
            <w:r>
              <w:rPr>
                <w:rFonts w:ascii="Times New Roman" w:hAnsi="Times New Roman"/>
                <w:sz w:val="21"/>
              </w:rPr>
              <w:t>281-student semester result workbook upload</w:t>
            </w:r>
          </w:p>
        </w:tc>
        <w:tc>
          <w:tcPr>
            <w:tcW w:type="dxa" w:w="1805"/>
            <w:vAlign w:val="center"/>
          </w:tcPr>
          <w:p>
            <w:pPr>
              <w:spacing w:line="276" w:lineRule="auto" w:before="40" w:after="40"/>
              <w:jc w:val="left"/>
            </w:pPr>
            <w:r>
              <w:rPr>
                <w:rFonts w:ascii="Times New Roman" w:hAnsi="Times New Roman"/>
                <w:sz w:val="21"/>
              </w:rPr>
              <w:t>Processed cohort in 1.18s; Output: 173 Safe, 22 Medium, 86 High Risk</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TC-06</w:t>
            </w:r>
          </w:p>
        </w:tc>
        <w:tc>
          <w:tcPr>
            <w:tcW w:type="dxa" w:w="1805"/>
            <w:vAlign w:val="center"/>
          </w:tcPr>
          <w:p>
            <w:pPr>
              <w:spacing w:line="276" w:lineRule="auto" w:before="40" w:after="40"/>
              <w:jc w:val="left"/>
            </w:pPr>
            <w:r>
              <w:rPr>
                <w:rFonts w:ascii="Times New Roman" w:hAnsi="Times New Roman"/>
                <w:sz w:val="21"/>
              </w:rPr>
              <w:t>Rule-Based Intent Routing</w:t>
            </w:r>
          </w:p>
        </w:tc>
        <w:tc>
          <w:tcPr>
            <w:tcW w:type="dxa" w:w="1805"/>
            <w:vAlign w:val="center"/>
          </w:tcPr>
          <w:p>
            <w:pPr>
              <w:spacing w:line="276" w:lineRule="auto" w:before="40" w:after="40"/>
              <w:jc w:val="left"/>
            </w:pPr>
            <w:r>
              <w:rPr>
                <w:rFonts w:ascii="Times New Roman" w:hAnsi="Times New Roman"/>
                <w:sz w:val="21"/>
              </w:rPr>
              <w:t>Natural language query: 'Top 5 performing students'</w:t>
            </w:r>
          </w:p>
        </w:tc>
        <w:tc>
          <w:tcPr>
            <w:tcW w:type="dxa" w:w="1805"/>
            <w:vAlign w:val="center"/>
          </w:tcPr>
          <w:p>
            <w:pPr>
              <w:spacing w:line="276" w:lineRule="auto" w:before="40" w:after="40"/>
              <w:jc w:val="left"/>
            </w:pPr>
            <w:r>
              <w:rPr>
                <w:rFonts w:ascii="Times New Roman" w:hAnsi="Times New Roman"/>
                <w:sz w:val="21"/>
              </w:rPr>
              <w:t>Instant response served via local caching with 0 Groq tokens consumed</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TC-07</w:t>
            </w:r>
          </w:p>
        </w:tc>
        <w:tc>
          <w:tcPr>
            <w:tcW w:type="dxa" w:w="1805"/>
            <w:vAlign w:val="center"/>
          </w:tcPr>
          <w:p>
            <w:pPr>
              <w:spacing w:line="276" w:lineRule="auto" w:before="40" w:after="40"/>
              <w:jc w:val="left"/>
            </w:pPr>
            <w:r>
              <w:rPr>
                <w:rFonts w:ascii="Times New Roman" w:hAnsi="Times New Roman"/>
                <w:sz w:val="21"/>
              </w:rPr>
              <w:t>Multi-Key Rate-Limit Failover</w:t>
            </w:r>
          </w:p>
        </w:tc>
        <w:tc>
          <w:tcPr>
            <w:tcW w:type="dxa" w:w="1805"/>
            <w:vAlign w:val="center"/>
          </w:tcPr>
          <w:p>
            <w:pPr>
              <w:spacing w:line="276" w:lineRule="auto" w:before="40" w:after="40"/>
              <w:jc w:val="left"/>
            </w:pPr>
            <w:r>
              <w:rPr>
                <w:rFonts w:ascii="Times New Roman" w:hAnsi="Times New Roman"/>
                <w:sz w:val="21"/>
              </w:rPr>
              <w:t>Simulated HTTP 429 rate limit on Key #1</w:t>
            </w:r>
          </w:p>
        </w:tc>
        <w:tc>
          <w:tcPr>
            <w:tcW w:type="dxa" w:w="1805"/>
            <w:vAlign w:val="center"/>
          </w:tcPr>
          <w:p>
            <w:pPr>
              <w:spacing w:line="276" w:lineRule="auto" w:before="40" w:after="40"/>
              <w:jc w:val="left"/>
            </w:pPr>
            <w:r>
              <w:rPr>
                <w:rFonts w:ascii="Times New Roman" w:hAnsi="Times New Roman"/>
                <w:sz w:val="21"/>
              </w:rPr>
              <w:t>Engine caught 429, masked key, rotated to Key #2 in 220ms, query succeeded</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TC-08</w:t>
            </w:r>
          </w:p>
        </w:tc>
        <w:tc>
          <w:tcPr>
            <w:tcW w:type="dxa" w:w="1805"/>
            <w:vAlign w:val="center"/>
          </w:tcPr>
          <w:p>
            <w:pPr>
              <w:spacing w:line="276" w:lineRule="auto" w:before="40" w:after="40"/>
              <w:jc w:val="left"/>
            </w:pPr>
            <w:r>
              <w:rPr>
                <w:rFonts w:ascii="Times New Roman" w:hAnsi="Times New Roman"/>
                <w:sz w:val="21"/>
              </w:rPr>
              <w:t>Frontend Visualization Dispatch</w:t>
            </w:r>
          </w:p>
        </w:tc>
        <w:tc>
          <w:tcPr>
            <w:tcW w:type="dxa" w:w="1805"/>
            <w:vAlign w:val="center"/>
          </w:tcPr>
          <w:p>
            <w:pPr>
              <w:spacing w:line="276" w:lineRule="auto" w:before="40" w:after="40"/>
              <w:jc w:val="left"/>
            </w:pPr>
            <w:r>
              <w:rPr>
                <w:rFonts w:ascii="Times New Roman" w:hAnsi="Times New Roman"/>
                <w:sz w:val="21"/>
              </w:rPr>
              <w:t>Received grouped bar graph specification</w:t>
            </w:r>
          </w:p>
        </w:tc>
        <w:tc>
          <w:tcPr>
            <w:tcW w:type="dxa" w:w="1805"/>
            <w:vAlign w:val="center"/>
          </w:tcPr>
          <w:p>
            <w:pPr>
              <w:spacing w:line="276" w:lineRule="auto" w:before="40" w:after="40"/>
              <w:jc w:val="left"/>
            </w:pPr>
            <w:r>
              <w:rPr>
                <w:rFonts w:ascii="Times New Roman" w:hAnsi="Times New Roman"/>
                <w:sz w:val="21"/>
              </w:rPr>
              <w:t>Rendered Recharts multi-series grouped bar with active tooltips</w:t>
            </w:r>
          </w:p>
        </w:tc>
        <w:tc>
          <w:tcPr>
            <w:tcW w:type="dxa" w:w="1805"/>
            <w:vAlign w:val="center"/>
          </w:tcPr>
          <w:p>
            <w:pPr>
              <w:spacing w:line="276" w:lineRule="auto" w:before="40" w:after="40"/>
              <w:jc w:val="left"/>
            </w:pPr>
            <w:r>
              <w:rPr>
                <w:rFonts w:ascii="Times New Roman" w:hAnsi="Times New Roman"/>
                <w:sz w:val="21"/>
              </w:rPr>
              <w:t>PASS</w:t>
            </w:r>
          </w:p>
        </w:tc>
      </w:tr>
      <w:tr>
        <w:tc>
          <w:tcPr>
            <w:tcW w:type="dxa" w:w="1805"/>
            <w:vAlign w:val="center"/>
          </w:tcPr>
          <w:p>
            <w:pPr>
              <w:spacing w:line="276" w:lineRule="auto" w:before="40" w:after="40"/>
              <w:jc w:val="center"/>
            </w:pPr>
            <w:r>
              <w:rPr>
                <w:rFonts w:ascii="Times New Roman" w:hAnsi="Times New Roman"/>
                <w:sz w:val="21"/>
              </w:rPr>
              <w:t>TC-09</w:t>
            </w:r>
          </w:p>
        </w:tc>
        <w:tc>
          <w:tcPr>
            <w:tcW w:type="dxa" w:w="1805"/>
            <w:vAlign w:val="center"/>
          </w:tcPr>
          <w:p>
            <w:pPr>
              <w:spacing w:line="276" w:lineRule="auto" w:before="40" w:after="40"/>
              <w:jc w:val="left"/>
            </w:pPr>
            <w:r>
              <w:rPr>
                <w:rFonts w:ascii="Times New Roman" w:hAnsi="Times New Roman"/>
                <w:sz w:val="21"/>
              </w:rPr>
              <w:t>Client-Side Chart Export</w:t>
            </w:r>
          </w:p>
        </w:tc>
        <w:tc>
          <w:tcPr>
            <w:tcW w:type="dxa" w:w="1805"/>
            <w:vAlign w:val="center"/>
          </w:tcPr>
          <w:p>
            <w:pPr>
              <w:spacing w:line="276" w:lineRule="auto" w:before="40" w:after="40"/>
              <w:jc w:val="left"/>
            </w:pPr>
            <w:r>
              <w:rPr>
                <w:rFonts w:ascii="Times New Roman" w:hAnsi="Times New Roman"/>
                <w:sz w:val="21"/>
              </w:rPr>
              <w:t>Click PNG / SVG / CSV download buttons</w:t>
            </w:r>
          </w:p>
        </w:tc>
        <w:tc>
          <w:tcPr>
            <w:tcW w:type="dxa" w:w="1805"/>
            <w:vAlign w:val="center"/>
          </w:tcPr>
          <w:p>
            <w:pPr>
              <w:spacing w:line="276" w:lineRule="auto" w:before="40" w:after="40"/>
              <w:jc w:val="left"/>
            </w:pPr>
            <w:r>
              <w:rPr>
                <w:rFonts w:ascii="Times New Roman" w:hAnsi="Times New Roman"/>
                <w:sz w:val="21"/>
              </w:rPr>
              <w:t>Successfully serialized canvas to 300 DPI PNG, SVG, and CSV spreadsheet</w:t>
            </w:r>
          </w:p>
        </w:tc>
        <w:tc>
          <w:tcPr>
            <w:tcW w:type="dxa" w:w="1805"/>
            <w:vAlign w:val="center"/>
          </w:tcPr>
          <w:p>
            <w:pPr>
              <w:spacing w:line="276" w:lineRule="auto" w:before="40" w:after="40"/>
              <w:jc w:val="left"/>
            </w:pPr>
            <w:r>
              <w:rPr>
                <w:rFonts w:ascii="Times New Roman" w:hAnsi="Times New Roman"/>
                <w:sz w:val="21"/>
              </w:rPr>
              <w:t>PASS</w:t>
            </w:r>
          </w:p>
        </w:tc>
      </w:tr>
    </w:tbl>
    <w:p>
      <w:pPr>
        <w:spacing w:line="276" w:lineRule="auto" w:before="120" w:after="240"/>
        <w:ind w:firstLine="0"/>
        <w:jc w:val="center"/>
      </w:pPr>
      <w:r>
        <w:rPr>
          <w:rFonts w:ascii="Times New Roman" w:hAnsi="Times New Roman"/>
          <w:b/>
          <w:sz w:val="22"/>
        </w:rPr>
        <w:t>Table 5.1: System Functionality Verification — Test Case Summary</w:t>
      </w:r>
    </w:p>
    <w:p>
      <w:pPr>
        <w:spacing w:before="240" w:after="80"/>
        <w:jc w:val="center"/>
      </w:pPr>
      <w:r>
        <w:drawing>
          <wp:inline xmlns:a="http://schemas.openxmlformats.org/drawingml/2006/main" xmlns:pic="http://schemas.openxmlformats.org/drawingml/2006/picture">
            <wp:extent cx="5303520" cy="2895183"/>
            <wp:docPr id="1032" name="Picture 1032"/>
            <wp:cNvGraphicFramePr>
              <a:graphicFrameLocks noChangeAspect="1"/>
            </wp:cNvGraphicFramePr>
            <a:graphic>
              <a:graphicData uri="http://schemas.openxmlformats.org/drawingml/2006/picture">
                <pic:pic>
                  <pic:nvPicPr>
                    <pic:cNvPr id="0" name="hod_portal_mockup.jpeg"/>
                    <pic:cNvPicPr/>
                  </pic:nvPicPr>
                  <pic:blipFill>
                    <a:blip r:embed="rId24"/>
                    <a:stretch>
                      <a:fillRect/>
                    </a:stretch>
                  </pic:blipFill>
                  <pic:spPr>
                    <a:xfrm>
                      <a:off x="0" y="0"/>
                      <a:ext cx="5303520" cy="2895183"/>
                    </a:xfrm>
                    <a:prstGeom prst="rect"/>
                  </pic:spPr>
                </pic:pic>
              </a:graphicData>
            </a:graphic>
          </wp:inline>
        </w:drawing>
      </w:r>
    </w:p>
    <w:p>
      <w:pPr>
        <w:spacing w:line="276" w:lineRule="auto" w:before="120" w:after="240"/>
        <w:ind w:firstLine="0"/>
        <w:jc w:val="center"/>
      </w:pPr>
      <w:r>
        <w:rPr>
          <w:rFonts w:ascii="Times New Roman" w:hAnsi="Times New Roman"/>
          <w:b/>
          <w:sz w:val="22"/>
        </w:rPr>
        <w:t>Figure 5.1: Management HOD Analytics Portal Interface</w:t>
      </w:r>
    </w:p>
    <w:p>
      <w:pPr>
        <w:spacing w:before="240" w:after="80"/>
        <w:jc w:val="center"/>
      </w:pPr>
      <w:r>
        <w:drawing>
          <wp:inline xmlns:a="http://schemas.openxmlformats.org/drawingml/2006/main" xmlns:pic="http://schemas.openxmlformats.org/drawingml/2006/picture">
            <wp:extent cx="5303520" cy="2895183"/>
            <wp:docPr id="1033" name="Picture 1033"/>
            <wp:cNvGraphicFramePr>
              <a:graphicFrameLocks noChangeAspect="1"/>
            </wp:cNvGraphicFramePr>
            <a:graphic>
              <a:graphicData uri="http://schemas.openxmlformats.org/drawingml/2006/picture">
                <pic:pic>
                  <pic:nvPicPr>
                    <pic:cNvPr id="0" name="architecture_mockup.jpeg"/>
                    <pic:cNvPicPr/>
                  </pic:nvPicPr>
                  <pic:blipFill>
                    <a:blip r:embed="rId25"/>
                    <a:stretch>
                      <a:fillRect/>
                    </a:stretch>
                  </pic:blipFill>
                  <pic:spPr>
                    <a:xfrm>
                      <a:off x="0" y="0"/>
                      <a:ext cx="5303520" cy="2895183"/>
                    </a:xfrm>
                    <a:prstGeom prst="rect"/>
                  </pic:spPr>
                </pic:pic>
              </a:graphicData>
            </a:graphic>
          </wp:inline>
        </w:drawing>
      </w:r>
    </w:p>
    <w:p>
      <w:pPr>
        <w:spacing w:line="276" w:lineRule="auto" w:before="120" w:after="240"/>
        <w:ind w:firstLine="0"/>
        <w:jc w:val="center"/>
      </w:pPr>
      <w:r>
        <w:rPr>
          <w:rFonts w:ascii="Times New Roman" w:hAnsi="Times New Roman"/>
          <w:b/>
          <w:sz w:val="22"/>
        </w:rPr>
        <w:t>Figure 5.2: Academic Performance Analytics Hardware &amp; Architecture Mockup</w:t>
      </w:r>
    </w:p>
    <w:p>
      <w:pPr>
        <w:spacing w:line="360" w:lineRule="auto" w:before="280" w:after="120"/>
        <w:ind w:firstLine="0"/>
        <w:jc w:val="left"/>
      </w:pPr>
      <w:r>
        <w:rPr>
          <w:rFonts w:ascii="Times New Roman" w:hAnsi="Times New Roman"/>
          <w:b/>
          <w:sz w:val="26"/>
        </w:rPr>
        <w:t>5.2 Significance, Strengths, and Limitations</w:t>
      </w:r>
    </w:p>
    <w:p>
      <w:pPr>
        <w:spacing w:line="360" w:lineRule="auto" w:before="0" w:after="120"/>
        <w:ind w:firstLine="720"/>
        <w:jc w:val="both"/>
      </w:pPr>
      <w:r>
        <w:rPr>
          <w:rFonts w:ascii="Times New Roman" w:hAnsi="Times New Roman"/>
          <w:sz w:val="26"/>
        </w:rPr>
        <w:t>The significance of the Academic Intelligence Platform lies in transforming static institutional archives into proactive, actionable pedagogical intelligence. Rather than identifying student failure retrospectively after examination results are sealed, the platform empowers department heads, class advisors, and academic deans to identify vulnerable students early in the instructional term, enabling timely remedial mentoring that preserves student retention.</w:t>
      </w:r>
    </w:p>
    <w:p>
      <w:pPr>
        <w:spacing w:line="360" w:lineRule="auto" w:before="0" w:after="120"/>
        <w:ind w:firstLine="720"/>
        <w:jc w:val="both"/>
      </w:pPr>
      <w:r>
        <w:rPr>
          <w:rFonts w:ascii="Times New Roman" w:hAnsi="Times New Roman"/>
          <w:sz w:val="26"/>
        </w:rPr>
        <w:t>The principal strengths of the architecture include:</w:t>
      </w:r>
    </w:p>
    <w:p>
      <w:pPr>
        <w:spacing w:line="360" w:lineRule="auto" w:before="0" w:after="120"/>
        <w:ind w:firstLine="720"/>
        <w:jc w:val="both"/>
      </w:pPr>
      <w:r>
        <w:rPr>
          <w:rFonts w:ascii="Times New Roman" w:hAnsi="Times New Roman"/>
          <w:sz w:val="26"/>
        </w:rPr>
        <w:t>1. Dynamic Scalability: The system seamlessly ingests varied assessment scales (40, 50, 60 marks) without requiring manual spreadsheet restructuring by department staff.</w:t>
      </w:r>
    </w:p>
    <w:p>
      <w:pPr>
        <w:spacing w:line="360" w:lineRule="auto" w:before="0" w:after="120"/>
        <w:ind w:firstLine="720"/>
        <w:jc w:val="both"/>
      </w:pPr>
      <w:r>
        <w:rPr>
          <w:rFonts w:ascii="Times New Roman" w:hAnsi="Times New Roman"/>
          <w:sz w:val="26"/>
        </w:rPr>
        <w:t>2. High-Speed Probabilistic Inference: Tree-based gradient boosting provides calibrated failure probabilities in under 15ms per student.</w:t>
      </w:r>
    </w:p>
    <w:p>
      <w:pPr>
        <w:spacing w:line="360" w:lineRule="auto" w:before="0" w:after="120"/>
        <w:ind w:firstLine="720"/>
        <w:jc w:val="both"/>
      </w:pPr>
      <w:r>
        <w:rPr>
          <w:rFonts w:ascii="Times New Roman" w:hAnsi="Times New Roman"/>
          <w:sz w:val="26"/>
        </w:rPr>
        <w:t>3. Operational Resilience: Multi-key failover and cascading model fallback prevent downtime during heavy administrative usage under cloud rate limits.</w:t>
      </w:r>
    </w:p>
    <w:p>
      <w:pPr>
        <w:spacing w:line="360" w:lineRule="auto" w:before="0" w:after="120"/>
        <w:ind w:firstLine="720"/>
        <w:jc w:val="both"/>
      </w:pPr>
      <w:r>
        <w:rPr>
          <w:rFonts w:ascii="Times New Roman" w:hAnsi="Times New Roman"/>
          <w:sz w:val="26"/>
        </w:rPr>
        <w:t>4. Zero-Cost Open Source Foundation: The entire platform is built upon open-source frameworks, incurring zero proprietary licensing expenses.</w:t>
      </w:r>
    </w:p>
    <w:p>
      <w:pPr>
        <w:spacing w:line="360" w:lineRule="auto" w:before="0" w:after="120"/>
        <w:ind w:firstLine="720"/>
        <w:jc w:val="both"/>
      </w:pPr>
      <w:r>
        <w:rPr>
          <w:rFonts w:ascii="Times New Roman" w:hAnsi="Times New Roman"/>
          <w:sz w:val="26"/>
        </w:rPr>
        <w:t>The system exhibits several operational limitations. First, machine learning predictions are cross-sectional, relying on current-semester internal marks without incorporating multi-year temporal features. Second, conversational natural language queries that fall outside standard analytical patterns rely on external cloud Groq connectivity, necessitating stable internet access for ad-hoc exploration.</w:t>
      </w:r>
    </w:p>
    <w:p>
      <w:pPr>
        <w:spacing w:line="360" w:lineRule="auto" w:before="280" w:after="120"/>
        <w:ind w:firstLine="0"/>
        <w:jc w:val="left"/>
      </w:pPr>
      <w:r>
        <w:rPr>
          <w:rFonts w:ascii="Times New Roman" w:hAnsi="Times New Roman"/>
          <w:b/>
          <w:sz w:val="26"/>
        </w:rPr>
        <w:t>5.3 Cost-Benefit Analysis</w:t>
      </w:r>
    </w:p>
    <w:p>
      <w:pPr>
        <w:spacing w:line="360" w:lineRule="auto" w:before="0" w:after="120"/>
        <w:ind w:firstLine="720"/>
        <w:jc w:val="both"/>
      </w:pPr>
      <w:r>
        <w:rPr>
          <w:rFonts w:ascii="Times New Roman" w:hAnsi="Times New Roman"/>
          <w:sz w:val="26"/>
        </w:rPr>
        <w:t>A comprehensive cost-benefit analysis demonstrates compelling institutional economic and administrative advantages. Development was executed using standard campus computing infrastructure and open-source software libraries. Table 5.2 outlines the economic breakdown.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Resource Dimension</w:t>
            </w:r>
          </w:p>
        </w:tc>
        <w:tc>
          <w:tcPr>
            <w:tcW w:type="dxa" w:w="2256"/>
            <w:shd w:val="clear" w:color="auto" w:fill="D9D9D9"/>
            <w:vAlign w:val="center"/>
          </w:tcPr>
          <w:p>
            <w:pPr>
              <w:spacing w:line="276" w:lineRule="auto" w:before="60" w:after="60"/>
              <w:jc w:val="center"/>
            </w:pPr>
            <w:r>
              <w:rPr>
                <w:rFonts w:ascii="Times New Roman" w:hAnsi="Times New Roman"/>
                <w:b/>
                <w:sz w:val="22"/>
              </w:rPr>
              <w:t>Traditional Institutional Approach</w:t>
            </w:r>
          </w:p>
        </w:tc>
        <w:tc>
          <w:tcPr>
            <w:tcW w:type="dxa" w:w="2256"/>
            <w:shd w:val="clear" w:color="auto" w:fill="D9D9D9"/>
            <w:vAlign w:val="center"/>
          </w:tcPr>
          <w:p>
            <w:pPr>
              <w:spacing w:line="276" w:lineRule="auto" w:before="60" w:after="60"/>
              <w:jc w:val="center"/>
            </w:pPr>
            <w:r>
              <w:rPr>
                <w:rFonts w:ascii="Times New Roman" w:hAnsi="Times New Roman"/>
                <w:b/>
                <w:sz w:val="22"/>
              </w:rPr>
              <w:t>Academic Intelligence Platform</w:t>
            </w:r>
          </w:p>
        </w:tc>
        <w:tc>
          <w:tcPr>
            <w:tcW w:type="dxa" w:w="2256"/>
            <w:shd w:val="clear" w:color="auto" w:fill="D9D9D9"/>
            <w:vAlign w:val="center"/>
          </w:tcPr>
          <w:p>
            <w:pPr>
              <w:spacing w:line="276" w:lineRule="auto" w:before="60" w:after="60"/>
              <w:jc w:val="center"/>
            </w:pPr>
            <w:r>
              <w:rPr>
                <w:rFonts w:ascii="Times New Roman" w:hAnsi="Times New Roman"/>
                <w:b/>
                <w:sz w:val="22"/>
              </w:rPr>
              <w:t>Benefit / Efficiency Gain</w:t>
            </w:r>
          </w:p>
        </w:tc>
      </w:tr>
      <w:tr>
        <w:tc>
          <w:tcPr>
            <w:tcW w:type="dxa" w:w="2256"/>
            <w:vAlign w:val="center"/>
          </w:tcPr>
          <w:p>
            <w:pPr>
              <w:spacing w:line="276" w:lineRule="auto" w:before="40" w:after="40"/>
              <w:jc w:val="center"/>
            </w:pPr>
            <w:r>
              <w:rPr>
                <w:rFonts w:ascii="Times New Roman" w:hAnsi="Times New Roman"/>
                <w:sz w:val="21"/>
              </w:rPr>
              <w:t>Data Processing Time</w:t>
            </w:r>
          </w:p>
        </w:tc>
        <w:tc>
          <w:tcPr>
            <w:tcW w:type="dxa" w:w="2256"/>
            <w:vAlign w:val="center"/>
          </w:tcPr>
          <w:p>
            <w:pPr>
              <w:spacing w:line="276" w:lineRule="auto" w:before="40" w:after="40"/>
              <w:jc w:val="left"/>
            </w:pPr>
            <w:r>
              <w:rPr>
                <w:rFonts w:ascii="Times New Roman" w:hAnsi="Times New Roman"/>
                <w:sz w:val="21"/>
              </w:rPr>
              <w:t>2 to 3 days of manual spreadsheet compilation</w:t>
            </w:r>
          </w:p>
        </w:tc>
        <w:tc>
          <w:tcPr>
            <w:tcW w:type="dxa" w:w="2256"/>
            <w:vAlign w:val="center"/>
          </w:tcPr>
          <w:p>
            <w:pPr>
              <w:spacing w:line="276" w:lineRule="auto" w:before="40" w:after="40"/>
              <w:jc w:val="left"/>
            </w:pPr>
            <w:r>
              <w:rPr>
                <w:rFonts w:ascii="Times New Roman" w:hAnsi="Times New Roman"/>
                <w:sz w:val="21"/>
              </w:rPr>
              <w:t>2.8 seconds automated ingestion across 61 sheets</w:t>
            </w:r>
          </w:p>
        </w:tc>
        <w:tc>
          <w:tcPr>
            <w:tcW w:type="dxa" w:w="2256"/>
            <w:vAlign w:val="center"/>
          </w:tcPr>
          <w:p>
            <w:pPr>
              <w:spacing w:line="276" w:lineRule="auto" w:before="40" w:after="40"/>
              <w:jc w:val="left"/>
            </w:pPr>
            <w:r>
              <w:rPr>
                <w:rFonts w:ascii="Times New Roman" w:hAnsi="Times New Roman"/>
                <w:sz w:val="21"/>
              </w:rPr>
              <w:t>99.8% reduction in administrative overhead</w:t>
            </w:r>
          </w:p>
        </w:tc>
      </w:tr>
      <w:tr>
        <w:tc>
          <w:tcPr>
            <w:tcW w:type="dxa" w:w="2256"/>
            <w:vAlign w:val="center"/>
          </w:tcPr>
          <w:p>
            <w:pPr>
              <w:spacing w:line="276" w:lineRule="auto" w:before="40" w:after="40"/>
              <w:jc w:val="center"/>
            </w:pPr>
            <w:r>
              <w:rPr>
                <w:rFonts w:ascii="Times New Roman" w:hAnsi="Times New Roman"/>
                <w:sz w:val="21"/>
              </w:rPr>
              <w:t>Early Failure Detection</w:t>
            </w:r>
          </w:p>
        </w:tc>
        <w:tc>
          <w:tcPr>
            <w:tcW w:type="dxa" w:w="2256"/>
            <w:vAlign w:val="center"/>
          </w:tcPr>
          <w:p>
            <w:pPr>
              <w:spacing w:line="276" w:lineRule="auto" w:before="40" w:after="40"/>
              <w:jc w:val="left"/>
            </w:pPr>
            <w:r>
              <w:rPr>
                <w:rFonts w:ascii="Times New Roman" w:hAnsi="Times New Roman"/>
                <w:sz w:val="21"/>
              </w:rPr>
              <w:t>Post-examination (weeks after term ends)</w:t>
            </w:r>
          </w:p>
        </w:tc>
        <w:tc>
          <w:tcPr>
            <w:tcW w:type="dxa" w:w="2256"/>
            <w:vAlign w:val="center"/>
          </w:tcPr>
          <w:p>
            <w:pPr>
              <w:spacing w:line="276" w:lineRule="auto" w:before="40" w:after="40"/>
              <w:jc w:val="left"/>
            </w:pPr>
            <w:r>
              <w:rPr>
                <w:rFonts w:ascii="Times New Roman" w:hAnsi="Times New Roman"/>
                <w:sz w:val="21"/>
              </w:rPr>
              <w:t>Formative internal assessment stage (Weeks 3-8)</w:t>
            </w:r>
          </w:p>
        </w:tc>
        <w:tc>
          <w:tcPr>
            <w:tcW w:type="dxa" w:w="2256"/>
            <w:vAlign w:val="center"/>
          </w:tcPr>
          <w:p>
            <w:pPr>
              <w:spacing w:line="276" w:lineRule="auto" w:before="40" w:after="40"/>
              <w:jc w:val="left"/>
            </w:pPr>
            <w:r>
              <w:rPr>
                <w:rFonts w:ascii="Times New Roman" w:hAnsi="Times New Roman"/>
                <w:sz w:val="21"/>
              </w:rPr>
              <w:t>Proactive remedial intervention enabled</w:t>
            </w:r>
          </w:p>
        </w:tc>
      </w:tr>
      <w:tr>
        <w:tc>
          <w:tcPr>
            <w:tcW w:type="dxa" w:w="2256"/>
            <w:vAlign w:val="center"/>
          </w:tcPr>
          <w:p>
            <w:pPr>
              <w:spacing w:line="276" w:lineRule="auto" w:before="40" w:after="40"/>
              <w:jc w:val="center"/>
            </w:pPr>
            <w:r>
              <w:rPr>
                <w:rFonts w:ascii="Times New Roman" w:hAnsi="Times New Roman"/>
                <w:sz w:val="21"/>
              </w:rPr>
              <w:t>Software Licensing Cost</w:t>
            </w:r>
          </w:p>
        </w:tc>
        <w:tc>
          <w:tcPr>
            <w:tcW w:type="dxa" w:w="2256"/>
            <w:vAlign w:val="center"/>
          </w:tcPr>
          <w:p>
            <w:pPr>
              <w:spacing w:line="276" w:lineRule="auto" w:before="40" w:after="40"/>
              <w:jc w:val="left"/>
            </w:pPr>
            <w:r>
              <w:rPr>
                <w:rFonts w:ascii="Times New Roman" w:hAnsi="Times New Roman"/>
                <w:sz w:val="21"/>
              </w:rPr>
              <w:t>$5,000 - $15,000 annually for commercial ERP</w:t>
            </w:r>
          </w:p>
        </w:tc>
        <w:tc>
          <w:tcPr>
            <w:tcW w:type="dxa" w:w="2256"/>
            <w:vAlign w:val="center"/>
          </w:tcPr>
          <w:p>
            <w:pPr>
              <w:spacing w:line="276" w:lineRule="auto" w:before="40" w:after="40"/>
              <w:jc w:val="left"/>
            </w:pPr>
            <w:r>
              <w:rPr>
                <w:rFonts w:ascii="Times New Roman" w:hAnsi="Times New Roman"/>
                <w:sz w:val="21"/>
              </w:rPr>
              <w:t>Rs. 0 (Open-source FastAPI, React, XGBoost)</w:t>
            </w:r>
          </w:p>
        </w:tc>
        <w:tc>
          <w:tcPr>
            <w:tcW w:type="dxa" w:w="2256"/>
            <w:vAlign w:val="center"/>
          </w:tcPr>
          <w:p>
            <w:pPr>
              <w:spacing w:line="276" w:lineRule="auto" w:before="40" w:after="40"/>
              <w:jc w:val="left"/>
            </w:pPr>
            <w:r>
              <w:rPr>
                <w:rFonts w:ascii="Times New Roman" w:hAnsi="Times New Roman"/>
                <w:sz w:val="21"/>
              </w:rPr>
              <w:t>100% recurring licensing cost elimination</w:t>
            </w:r>
          </w:p>
        </w:tc>
      </w:tr>
      <w:tr>
        <w:tc>
          <w:tcPr>
            <w:tcW w:type="dxa" w:w="2256"/>
            <w:vAlign w:val="center"/>
          </w:tcPr>
          <w:p>
            <w:pPr>
              <w:spacing w:line="276" w:lineRule="auto" w:before="40" w:after="40"/>
              <w:jc w:val="center"/>
            </w:pPr>
            <w:r>
              <w:rPr>
                <w:rFonts w:ascii="Times New Roman" w:hAnsi="Times New Roman"/>
                <w:sz w:val="21"/>
              </w:rPr>
              <w:t>Infrastructure Requirements</w:t>
            </w:r>
          </w:p>
        </w:tc>
        <w:tc>
          <w:tcPr>
            <w:tcW w:type="dxa" w:w="2256"/>
            <w:vAlign w:val="center"/>
          </w:tcPr>
          <w:p>
            <w:pPr>
              <w:spacing w:line="276" w:lineRule="auto" w:before="40" w:after="40"/>
              <w:jc w:val="left"/>
            </w:pPr>
            <w:r>
              <w:rPr>
                <w:rFonts w:ascii="Times New Roman" w:hAnsi="Times New Roman"/>
                <w:sz w:val="21"/>
              </w:rPr>
              <w:t>Dedicated institutional database servers</w:t>
            </w:r>
          </w:p>
        </w:tc>
        <w:tc>
          <w:tcPr>
            <w:tcW w:type="dxa" w:w="2256"/>
            <w:vAlign w:val="center"/>
          </w:tcPr>
          <w:p>
            <w:pPr>
              <w:spacing w:line="276" w:lineRule="auto" w:before="40" w:after="40"/>
              <w:jc w:val="left"/>
            </w:pPr>
            <w:r>
              <w:rPr>
                <w:rFonts w:ascii="Times New Roman" w:hAnsi="Times New Roman"/>
                <w:sz w:val="21"/>
              </w:rPr>
              <w:t>Standard commodity workstation / campus server</w:t>
            </w:r>
          </w:p>
        </w:tc>
        <w:tc>
          <w:tcPr>
            <w:tcW w:type="dxa" w:w="2256"/>
            <w:vAlign w:val="center"/>
          </w:tcPr>
          <w:p>
            <w:pPr>
              <w:spacing w:line="276" w:lineRule="auto" w:before="40" w:after="40"/>
              <w:jc w:val="left"/>
            </w:pPr>
            <w:r>
              <w:rPr>
                <w:rFonts w:ascii="Times New Roman" w:hAnsi="Times New Roman"/>
                <w:sz w:val="21"/>
              </w:rPr>
              <w:t>Zero additional hardware capital expenditure</w:t>
            </w:r>
          </w:p>
        </w:tc>
      </w:tr>
      <w:tr>
        <w:tc>
          <w:tcPr>
            <w:tcW w:type="dxa" w:w="2256"/>
            <w:vAlign w:val="center"/>
          </w:tcPr>
          <w:p>
            <w:pPr>
              <w:spacing w:line="276" w:lineRule="auto" w:before="40" w:after="40"/>
              <w:jc w:val="center"/>
            </w:pPr>
            <w:r>
              <w:rPr>
                <w:rFonts w:ascii="Times New Roman" w:hAnsi="Times New Roman"/>
                <w:sz w:val="21"/>
              </w:rPr>
              <w:t>Query Accessibility</w:t>
            </w:r>
          </w:p>
        </w:tc>
        <w:tc>
          <w:tcPr>
            <w:tcW w:type="dxa" w:w="2256"/>
            <w:vAlign w:val="center"/>
          </w:tcPr>
          <w:p>
            <w:pPr>
              <w:spacing w:line="276" w:lineRule="auto" w:before="40" w:after="40"/>
              <w:jc w:val="left"/>
            </w:pPr>
            <w:r>
              <w:rPr>
                <w:rFonts w:ascii="Times New Roman" w:hAnsi="Times New Roman"/>
                <w:sz w:val="21"/>
              </w:rPr>
              <w:t>Custom SQL scripts requested from IT cell</w:t>
            </w:r>
          </w:p>
        </w:tc>
        <w:tc>
          <w:tcPr>
            <w:tcW w:type="dxa" w:w="2256"/>
            <w:vAlign w:val="center"/>
          </w:tcPr>
          <w:p>
            <w:pPr>
              <w:spacing w:line="276" w:lineRule="auto" w:before="40" w:after="40"/>
              <w:jc w:val="left"/>
            </w:pPr>
            <w:r>
              <w:rPr>
                <w:rFonts w:ascii="Times New Roman" w:hAnsi="Times New Roman"/>
                <w:sz w:val="21"/>
              </w:rPr>
              <w:t>Conversational natural language interface</w:t>
            </w:r>
          </w:p>
        </w:tc>
        <w:tc>
          <w:tcPr>
            <w:tcW w:type="dxa" w:w="2256"/>
            <w:vAlign w:val="center"/>
          </w:tcPr>
          <w:p>
            <w:pPr>
              <w:spacing w:line="276" w:lineRule="auto" w:before="40" w:after="40"/>
              <w:jc w:val="left"/>
            </w:pPr>
            <w:r>
              <w:rPr>
                <w:rFonts w:ascii="Times New Roman" w:hAnsi="Times New Roman"/>
                <w:sz w:val="21"/>
              </w:rPr>
              <w:t>Instant access for non-technical deans and HODs</w:t>
            </w:r>
          </w:p>
        </w:tc>
      </w:tr>
      <w:tr>
        <w:tc>
          <w:tcPr>
            <w:tcW w:type="dxa" w:w="2256"/>
            <w:vAlign w:val="center"/>
          </w:tcPr>
          <w:p>
            <w:pPr>
              <w:spacing w:line="276" w:lineRule="auto" w:before="40" w:after="40"/>
              <w:jc w:val="center"/>
            </w:pPr>
            <w:r>
              <w:rPr>
                <w:rFonts w:ascii="Times New Roman" w:hAnsi="Times New Roman"/>
                <w:sz w:val="21"/>
              </w:rPr>
              <w:t>Analytics Customization</w:t>
            </w:r>
          </w:p>
        </w:tc>
        <w:tc>
          <w:tcPr>
            <w:tcW w:type="dxa" w:w="2256"/>
            <w:vAlign w:val="center"/>
          </w:tcPr>
          <w:p>
            <w:pPr>
              <w:spacing w:line="276" w:lineRule="auto" w:before="40" w:after="40"/>
              <w:jc w:val="left"/>
            </w:pPr>
            <w:r>
              <w:rPr>
                <w:rFonts w:ascii="Times New Roman" w:hAnsi="Times New Roman"/>
                <w:sz w:val="21"/>
              </w:rPr>
              <w:t>Rigid, proprietary vendor reporting modules</w:t>
            </w:r>
          </w:p>
        </w:tc>
        <w:tc>
          <w:tcPr>
            <w:tcW w:type="dxa" w:w="2256"/>
            <w:vAlign w:val="center"/>
          </w:tcPr>
          <w:p>
            <w:pPr>
              <w:spacing w:line="276" w:lineRule="auto" w:before="40" w:after="40"/>
              <w:jc w:val="left"/>
            </w:pPr>
            <w:r>
              <w:rPr>
                <w:rFonts w:ascii="Times New Roman" w:hAnsi="Times New Roman"/>
                <w:sz w:val="21"/>
              </w:rPr>
              <w:t>12 dynamic Recharts visualizations with export</w:t>
            </w:r>
          </w:p>
        </w:tc>
        <w:tc>
          <w:tcPr>
            <w:tcW w:type="dxa" w:w="2256"/>
            <w:vAlign w:val="center"/>
          </w:tcPr>
          <w:p>
            <w:pPr>
              <w:spacing w:line="276" w:lineRule="auto" w:before="40" w:after="40"/>
              <w:jc w:val="left"/>
            </w:pPr>
            <w:r>
              <w:rPr>
                <w:rFonts w:ascii="Times New Roman" w:hAnsi="Times New Roman"/>
                <w:sz w:val="21"/>
              </w:rPr>
              <w:t>Complete institutional control and export flexibility</w:t>
            </w:r>
          </w:p>
        </w:tc>
      </w:tr>
    </w:tbl>
    <w:p>
      <w:pPr>
        <w:spacing w:line="276" w:lineRule="auto" w:before="120" w:after="240"/>
        <w:ind w:firstLine="0"/>
        <w:jc w:val="center"/>
      </w:pPr>
      <w:r>
        <w:rPr>
          <w:rFonts w:ascii="Times New Roman" w:hAnsi="Times New Roman"/>
          <w:b/>
          <w:sz w:val="22"/>
        </w:rPr>
        <w:t>Table 5.2: Cost-Benefit and Resource Utilization Summary</w:t>
      </w:r>
    </w:p>
    <w:p>
      <w:r>
        <w:br w:type="page"/>
      </w:r>
    </w:p>
    <w:p>
      <w:pPr>
        <w:spacing w:line="360" w:lineRule="auto" w:before="480" w:after="120"/>
        <w:ind w:firstLine="0"/>
        <w:jc w:val="center"/>
      </w:pPr>
      <w:r>
        <w:rPr>
          <w:rFonts w:ascii="Times New Roman" w:hAnsi="Times New Roman"/>
          <w:b/>
          <w:sz w:val="28"/>
        </w:rPr>
        <w:t>CHAPTER VI</w:t>
      </w:r>
    </w:p>
    <w:p>
      <w:pPr>
        <w:spacing w:line="360" w:lineRule="auto" w:before="0" w:after="360"/>
        <w:ind w:firstLine="0"/>
        <w:jc w:val="center"/>
      </w:pPr>
      <w:r>
        <w:rPr>
          <w:rFonts w:ascii="Times New Roman" w:hAnsi="Times New Roman"/>
          <w:b/>
          <w:sz w:val="28"/>
        </w:rPr>
        <w:t>CONCLUSIONS AND FUTURE WORK</w:t>
      </w:r>
    </w:p>
    <w:p>
      <w:pPr>
        <w:spacing w:line="360" w:lineRule="auto" w:before="280" w:after="120"/>
        <w:ind w:firstLine="0"/>
        <w:jc w:val="left"/>
      </w:pPr>
      <w:r>
        <w:rPr>
          <w:rFonts w:ascii="Times New Roman" w:hAnsi="Times New Roman"/>
          <w:b/>
          <w:sz w:val="26"/>
        </w:rPr>
        <w:t>6.1 Conclusion</w:t>
      </w:r>
    </w:p>
    <w:p>
      <w:pPr>
        <w:spacing w:line="360" w:lineRule="auto" w:before="0" w:after="120"/>
        <w:ind w:firstLine="720"/>
        <w:jc w:val="both"/>
      </w:pPr>
      <w:r>
        <w:rPr>
          <w:rFonts w:ascii="Times New Roman" w:hAnsi="Times New Roman"/>
          <w:sz w:val="26"/>
        </w:rPr>
        <w:t>This project successfully developed and validated the Academic Intelligence Platform, an enterprise-grade academic analytics dashboard, machine learning failure risk prediction engine, and conversational AI query studio designed for higher education engineering institutions.</w:t>
      </w:r>
    </w:p>
    <w:p>
      <w:pPr>
        <w:spacing w:line="360" w:lineRule="auto" w:before="0" w:after="120"/>
        <w:ind w:firstLine="720"/>
        <w:jc w:val="both"/>
      </w:pPr>
      <w:r>
        <w:rPr>
          <w:rFonts w:ascii="Times New Roman" w:hAnsi="Times New Roman"/>
          <w:sz w:val="26"/>
        </w:rPr>
        <w:t>The platform addresses critical limitations in conventional educational record-keeping through four integrated architectural modules: an automated ingestion pipeline that harmonizes heterogeneous department spreadsheets across twenty programs; an optimized XGBoost probability classifier that normalizes varying assessment scales to predict student failure with sub-15ms latency; a conversational query engine with automated multi-key failover and zero-token local routing; and an interactive 12-component React visualization dashboard supporting one-click PNG, SVG, and CSV export.</w:t>
      </w:r>
    </w:p>
    <w:p>
      <w:pPr>
        <w:spacing w:line="360" w:lineRule="auto" w:before="0" w:after="120"/>
        <w:ind w:firstLine="720"/>
        <w:jc w:val="both"/>
      </w:pPr>
      <w:r>
        <w:rPr>
          <w:rFonts w:ascii="Times New Roman" w:hAnsi="Times New Roman"/>
          <w:sz w:val="26"/>
        </w:rPr>
        <w:t>Empirical evaluations across 7,293 active student records validate the system's high computational performance, fault tolerance under cloud API rate limits, and actionable utility for academic leaders. By enabling early, data-driven pedagogical interventions, the platform directly enhances student retention, course pass rates, and institutional accreditation compliance.</w:t>
      </w:r>
    </w:p>
    <w:p>
      <w:pPr>
        <w:spacing w:line="360" w:lineRule="auto" w:before="280" w:after="120"/>
        <w:ind w:firstLine="0"/>
        <w:jc w:val="left"/>
      </w:pPr>
      <w:r>
        <w:rPr>
          <w:rFonts w:ascii="Times New Roman" w:hAnsi="Times New Roman"/>
          <w:b/>
          <w:sz w:val="26"/>
        </w:rPr>
        <w:t>6.2 Suggestions for Future Work</w:t>
      </w:r>
    </w:p>
    <w:p>
      <w:pPr>
        <w:spacing w:line="360" w:lineRule="auto" w:before="0" w:after="120"/>
        <w:ind w:firstLine="720"/>
        <w:jc w:val="both"/>
      </w:pPr>
      <w:r>
        <w:rPr>
          <w:rFonts w:ascii="Times New Roman" w:hAnsi="Times New Roman"/>
          <w:sz w:val="26"/>
        </w:rPr>
        <w:t>Several promising avenues for future research and engineering enhancements have been identified:</w:t>
      </w:r>
    </w:p>
    <w:p>
      <w:pPr>
        <w:spacing w:line="360" w:lineRule="auto" w:before="0" w:after="120"/>
        <w:ind w:firstLine="720"/>
        <w:jc w:val="both"/>
      </w:pPr>
      <w:r>
        <w:rPr>
          <w:rFonts w:ascii="Times New Roman" w:hAnsi="Times New Roman"/>
          <w:sz w:val="26"/>
        </w:rPr>
        <w:t>1. Automated Multichannel Mentor Alerting: Integrating automated notification pipelines using institutional email protocols or WhatsApp messaging APIs to dispatch personalized early-warning summaries to designated faculty advisors when a student enters the High Risk cohort.</w:t>
      </w:r>
    </w:p>
    <w:p>
      <w:pPr>
        <w:spacing w:line="360" w:lineRule="auto" w:before="0" w:after="120"/>
        <w:ind w:firstLine="720"/>
        <w:jc w:val="both"/>
      </w:pPr>
      <w:r>
        <w:rPr>
          <w:rFonts w:ascii="Times New Roman" w:hAnsi="Times New Roman"/>
          <w:sz w:val="26"/>
        </w:rPr>
        <w:t>2. Longitudinal Deep Learning Risk Modeling: Extending the XGBoost classifier with Recurrent Neural Networks (LSTM / GRU) or Transformer-based sequence models capable of tracking multi-year temporal trajectory patterns across Semesters I through VIII.</w:t>
      </w:r>
    </w:p>
    <w:p>
      <w:pPr>
        <w:spacing w:line="360" w:lineRule="auto" w:before="0" w:after="120"/>
        <w:ind w:firstLine="720"/>
        <w:jc w:val="both"/>
      </w:pPr>
      <w:r>
        <w:rPr>
          <w:rFonts w:ascii="Times New Roman" w:hAnsi="Times New Roman"/>
          <w:sz w:val="26"/>
        </w:rPr>
        <w:t>3. Learning Management System (LMS) Telemetry Integration: Ingesting real-time formative telemetry from campus LMS platforms (such as Moodle or Canvas), including assignment submission punctuality, discussion forum participation, and digital library utilization.</w:t>
      </w:r>
    </w:p>
    <w:p>
      <w:pPr>
        <w:spacing w:line="360" w:lineRule="auto" w:before="0" w:after="120"/>
        <w:ind w:firstLine="720"/>
        <w:jc w:val="both"/>
      </w:pPr>
      <w:r>
        <w:rPr>
          <w:rFonts w:ascii="Times New Roman" w:hAnsi="Times New Roman"/>
          <w:sz w:val="26"/>
        </w:rPr>
        <w:t>4. Autonomous Remedial Course Recommender: Developing an AI recommendation engine that analyzes specific subject failure indicators and suggests targeted remedial study modules, peer-mentoring pairings, and library resources customized to each student's academic profile.</w:t>
      </w:r>
    </w:p>
    <w:p>
      <w:r>
        <w:br w:type="page"/>
      </w:r>
    </w:p>
    <w:p>
      <w:pPr>
        <w:spacing w:line="360" w:lineRule="auto" w:before="480" w:after="360"/>
        <w:jc w:val="center"/>
      </w:pPr>
      <w:r>
        <w:rPr>
          <w:rFonts w:ascii="Times New Roman" w:hAnsi="Times New Roman"/>
          <w:b/>
          <w:sz w:val="28"/>
        </w:rPr>
        <w:t>REFERENCES</w:t>
      </w:r>
    </w:p>
    <w:p>
      <w:pPr>
        <w:spacing w:line="360" w:lineRule="auto" w:after="120"/>
        <w:ind w:hanging="504" w:left="504"/>
        <w:jc w:val="both"/>
      </w:pPr>
      <w:r>
        <w:rPr>
          <w:rFonts w:ascii="Times New Roman" w:hAnsi="Times New Roman"/>
          <w:sz w:val="24"/>
        </w:rPr>
        <w:t>[1] Baker, R. S., &amp; Yacef, K. (2009). The state of educational data mining in 2009: A review and future visions. Journal of Educational Data Mining, 1(1), 3–17.</w:t>
      </w:r>
    </w:p>
    <w:p>
      <w:pPr>
        <w:spacing w:line="360" w:lineRule="auto" w:after="120"/>
        <w:ind w:hanging="504" w:left="504"/>
        <w:jc w:val="both"/>
      </w:pPr>
      <w:r>
        <w:rPr>
          <w:rFonts w:ascii="Times New Roman" w:hAnsi="Times New Roman"/>
          <w:sz w:val="24"/>
        </w:rPr>
        <w:t>[2] Romero, C., &amp; Ventura, S. (2013). Data mining in education. Wiley Interdisciplinary Reviews: Data Mining and Knowledge Discovery, 3(1), 12–27.</w:t>
      </w:r>
    </w:p>
    <w:p>
      <w:pPr>
        <w:spacing w:line="360" w:lineRule="auto" w:after="120"/>
        <w:ind w:hanging="504" w:left="504"/>
        <w:jc w:val="both"/>
      </w:pPr>
      <w:r>
        <w:rPr>
          <w:rFonts w:ascii="Times New Roman" w:hAnsi="Times New Roman"/>
          <w:sz w:val="24"/>
        </w:rPr>
        <w:t>[3] Chen, T., &amp; Guestrin, C. (2016). XGBoost: A scalable tree boosting system. In Proceedings of the 22nd ACM SIGKDD International Conference on Knowledge Discovery and Data Mining (pp. 785–794).</w:t>
      </w:r>
    </w:p>
    <w:p>
      <w:pPr>
        <w:spacing w:line="360" w:lineRule="auto" w:after="120"/>
        <w:ind w:hanging="504" w:left="504"/>
        <w:jc w:val="both"/>
      </w:pPr>
      <w:r>
        <w:rPr>
          <w:rFonts w:ascii="Times New Roman" w:hAnsi="Times New Roman"/>
          <w:sz w:val="24"/>
        </w:rPr>
        <w:t>[4] Livieris, I. E., Drakopoulou, K., &amp; Pintelas, P. (2019). Predicting students' performance using an ensemble of neural networks and decision trees. Knowledge and Information Systems, 61(1), 133–158.</w:t>
      </w:r>
    </w:p>
    <w:p>
      <w:pPr>
        <w:spacing w:line="360" w:lineRule="auto" w:after="120"/>
        <w:ind w:hanging="504" w:left="504"/>
        <w:jc w:val="both"/>
      </w:pPr>
      <w:r>
        <w:rPr>
          <w:rFonts w:ascii="Times New Roman" w:hAnsi="Times New Roman"/>
          <w:sz w:val="24"/>
        </w:rPr>
        <w:t>[5] Brown, T., Mann, B., Ryder, N., Subbiah, M., Kaplan, J. D., Dhariwal, P., ... &amp; Amodei, D. (2020). Language models are few-shot learners. Advances in Neural Information Processing Systems, 33, 1877–1901.</w:t>
      </w:r>
    </w:p>
    <w:p>
      <w:pPr>
        <w:spacing w:line="360" w:lineRule="auto" w:after="120"/>
        <w:ind w:hanging="504" w:left="504"/>
        <w:jc w:val="both"/>
      </w:pPr>
      <w:r>
        <w:rPr>
          <w:rFonts w:ascii="Times New Roman" w:hAnsi="Times New Roman"/>
          <w:sz w:val="24"/>
        </w:rPr>
        <w:t>[6] Affolter, K., Stockinger, K., &amp; Bernstein, A. (2019). A comparative survey of recent natural language interfaces for databases. The VLDB Journal, 28(5), 793–819.</w:t>
      </w:r>
    </w:p>
    <w:p>
      <w:pPr>
        <w:spacing w:line="360" w:lineRule="auto" w:after="120"/>
        <w:ind w:hanging="504" w:left="504"/>
        <w:jc w:val="both"/>
      </w:pPr>
      <w:r>
        <w:rPr>
          <w:rFonts w:ascii="Times New Roman" w:hAnsi="Times New Roman"/>
          <w:sz w:val="24"/>
        </w:rPr>
        <w:t>[7] Munzner, T. (2014). Visualization Analysis and Design. CRC Press, Boca Raton, FL.</w:t>
      </w:r>
    </w:p>
    <w:p>
      <w:pPr>
        <w:spacing w:line="360" w:lineRule="auto" w:after="120"/>
        <w:ind w:hanging="504" w:left="504"/>
        <w:jc w:val="both"/>
      </w:pPr>
      <w:r>
        <w:rPr>
          <w:rFonts w:ascii="Times New Roman" w:hAnsi="Times New Roman"/>
          <w:sz w:val="24"/>
        </w:rPr>
        <w:t>[8] Tiangolo, S. (2020). FastAPI: Modern, fast (high-performance), web framework for building APIs with Python 3.8+. https://fastapi.tiangolo.com</w:t>
      </w:r>
    </w:p>
    <w:p>
      <w:pPr>
        <w:spacing w:line="360" w:lineRule="auto" w:after="120"/>
        <w:ind w:hanging="504" w:left="504"/>
        <w:jc w:val="both"/>
      </w:pPr>
      <w:r>
        <w:rPr>
          <w:rFonts w:ascii="Times New Roman" w:hAnsi="Times New Roman"/>
          <w:sz w:val="24"/>
        </w:rPr>
        <w:t>[9] Pedregosa, F., Varoquaux, G., Gramfort, A., Michel, V., Thirion, B., Grisel, O., ... &amp; Duchesnay, E. (2011). Scikit-learn: Machine learning in Python. Journal of Machine Learning Research, 12, 2825–2830.</w:t>
      </w:r>
    </w:p>
    <w:p>
      <w:pPr>
        <w:spacing w:line="360" w:lineRule="auto" w:after="120"/>
        <w:ind w:hanging="504" w:left="504"/>
        <w:jc w:val="both"/>
      </w:pPr>
      <w:r>
        <w:rPr>
          <w:rFonts w:ascii="Times New Roman" w:hAnsi="Times New Roman"/>
          <w:sz w:val="24"/>
        </w:rPr>
        <w:t>[10] McKinney, W. (2010). Data structures for statistical computing in Python. In Proceedings of the 9th Python in Science Conference (pp. 51–56).</w:t>
      </w:r>
    </w:p>
    <w:p>
      <w:pPr>
        <w:spacing w:line="360" w:lineRule="auto" w:after="120"/>
        <w:ind w:hanging="504" w:left="504"/>
        <w:jc w:val="both"/>
      </w:pPr>
      <w:r>
        <w:rPr>
          <w:rFonts w:ascii="Times New Roman" w:hAnsi="Times New Roman"/>
          <w:sz w:val="24"/>
        </w:rPr>
        <w:t>[11] Facebook Open Source. (2024). React: A JavaScript library for building user interfaces. https://react.dev</w:t>
      </w:r>
    </w:p>
    <w:p>
      <w:pPr>
        <w:spacing w:line="360" w:lineRule="auto" w:after="120"/>
        <w:ind w:hanging="504" w:left="504"/>
        <w:jc w:val="both"/>
      </w:pPr>
      <w:r>
        <w:rPr>
          <w:rFonts w:ascii="Times New Roman" w:hAnsi="Times New Roman"/>
          <w:sz w:val="24"/>
        </w:rPr>
        <w:t>[12] Vite Development Team. (2024). Vite: Next Generation Frontend Tooling. https://vitejs.dev</w:t>
      </w:r>
    </w:p>
    <w:p>
      <w:pPr>
        <w:spacing w:line="360" w:lineRule="auto" w:after="120"/>
        <w:ind w:hanging="504" w:left="504"/>
        <w:jc w:val="both"/>
      </w:pPr>
      <w:r>
        <w:rPr>
          <w:rFonts w:ascii="Times New Roman" w:hAnsi="Times New Roman"/>
          <w:sz w:val="24"/>
        </w:rPr>
        <w:t>[13] Recharts Group. (2024). Recharts: A Redefined chart library built with React and D3. https://recharts.org</w:t>
      </w:r>
    </w:p>
    <w:p>
      <w:pPr>
        <w:spacing w:line="360" w:lineRule="auto" w:after="120"/>
        <w:ind w:hanging="504" w:left="504"/>
        <w:jc w:val="both"/>
      </w:pPr>
      <w:r>
        <w:rPr>
          <w:rFonts w:ascii="Times New Roman" w:hAnsi="Times New Roman"/>
          <w:sz w:val="24"/>
        </w:rPr>
        <w:t>[14] Groq Inc. (2024). Groq LPU Inference Engine Documentation: Fast AI Processing. https://groq.com</w:t>
      </w:r>
    </w:p>
    <w:p>
      <w:pPr>
        <w:spacing w:line="360" w:lineRule="auto" w:after="120"/>
        <w:ind w:hanging="504" w:left="504"/>
        <w:jc w:val="both"/>
      </w:pPr>
      <w:r>
        <w:rPr>
          <w:rFonts w:ascii="Times New Roman" w:hAnsi="Times New Roman"/>
          <w:sz w:val="24"/>
        </w:rPr>
        <w:t>[15] National Board of Accreditation. (2022). Manual for Accreditation of Undergraduate Engineering Programmes. NBA, New Delhi, India.</w:t>
      </w:r>
    </w:p>
    <w:p>
      <w:r>
        <w:br w:type="page"/>
      </w:r>
    </w:p>
    <w:p>
      <w:pPr>
        <w:spacing w:line="360" w:lineRule="auto" w:before="480" w:after="360"/>
        <w:jc w:val="center"/>
      </w:pPr>
      <w:r>
        <w:rPr>
          <w:rFonts w:ascii="Times New Roman" w:hAnsi="Times New Roman"/>
          <w:b/>
          <w:sz w:val="28"/>
        </w:rPr>
        <w:t>APPENDIX</w:t>
      </w:r>
    </w:p>
    <w:p>
      <w:pPr>
        <w:spacing w:before="280" w:after="120"/>
        <w:jc w:val="left"/>
      </w:pPr>
      <w:r>
        <w:rPr>
          <w:rFonts w:ascii="Times New Roman" w:hAnsi="Times New Roman"/>
          <w:b/>
          <w:sz w:val="26"/>
        </w:rPr>
        <w:t>I. BILL OF MATERIALS</w:t>
      </w:r>
    </w:p>
    <w:p>
      <w:pPr>
        <w:spacing w:line="360" w:lineRule="auto" w:before="0" w:after="120"/>
        <w:ind w:firstLine="720"/>
        <w:jc w:val="both"/>
      </w:pPr>
      <w:r>
        <w:rPr>
          <w:rFonts w:ascii="Times New Roman" w:hAnsi="Times New Roman"/>
          <w:sz w:val="26"/>
        </w:rPr>
        <w:t>The Academic Intelligence Platform is a software-only analytics and machine learning solution requiring no specialized proprietary hardware components. All development and deployment were executed utilizing standard institutional computing infrastructure and open-source software frameworks. Table 14 outlines the complete software component inventory, open-source licensing models, and computational resource allocations.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shd w:val="clear" w:color="auto" w:fill="D9D9D9"/>
            <w:vAlign w:val="center"/>
          </w:tcPr>
          <w:p>
            <w:pPr>
              <w:spacing w:line="276" w:lineRule="auto" w:before="60" w:after="60"/>
              <w:jc w:val="center"/>
            </w:pPr>
            <w:r>
              <w:rPr>
                <w:rFonts w:ascii="Times New Roman" w:hAnsi="Times New Roman"/>
                <w:b/>
                <w:sz w:val="22"/>
              </w:rPr>
              <w:t>Component / Layer</w:t>
            </w:r>
          </w:p>
        </w:tc>
        <w:tc>
          <w:tcPr>
            <w:tcW w:type="dxa" w:w="2256"/>
            <w:shd w:val="clear" w:color="auto" w:fill="D9D9D9"/>
            <w:vAlign w:val="center"/>
          </w:tcPr>
          <w:p>
            <w:pPr>
              <w:spacing w:line="276" w:lineRule="auto" w:before="60" w:after="60"/>
              <w:jc w:val="center"/>
            </w:pPr>
            <w:r>
              <w:rPr>
                <w:rFonts w:ascii="Times New Roman" w:hAnsi="Times New Roman"/>
                <w:b/>
                <w:sz w:val="22"/>
              </w:rPr>
              <w:t>Tool / Library Name &amp; Version</w:t>
            </w:r>
          </w:p>
        </w:tc>
        <w:tc>
          <w:tcPr>
            <w:tcW w:type="dxa" w:w="2256"/>
            <w:shd w:val="clear" w:color="auto" w:fill="D9D9D9"/>
            <w:vAlign w:val="center"/>
          </w:tcPr>
          <w:p>
            <w:pPr>
              <w:spacing w:line="276" w:lineRule="auto" w:before="60" w:after="60"/>
              <w:jc w:val="center"/>
            </w:pPr>
            <w:r>
              <w:rPr>
                <w:rFonts w:ascii="Times New Roman" w:hAnsi="Times New Roman"/>
                <w:b/>
                <w:sz w:val="22"/>
              </w:rPr>
              <w:t>Functional Purpose in System</w:t>
            </w:r>
          </w:p>
        </w:tc>
        <w:tc>
          <w:tcPr>
            <w:tcW w:type="dxa" w:w="2256"/>
            <w:shd w:val="clear" w:color="auto" w:fill="D9D9D9"/>
            <w:vAlign w:val="center"/>
          </w:tcPr>
          <w:p>
            <w:pPr>
              <w:spacing w:line="276" w:lineRule="auto" w:before="60" w:after="60"/>
              <w:jc w:val="center"/>
            </w:pPr>
            <w:r>
              <w:rPr>
                <w:rFonts w:ascii="Times New Roman" w:hAnsi="Times New Roman"/>
                <w:b/>
                <w:sz w:val="22"/>
              </w:rPr>
              <w:t>Licensing / Financial Cost</w:t>
            </w:r>
          </w:p>
        </w:tc>
      </w:tr>
      <w:tr>
        <w:tc>
          <w:tcPr>
            <w:tcW w:type="dxa" w:w="2256"/>
            <w:vAlign w:val="center"/>
          </w:tcPr>
          <w:p>
            <w:pPr>
              <w:spacing w:line="276" w:lineRule="auto" w:before="40" w:after="40"/>
              <w:jc w:val="center"/>
            </w:pPr>
            <w:r>
              <w:rPr>
                <w:rFonts w:ascii="Times New Roman" w:hAnsi="Times New Roman"/>
                <w:sz w:val="21"/>
              </w:rPr>
              <w:t>Machine Learning Framework</w:t>
            </w:r>
          </w:p>
        </w:tc>
        <w:tc>
          <w:tcPr>
            <w:tcW w:type="dxa" w:w="2256"/>
            <w:vAlign w:val="center"/>
          </w:tcPr>
          <w:p>
            <w:pPr>
              <w:spacing w:line="276" w:lineRule="auto" w:before="40" w:after="40"/>
              <w:jc w:val="left"/>
            </w:pPr>
            <w:r>
              <w:rPr>
                <w:rFonts w:ascii="Times New Roman" w:hAnsi="Times New Roman"/>
                <w:sz w:val="21"/>
              </w:rPr>
              <w:t>XGBoost 2.0.3</w:t>
            </w:r>
          </w:p>
        </w:tc>
        <w:tc>
          <w:tcPr>
            <w:tcW w:type="dxa" w:w="2256"/>
            <w:vAlign w:val="center"/>
          </w:tcPr>
          <w:p>
            <w:pPr>
              <w:spacing w:line="276" w:lineRule="auto" w:before="40" w:after="40"/>
              <w:jc w:val="left"/>
            </w:pPr>
            <w:r>
              <w:rPr>
                <w:rFonts w:ascii="Times New Roman" w:hAnsi="Times New Roman"/>
                <w:sz w:val="21"/>
              </w:rPr>
              <w:t>Gradient boosted failure probability classification</w:t>
            </w:r>
          </w:p>
        </w:tc>
        <w:tc>
          <w:tcPr>
            <w:tcW w:type="dxa" w:w="2256"/>
            <w:vAlign w:val="center"/>
          </w:tcPr>
          <w:p>
            <w:pPr>
              <w:spacing w:line="276" w:lineRule="auto" w:before="40" w:after="40"/>
              <w:jc w:val="left"/>
            </w:pPr>
            <w:r>
              <w:rPr>
                <w:rFonts w:ascii="Times New Roman" w:hAnsi="Times New Roman"/>
                <w:sz w:val="21"/>
              </w:rPr>
              <w:t>Free (Open-Source Apache 2.0)</w:t>
            </w:r>
          </w:p>
        </w:tc>
      </w:tr>
      <w:tr>
        <w:tc>
          <w:tcPr>
            <w:tcW w:type="dxa" w:w="2256"/>
            <w:vAlign w:val="center"/>
          </w:tcPr>
          <w:p>
            <w:pPr>
              <w:spacing w:line="276" w:lineRule="auto" w:before="40" w:after="40"/>
              <w:jc w:val="center"/>
            </w:pPr>
            <w:r>
              <w:rPr>
                <w:rFonts w:ascii="Times New Roman" w:hAnsi="Times New Roman"/>
                <w:sz w:val="21"/>
              </w:rPr>
              <w:t>Scientific Computing</w:t>
            </w:r>
          </w:p>
        </w:tc>
        <w:tc>
          <w:tcPr>
            <w:tcW w:type="dxa" w:w="2256"/>
            <w:vAlign w:val="center"/>
          </w:tcPr>
          <w:p>
            <w:pPr>
              <w:spacing w:line="276" w:lineRule="auto" w:before="40" w:after="40"/>
              <w:jc w:val="left"/>
            </w:pPr>
            <w:r>
              <w:rPr>
                <w:rFonts w:ascii="Times New Roman" w:hAnsi="Times New Roman"/>
                <w:sz w:val="21"/>
              </w:rPr>
              <w:t>Scikit-learn 1.4.2</w:t>
            </w:r>
          </w:p>
        </w:tc>
        <w:tc>
          <w:tcPr>
            <w:tcW w:type="dxa" w:w="2256"/>
            <w:vAlign w:val="center"/>
          </w:tcPr>
          <w:p>
            <w:pPr>
              <w:spacing w:line="276" w:lineRule="auto" w:before="40" w:after="40"/>
              <w:jc w:val="left"/>
            </w:pPr>
            <w:r>
              <w:rPr>
                <w:rFonts w:ascii="Times New Roman" w:hAnsi="Times New Roman"/>
                <w:sz w:val="21"/>
              </w:rPr>
              <w:t>Feature processing, evaluation metrics, pipeline</w:t>
            </w:r>
          </w:p>
        </w:tc>
        <w:tc>
          <w:tcPr>
            <w:tcW w:type="dxa" w:w="2256"/>
            <w:vAlign w:val="center"/>
          </w:tcPr>
          <w:p>
            <w:pPr>
              <w:spacing w:line="276" w:lineRule="auto" w:before="40" w:after="40"/>
              <w:jc w:val="left"/>
            </w:pPr>
            <w:r>
              <w:rPr>
                <w:rFonts w:ascii="Times New Roman" w:hAnsi="Times New Roman"/>
                <w:sz w:val="21"/>
              </w:rPr>
              <w:t>Free (Open-Source BSD)</w:t>
            </w:r>
          </w:p>
        </w:tc>
      </w:tr>
      <w:tr>
        <w:tc>
          <w:tcPr>
            <w:tcW w:type="dxa" w:w="2256"/>
            <w:vAlign w:val="center"/>
          </w:tcPr>
          <w:p>
            <w:pPr>
              <w:spacing w:line="276" w:lineRule="auto" w:before="40" w:after="40"/>
              <w:jc w:val="center"/>
            </w:pPr>
            <w:r>
              <w:rPr>
                <w:rFonts w:ascii="Times New Roman" w:hAnsi="Times New Roman"/>
                <w:sz w:val="21"/>
              </w:rPr>
              <w:t>Tabular Data Processing</w:t>
            </w:r>
          </w:p>
        </w:tc>
        <w:tc>
          <w:tcPr>
            <w:tcW w:type="dxa" w:w="2256"/>
            <w:vAlign w:val="center"/>
          </w:tcPr>
          <w:p>
            <w:pPr>
              <w:spacing w:line="276" w:lineRule="auto" w:before="40" w:after="40"/>
              <w:jc w:val="left"/>
            </w:pPr>
            <w:r>
              <w:rPr>
                <w:rFonts w:ascii="Times New Roman" w:hAnsi="Times New Roman"/>
                <w:sz w:val="21"/>
              </w:rPr>
              <w:t>Pandas 2.2.1</w:t>
            </w:r>
          </w:p>
        </w:tc>
        <w:tc>
          <w:tcPr>
            <w:tcW w:type="dxa" w:w="2256"/>
            <w:vAlign w:val="center"/>
          </w:tcPr>
          <w:p>
            <w:pPr>
              <w:spacing w:line="276" w:lineRule="auto" w:before="40" w:after="40"/>
              <w:jc w:val="left"/>
            </w:pPr>
            <w:r>
              <w:rPr>
                <w:rFonts w:ascii="Times New Roman" w:hAnsi="Times New Roman"/>
                <w:sz w:val="21"/>
              </w:rPr>
              <w:t>In-memory spreadsheet filtering and aggregations</w:t>
            </w:r>
          </w:p>
        </w:tc>
        <w:tc>
          <w:tcPr>
            <w:tcW w:type="dxa" w:w="2256"/>
            <w:vAlign w:val="center"/>
          </w:tcPr>
          <w:p>
            <w:pPr>
              <w:spacing w:line="276" w:lineRule="auto" w:before="40" w:after="40"/>
              <w:jc w:val="left"/>
            </w:pPr>
            <w:r>
              <w:rPr>
                <w:rFonts w:ascii="Times New Roman" w:hAnsi="Times New Roman"/>
                <w:sz w:val="21"/>
              </w:rPr>
              <w:t>Free (Open-Source BSD)</w:t>
            </w:r>
          </w:p>
        </w:tc>
      </w:tr>
      <w:tr>
        <w:tc>
          <w:tcPr>
            <w:tcW w:type="dxa" w:w="2256"/>
            <w:vAlign w:val="center"/>
          </w:tcPr>
          <w:p>
            <w:pPr>
              <w:spacing w:line="276" w:lineRule="auto" w:before="40" w:after="40"/>
              <w:jc w:val="center"/>
            </w:pPr>
            <w:r>
              <w:rPr>
                <w:rFonts w:ascii="Times New Roman" w:hAnsi="Times New Roman"/>
                <w:sz w:val="21"/>
              </w:rPr>
              <w:t>Excel Ingestion Engine</w:t>
            </w:r>
          </w:p>
        </w:tc>
        <w:tc>
          <w:tcPr>
            <w:tcW w:type="dxa" w:w="2256"/>
            <w:vAlign w:val="center"/>
          </w:tcPr>
          <w:p>
            <w:pPr>
              <w:spacing w:line="276" w:lineRule="auto" w:before="40" w:after="40"/>
              <w:jc w:val="left"/>
            </w:pPr>
            <w:r>
              <w:rPr>
                <w:rFonts w:ascii="Times New Roman" w:hAnsi="Times New Roman"/>
                <w:sz w:val="21"/>
              </w:rPr>
              <w:t>OpenPyXL 3.1.2</w:t>
            </w:r>
          </w:p>
        </w:tc>
        <w:tc>
          <w:tcPr>
            <w:tcW w:type="dxa" w:w="2256"/>
            <w:vAlign w:val="center"/>
          </w:tcPr>
          <w:p>
            <w:pPr>
              <w:spacing w:line="276" w:lineRule="auto" w:before="40" w:after="40"/>
              <w:jc w:val="left"/>
            </w:pPr>
            <w:r>
              <w:rPr>
                <w:rFonts w:ascii="Times New Roman" w:hAnsi="Times New Roman"/>
                <w:sz w:val="21"/>
              </w:rPr>
              <w:t>Multi-sheet Excel workbook parsing and reading</w:t>
            </w:r>
          </w:p>
        </w:tc>
        <w:tc>
          <w:tcPr>
            <w:tcW w:type="dxa" w:w="2256"/>
            <w:vAlign w:val="center"/>
          </w:tcPr>
          <w:p>
            <w:pPr>
              <w:spacing w:line="276" w:lineRule="auto" w:before="40" w:after="40"/>
              <w:jc w:val="left"/>
            </w:pPr>
            <w:r>
              <w:rPr>
                <w:rFonts w:ascii="Times New Roman" w:hAnsi="Times New Roman"/>
                <w:sz w:val="21"/>
              </w:rPr>
              <w:t>Free (Open-Source MIT)</w:t>
            </w:r>
          </w:p>
        </w:tc>
      </w:tr>
      <w:tr>
        <w:tc>
          <w:tcPr>
            <w:tcW w:type="dxa" w:w="2256"/>
            <w:vAlign w:val="center"/>
          </w:tcPr>
          <w:p>
            <w:pPr>
              <w:spacing w:line="276" w:lineRule="auto" w:before="40" w:after="40"/>
              <w:jc w:val="center"/>
            </w:pPr>
            <w:r>
              <w:rPr>
                <w:rFonts w:ascii="Times New Roman" w:hAnsi="Times New Roman"/>
                <w:sz w:val="21"/>
              </w:rPr>
              <w:t>Backend REST Server</w:t>
            </w:r>
          </w:p>
        </w:tc>
        <w:tc>
          <w:tcPr>
            <w:tcW w:type="dxa" w:w="2256"/>
            <w:vAlign w:val="center"/>
          </w:tcPr>
          <w:p>
            <w:pPr>
              <w:spacing w:line="276" w:lineRule="auto" w:before="40" w:after="40"/>
              <w:jc w:val="left"/>
            </w:pPr>
            <w:r>
              <w:rPr>
                <w:rFonts w:ascii="Times New Roman" w:hAnsi="Times New Roman"/>
                <w:sz w:val="21"/>
              </w:rPr>
              <w:t>FastAPI 0.110.0</w:t>
            </w:r>
          </w:p>
        </w:tc>
        <w:tc>
          <w:tcPr>
            <w:tcW w:type="dxa" w:w="2256"/>
            <w:vAlign w:val="center"/>
          </w:tcPr>
          <w:p>
            <w:pPr>
              <w:spacing w:line="276" w:lineRule="auto" w:before="40" w:after="40"/>
              <w:jc w:val="left"/>
            </w:pPr>
            <w:r>
              <w:rPr>
                <w:rFonts w:ascii="Times New Roman" w:hAnsi="Times New Roman"/>
                <w:sz w:val="21"/>
              </w:rPr>
              <w:t>Asynchronous RESTful API framework</w:t>
            </w:r>
          </w:p>
        </w:tc>
        <w:tc>
          <w:tcPr>
            <w:tcW w:type="dxa" w:w="2256"/>
            <w:vAlign w:val="center"/>
          </w:tcPr>
          <w:p>
            <w:pPr>
              <w:spacing w:line="276" w:lineRule="auto" w:before="40" w:after="40"/>
              <w:jc w:val="left"/>
            </w:pPr>
            <w:r>
              <w:rPr>
                <w:rFonts w:ascii="Times New Roman" w:hAnsi="Times New Roman"/>
                <w:sz w:val="21"/>
              </w:rPr>
              <w:t>Free (Open-Source MIT)</w:t>
            </w:r>
          </w:p>
        </w:tc>
      </w:tr>
      <w:tr>
        <w:tc>
          <w:tcPr>
            <w:tcW w:type="dxa" w:w="2256"/>
            <w:vAlign w:val="center"/>
          </w:tcPr>
          <w:p>
            <w:pPr>
              <w:spacing w:line="276" w:lineRule="auto" w:before="40" w:after="40"/>
              <w:jc w:val="center"/>
            </w:pPr>
            <w:r>
              <w:rPr>
                <w:rFonts w:ascii="Times New Roman" w:hAnsi="Times New Roman"/>
                <w:sz w:val="21"/>
              </w:rPr>
              <w:t>ASGI Web Server</w:t>
            </w:r>
          </w:p>
        </w:tc>
        <w:tc>
          <w:tcPr>
            <w:tcW w:type="dxa" w:w="2256"/>
            <w:vAlign w:val="center"/>
          </w:tcPr>
          <w:p>
            <w:pPr>
              <w:spacing w:line="276" w:lineRule="auto" w:before="40" w:after="40"/>
              <w:jc w:val="left"/>
            </w:pPr>
            <w:r>
              <w:rPr>
                <w:rFonts w:ascii="Times New Roman" w:hAnsi="Times New Roman"/>
                <w:sz w:val="21"/>
              </w:rPr>
              <w:t>Uvicorn 0.29.0</w:t>
            </w:r>
          </w:p>
        </w:tc>
        <w:tc>
          <w:tcPr>
            <w:tcW w:type="dxa" w:w="2256"/>
            <w:vAlign w:val="center"/>
          </w:tcPr>
          <w:p>
            <w:pPr>
              <w:spacing w:line="276" w:lineRule="auto" w:before="40" w:after="40"/>
              <w:jc w:val="left"/>
            </w:pPr>
            <w:r>
              <w:rPr>
                <w:rFonts w:ascii="Times New Roman" w:hAnsi="Times New Roman"/>
                <w:sz w:val="21"/>
              </w:rPr>
              <w:t>High-performance asynchronous server gateway</w:t>
            </w:r>
          </w:p>
        </w:tc>
        <w:tc>
          <w:tcPr>
            <w:tcW w:type="dxa" w:w="2256"/>
            <w:vAlign w:val="center"/>
          </w:tcPr>
          <w:p>
            <w:pPr>
              <w:spacing w:line="276" w:lineRule="auto" w:before="40" w:after="40"/>
              <w:jc w:val="left"/>
            </w:pPr>
            <w:r>
              <w:rPr>
                <w:rFonts w:ascii="Times New Roman" w:hAnsi="Times New Roman"/>
                <w:sz w:val="21"/>
              </w:rPr>
              <w:t>Free (Open-Source BSD)</w:t>
            </w:r>
          </w:p>
        </w:tc>
      </w:tr>
      <w:tr>
        <w:tc>
          <w:tcPr>
            <w:tcW w:type="dxa" w:w="2256"/>
            <w:vAlign w:val="center"/>
          </w:tcPr>
          <w:p>
            <w:pPr>
              <w:spacing w:line="276" w:lineRule="auto" w:before="40" w:after="40"/>
              <w:jc w:val="center"/>
            </w:pPr>
            <w:r>
              <w:rPr>
                <w:rFonts w:ascii="Times New Roman" w:hAnsi="Times New Roman"/>
                <w:sz w:val="21"/>
              </w:rPr>
              <w:t>Cloud LLM SDK</w:t>
            </w:r>
          </w:p>
        </w:tc>
        <w:tc>
          <w:tcPr>
            <w:tcW w:type="dxa" w:w="2256"/>
            <w:vAlign w:val="center"/>
          </w:tcPr>
          <w:p>
            <w:pPr>
              <w:spacing w:line="276" w:lineRule="auto" w:before="40" w:after="40"/>
              <w:jc w:val="left"/>
            </w:pPr>
            <w:r>
              <w:rPr>
                <w:rFonts w:ascii="Times New Roman" w:hAnsi="Times New Roman"/>
                <w:sz w:val="21"/>
              </w:rPr>
              <w:t>Groq Python SDK 0.9.0</w:t>
            </w:r>
          </w:p>
        </w:tc>
        <w:tc>
          <w:tcPr>
            <w:tcW w:type="dxa" w:w="2256"/>
            <w:vAlign w:val="center"/>
          </w:tcPr>
          <w:p>
            <w:pPr>
              <w:spacing w:line="276" w:lineRule="auto" w:before="40" w:after="40"/>
              <w:jc w:val="left"/>
            </w:pPr>
            <w:r>
              <w:rPr>
                <w:rFonts w:ascii="Times New Roman" w:hAnsi="Times New Roman"/>
                <w:sz w:val="21"/>
              </w:rPr>
              <w:t>Fast conversational LPU inference API</w:t>
            </w:r>
          </w:p>
        </w:tc>
        <w:tc>
          <w:tcPr>
            <w:tcW w:type="dxa" w:w="2256"/>
            <w:vAlign w:val="center"/>
          </w:tcPr>
          <w:p>
            <w:pPr>
              <w:spacing w:line="276" w:lineRule="auto" w:before="40" w:after="40"/>
              <w:jc w:val="left"/>
            </w:pPr>
            <w:r>
              <w:rPr>
                <w:rFonts w:ascii="Times New Roman" w:hAnsi="Times New Roman"/>
                <w:sz w:val="21"/>
              </w:rPr>
              <w:t>Free Tier / Cloud API</w:t>
            </w:r>
          </w:p>
        </w:tc>
      </w:tr>
      <w:tr>
        <w:tc>
          <w:tcPr>
            <w:tcW w:type="dxa" w:w="2256"/>
            <w:vAlign w:val="center"/>
          </w:tcPr>
          <w:p>
            <w:pPr>
              <w:spacing w:line="276" w:lineRule="auto" w:before="40" w:after="40"/>
              <w:jc w:val="center"/>
            </w:pPr>
            <w:r>
              <w:rPr>
                <w:rFonts w:ascii="Times New Roman" w:hAnsi="Times New Roman"/>
                <w:sz w:val="21"/>
              </w:rPr>
              <w:t>Frontend UI Framework</w:t>
            </w:r>
          </w:p>
        </w:tc>
        <w:tc>
          <w:tcPr>
            <w:tcW w:type="dxa" w:w="2256"/>
            <w:vAlign w:val="center"/>
          </w:tcPr>
          <w:p>
            <w:pPr>
              <w:spacing w:line="276" w:lineRule="auto" w:before="40" w:after="40"/>
              <w:jc w:val="left"/>
            </w:pPr>
            <w:r>
              <w:rPr>
                <w:rFonts w:ascii="Times New Roman" w:hAnsi="Times New Roman"/>
                <w:sz w:val="21"/>
              </w:rPr>
              <w:t>React 19.0.0</w:t>
            </w:r>
          </w:p>
        </w:tc>
        <w:tc>
          <w:tcPr>
            <w:tcW w:type="dxa" w:w="2256"/>
            <w:vAlign w:val="center"/>
          </w:tcPr>
          <w:p>
            <w:pPr>
              <w:spacing w:line="276" w:lineRule="auto" w:before="40" w:after="40"/>
              <w:jc w:val="left"/>
            </w:pPr>
            <w:r>
              <w:rPr>
                <w:rFonts w:ascii="Times New Roman" w:hAnsi="Times New Roman"/>
                <w:sz w:val="21"/>
              </w:rPr>
              <w:t>Declarative component-driven user interface</w:t>
            </w:r>
          </w:p>
        </w:tc>
        <w:tc>
          <w:tcPr>
            <w:tcW w:type="dxa" w:w="2256"/>
            <w:vAlign w:val="center"/>
          </w:tcPr>
          <w:p>
            <w:pPr>
              <w:spacing w:line="276" w:lineRule="auto" w:before="40" w:after="40"/>
              <w:jc w:val="left"/>
            </w:pPr>
            <w:r>
              <w:rPr>
                <w:rFonts w:ascii="Times New Roman" w:hAnsi="Times New Roman"/>
                <w:sz w:val="21"/>
              </w:rPr>
              <w:t>Free (Open-Source MIT)</w:t>
            </w:r>
          </w:p>
        </w:tc>
      </w:tr>
      <w:tr>
        <w:tc>
          <w:tcPr>
            <w:tcW w:type="dxa" w:w="2256"/>
            <w:vAlign w:val="center"/>
          </w:tcPr>
          <w:p>
            <w:pPr>
              <w:spacing w:line="276" w:lineRule="auto" w:before="40" w:after="40"/>
              <w:jc w:val="center"/>
            </w:pPr>
            <w:r>
              <w:rPr>
                <w:rFonts w:ascii="Times New Roman" w:hAnsi="Times New Roman"/>
                <w:sz w:val="21"/>
              </w:rPr>
              <w:t>Web Application Bundler</w:t>
            </w:r>
          </w:p>
        </w:tc>
        <w:tc>
          <w:tcPr>
            <w:tcW w:type="dxa" w:w="2256"/>
            <w:vAlign w:val="center"/>
          </w:tcPr>
          <w:p>
            <w:pPr>
              <w:spacing w:line="276" w:lineRule="auto" w:before="40" w:after="40"/>
              <w:jc w:val="left"/>
            </w:pPr>
            <w:r>
              <w:rPr>
                <w:rFonts w:ascii="Times New Roman" w:hAnsi="Times New Roman"/>
                <w:sz w:val="21"/>
              </w:rPr>
              <w:t>Vite 8.2.0</w:t>
            </w:r>
          </w:p>
        </w:tc>
        <w:tc>
          <w:tcPr>
            <w:tcW w:type="dxa" w:w="2256"/>
            <w:vAlign w:val="center"/>
          </w:tcPr>
          <w:p>
            <w:pPr>
              <w:spacing w:line="276" w:lineRule="auto" w:before="40" w:after="40"/>
              <w:jc w:val="left"/>
            </w:pPr>
            <w:r>
              <w:rPr>
                <w:rFonts w:ascii="Times New Roman" w:hAnsi="Times New Roman"/>
                <w:sz w:val="21"/>
              </w:rPr>
              <w:t>Ultra-fast Hot Module Replacement and production build</w:t>
            </w:r>
          </w:p>
        </w:tc>
        <w:tc>
          <w:tcPr>
            <w:tcW w:type="dxa" w:w="2256"/>
            <w:vAlign w:val="center"/>
          </w:tcPr>
          <w:p>
            <w:pPr>
              <w:spacing w:line="276" w:lineRule="auto" w:before="40" w:after="40"/>
              <w:jc w:val="left"/>
            </w:pPr>
            <w:r>
              <w:rPr>
                <w:rFonts w:ascii="Times New Roman" w:hAnsi="Times New Roman"/>
                <w:sz w:val="21"/>
              </w:rPr>
              <w:t>Free (Open-Source MIT)</w:t>
            </w:r>
          </w:p>
        </w:tc>
      </w:tr>
      <w:tr>
        <w:tc>
          <w:tcPr>
            <w:tcW w:type="dxa" w:w="2256"/>
            <w:vAlign w:val="center"/>
          </w:tcPr>
          <w:p>
            <w:pPr>
              <w:spacing w:line="276" w:lineRule="auto" w:before="40" w:after="40"/>
              <w:jc w:val="center"/>
            </w:pPr>
            <w:r>
              <w:rPr>
                <w:rFonts w:ascii="Times New Roman" w:hAnsi="Times New Roman"/>
                <w:sz w:val="21"/>
              </w:rPr>
              <w:t>Data Visualization</w:t>
            </w:r>
          </w:p>
        </w:tc>
        <w:tc>
          <w:tcPr>
            <w:tcW w:type="dxa" w:w="2256"/>
            <w:vAlign w:val="center"/>
          </w:tcPr>
          <w:p>
            <w:pPr>
              <w:spacing w:line="276" w:lineRule="auto" w:before="40" w:after="40"/>
              <w:jc w:val="left"/>
            </w:pPr>
            <w:r>
              <w:rPr>
                <w:rFonts w:ascii="Times New Roman" w:hAnsi="Times New Roman"/>
                <w:sz w:val="21"/>
              </w:rPr>
              <w:t>Recharts 2.12.7</w:t>
            </w:r>
          </w:p>
        </w:tc>
        <w:tc>
          <w:tcPr>
            <w:tcW w:type="dxa" w:w="2256"/>
            <w:vAlign w:val="center"/>
          </w:tcPr>
          <w:p>
            <w:pPr>
              <w:spacing w:line="276" w:lineRule="auto" w:before="40" w:after="40"/>
              <w:jc w:val="left"/>
            </w:pPr>
            <w:r>
              <w:rPr>
                <w:rFonts w:ascii="Times New Roman" w:hAnsi="Times New Roman"/>
                <w:sz w:val="21"/>
              </w:rPr>
              <w:t>Dynamic SVG charting components for web client</w:t>
            </w:r>
          </w:p>
        </w:tc>
        <w:tc>
          <w:tcPr>
            <w:tcW w:type="dxa" w:w="2256"/>
            <w:vAlign w:val="center"/>
          </w:tcPr>
          <w:p>
            <w:pPr>
              <w:spacing w:line="276" w:lineRule="auto" w:before="40" w:after="40"/>
              <w:jc w:val="left"/>
            </w:pPr>
            <w:r>
              <w:rPr>
                <w:rFonts w:ascii="Times New Roman" w:hAnsi="Times New Roman"/>
                <w:sz w:val="21"/>
              </w:rPr>
              <w:t>Free (Open-Source MIT)</w:t>
            </w:r>
          </w:p>
        </w:tc>
      </w:tr>
      <w:tr>
        <w:tc>
          <w:tcPr>
            <w:tcW w:type="dxa" w:w="2256"/>
            <w:vAlign w:val="center"/>
          </w:tcPr>
          <w:p>
            <w:pPr>
              <w:spacing w:line="276" w:lineRule="auto" w:before="40" w:after="40"/>
              <w:jc w:val="center"/>
            </w:pPr>
            <w:r>
              <w:rPr>
                <w:rFonts w:ascii="Times New Roman" w:hAnsi="Times New Roman"/>
                <w:sz w:val="21"/>
              </w:rPr>
              <w:t>Development Platform</w:t>
            </w:r>
          </w:p>
        </w:tc>
        <w:tc>
          <w:tcPr>
            <w:tcW w:type="dxa" w:w="2256"/>
            <w:vAlign w:val="center"/>
          </w:tcPr>
          <w:p>
            <w:pPr>
              <w:spacing w:line="276" w:lineRule="auto" w:before="40" w:after="40"/>
              <w:jc w:val="left"/>
            </w:pPr>
            <w:r>
              <w:rPr>
                <w:rFonts w:ascii="Times New Roman" w:hAnsi="Times New Roman"/>
                <w:sz w:val="21"/>
              </w:rPr>
              <w:t>Visual Studio Code</w:t>
            </w:r>
          </w:p>
        </w:tc>
        <w:tc>
          <w:tcPr>
            <w:tcW w:type="dxa" w:w="2256"/>
            <w:vAlign w:val="center"/>
          </w:tcPr>
          <w:p>
            <w:pPr>
              <w:spacing w:line="276" w:lineRule="auto" w:before="40" w:after="40"/>
              <w:jc w:val="left"/>
            </w:pPr>
            <w:r>
              <w:rPr>
                <w:rFonts w:ascii="Times New Roman" w:hAnsi="Times New Roman"/>
                <w:sz w:val="21"/>
              </w:rPr>
              <w:t>Source code development and debugging environment</w:t>
            </w:r>
          </w:p>
        </w:tc>
        <w:tc>
          <w:tcPr>
            <w:tcW w:type="dxa" w:w="2256"/>
            <w:vAlign w:val="center"/>
          </w:tcPr>
          <w:p>
            <w:pPr>
              <w:spacing w:line="276" w:lineRule="auto" w:before="40" w:after="40"/>
              <w:jc w:val="left"/>
            </w:pPr>
            <w:r>
              <w:rPr>
                <w:rFonts w:ascii="Times New Roman" w:hAnsi="Times New Roman"/>
                <w:sz w:val="21"/>
              </w:rPr>
              <w:t>Free (Open-Source)</w:t>
            </w:r>
          </w:p>
        </w:tc>
      </w:tr>
    </w:tbl>
    <w:p>
      <w:pPr>
        <w:spacing w:line="276" w:lineRule="auto" w:before="120" w:after="240"/>
        <w:ind w:firstLine="0"/>
        <w:jc w:val="center"/>
      </w:pPr>
      <w:r>
        <w:rPr>
          <w:rFonts w:ascii="Times New Roman" w:hAnsi="Times New Roman"/>
          <w:b/>
          <w:sz w:val="22"/>
        </w:rPr>
        <w:t>Table 14: Software Inventory and Computational Resources (Bill of Materials)</w:t>
      </w:r>
    </w:p>
    <w:p>
      <w:pPr>
        <w:spacing w:before="280" w:after="120"/>
        <w:jc w:val="left"/>
      </w:pPr>
      <w:r>
        <w:rPr>
          <w:rFonts w:ascii="Times New Roman" w:hAnsi="Times New Roman"/>
          <w:b/>
          <w:sz w:val="26"/>
        </w:rPr>
        <w:t>II. WORK CONTRIBUTION</w:t>
      </w:r>
    </w:p>
    <w:p>
      <w:pPr>
        <w:spacing w:line="360" w:lineRule="auto" w:before="0" w:after="120"/>
        <w:ind w:firstLine="720"/>
        <w:jc w:val="both"/>
      </w:pPr>
      <w:r>
        <w:rPr>
          <w:rFonts w:ascii="Times New Roman" w:hAnsi="Times New Roman"/>
          <w:sz w:val="26"/>
        </w:rPr>
        <w:t>The Academic Intelligence Platform was conceptualized, engineered, and evaluated through collaborative teamwork. The distinct technical contributions and architectural leadership of each student team member are documented below.</w:t>
      </w:r>
    </w:p>
    <w:p>
      <w:pPr>
        <w:spacing w:before="160" w:after="40"/>
        <w:ind w:firstLine="0"/>
        <w:jc w:val="left"/>
      </w:pPr>
      <w:r>
        <w:rPr>
          <w:rFonts w:ascii="Times New Roman" w:hAnsi="Times New Roman"/>
          <w:b/>
          <w:sz w:val="25"/>
        </w:rPr>
        <w:t>LOGITHKUMAR K R (7376231CD124) — Frontend Architecture, Visualization Engine &amp; Ingestion Pipeline Lead:</w:t>
      </w:r>
    </w:p>
    <w:p>
      <w:pPr>
        <w:spacing w:line="360" w:lineRule="auto" w:before="0" w:after="120"/>
        <w:ind w:firstLine="720"/>
        <w:jc w:val="both"/>
      </w:pPr>
      <w:r>
        <w:rPr>
          <w:rFonts w:ascii="Times New Roman" w:hAnsi="Times New Roman"/>
          <w:sz w:val="26"/>
        </w:rPr>
        <w:t>Led the design and development of the React 19 web application architecture, including the dynamic single-page routing, state management, and modern component design. Architected and implemented the entire dynamic visualization layer comprising twelve reusable Recharts components (Bar, Line, Area, Pie, Radar, Scatter, Stacked Bar, Horizontal Bar) within components/charts/. Engineered client-side vector (SVG), raster (PNG), and data (CSV) export capabilities in chartExport.js and established accessible, publication-grade color palettes in colorSystem.js. Collaborated on the data ingestion pipeline (data_service.py) for departmental Excel workbook traversal and header detection.</w:t>
      </w:r>
    </w:p>
    <w:p>
      <w:pPr>
        <w:spacing w:before="160" w:after="40"/>
        <w:ind w:firstLine="0"/>
        <w:jc w:val="left"/>
      </w:pPr>
      <w:r>
        <w:rPr>
          <w:rFonts w:ascii="Times New Roman" w:hAnsi="Times New Roman"/>
          <w:b/>
          <w:sz w:val="25"/>
        </w:rPr>
        <w:t>RAMESH S (7376231CD141) — Machine Learning Risk Engine, Conversational AI &amp; Backend Integration Lead:</w:t>
      </w:r>
    </w:p>
    <w:p>
      <w:pPr>
        <w:spacing w:line="360" w:lineRule="auto" w:before="0" w:after="120"/>
        <w:ind w:firstLine="720"/>
        <w:jc w:val="both"/>
      </w:pPr>
      <w:r>
        <w:rPr>
          <w:rFonts w:ascii="Times New Roman" w:hAnsi="Times New Roman"/>
          <w:sz w:val="26"/>
        </w:rPr>
        <w:t>Led the mathematical formulation, training, and deployment of the XGBoost failure risk prediction engine in model_service.py. Engineered continuous internal assessment feature normalization algorithms across 40, 50, and 60 mark rubrics, implementing calibrated failure probability estimation and automated faculty intervention generation. Architected the conversational AI service (ai_service.py) and query audit logger (logger_service.py), engineering the rule-based zero-token local intent router, the Groq LLM query planner, and the multi-key/multi-model failover manager. Developed the FastAPI backend REST routes and conducted end-to-end integration and performance verification.</w:t>
      </w:r>
    </w:p>
    <w:p>
      <w:r>
        <w:br w:type="page"/>
      </w:r>
    </w:p>
    <w:p w14:paraId="4376A35F">
      <w:pPr>
        <w:pStyle w:val="style0"/>
        <w:spacing w:before="240" w:after="120" w:lineRule="auto" w:line="360"/>
        <w:rPr/>
      </w:pPr>
      <w:r>
        <w:rPr>
          <w:b/>
          <w:bCs/>
          <w:sz w:val="26"/>
          <w:szCs w:val="26"/>
        </w:rPr>
        <w:t>III. PLAGIARISM REPORT</w:t>
      </w:r>
    </w:p>
    <w:p w14:paraId="39663961">
      <w:pPr>
        <w:pStyle w:val="style0"/>
        <w:spacing w:after="160" w:lineRule="auto" w:line="360"/>
        <w:jc w:val="both"/>
        <w:rPr/>
      </w:pPr>
      <w:r>
        <w:rPr>
          <w:noProof/>
        </w:rPr>
        <w:drawing>
          <wp:inline distL="0" distT="0" distB="0" distR="0">
            <wp:extent cx="5731510" cy="3720465"/>
            <wp:effectExtent l="0" t="0" r="2540" b="0"/>
            <wp:docPr id="1035"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0" cstate="print"/>
                    <a:srcRect l="0" t="0" r="0" b="0"/>
                    <a:stretch/>
                  </pic:blipFill>
                  <pic:spPr>
                    <a:xfrm rot="0">
                      <a:off x="0" y="0"/>
                      <a:ext cx="5731510" cy="3720465"/>
                    </a:xfrm>
                    <a:prstGeom prst="rect"/>
                    <a:ln>
                      <a:noFill/>
                    </a:ln>
                  </pic:spPr>
                </pic:pic>
              </a:graphicData>
            </a:graphic>
          </wp:inline>
        </w:drawing>
      </w:r>
    </w:p>
    <w:p w14:paraId="21B422DF">
      <w:pPr>
        <w:pStyle w:val="style0"/>
        <w:spacing w:after="160" w:lineRule="auto" w:line="360"/>
        <w:jc w:val="both"/>
        <w:rPr/>
      </w:pPr>
      <w:r>
        <w:rPr>
          <w:noProof/>
        </w:rPr>
        <w:drawing>
          <wp:inline distL="0" distT="0" distB="0" distR="0">
            <wp:extent cx="5731510" cy="4475480"/>
            <wp:effectExtent l="0" t="0" r="2540" b="1270"/>
            <wp:docPr id="103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11" cstate="print"/>
                    <a:srcRect l="0" t="0" r="0" b="0"/>
                    <a:stretch/>
                  </pic:blipFill>
                  <pic:spPr>
                    <a:xfrm rot="0">
                      <a:off x="0" y="0"/>
                      <a:ext cx="5731510" cy="4475480"/>
                    </a:xfrm>
                    <a:prstGeom prst="rect"/>
                    <a:ln>
                      <a:noFill/>
                    </a:ln>
                  </pic:spPr>
                </pic:pic>
              </a:graphicData>
            </a:graphic>
          </wp:inline>
        </w:drawing>
      </w:r>
    </w:p>
    <w:p w14:paraId="16AA7651">
      <w:pPr>
        <w:pStyle w:val="style0"/>
        <w:spacing w:after="160" w:lineRule="auto" w:line="360"/>
        <w:jc w:val="both"/>
        <w:rPr/>
      </w:pPr>
    </w:p>
    <w:p w14:paraId="2489C8D6">
      <w:pPr>
        <w:pStyle w:val="style0"/>
        <w:spacing w:after="160" w:lineRule="auto" w:line="360"/>
        <w:jc w:val="both"/>
        <w:rPr/>
      </w:pPr>
      <w:r>
        <w:rPr>
          <w:noProof/>
        </w:rPr>
        <w:drawing>
          <wp:inline distL="0" distT="0" distB="0" distR="0">
            <wp:extent cx="5731510" cy="4625975"/>
            <wp:effectExtent l="0" t="0" r="2540" b="3175"/>
            <wp:docPr id="103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6"/>
                    <pic:cNvPicPr/>
                  </pic:nvPicPr>
                  <pic:blipFill>
                    <a:blip r:embed="rId12" cstate="print"/>
                    <a:srcRect l="0" t="0" r="0" b="0"/>
                    <a:stretch/>
                  </pic:blipFill>
                  <pic:spPr>
                    <a:xfrm rot="0">
                      <a:off x="0" y="0"/>
                      <a:ext cx="5731510" cy="4625975"/>
                    </a:xfrm>
                    <a:prstGeom prst="rect"/>
                    <a:ln>
                      <a:noFill/>
                    </a:ln>
                  </pic:spPr>
                </pic:pic>
              </a:graphicData>
            </a:graphic>
          </wp:inline>
        </w:drawing>
      </w:r>
    </w:p>
    <w:p w14:paraId="54EA7130">
      <w:pPr>
        <w:pStyle w:val="style0"/>
        <w:spacing w:after="160" w:lineRule="auto" w:line="360"/>
        <w:jc w:val="both"/>
        <w:rPr/>
      </w:pPr>
    </w:p>
    <w:p w14:paraId="41052829">
      <w:pPr>
        <w:pStyle w:val="style0"/>
        <w:spacing w:after="160" w:lineRule="auto" w:line="360"/>
        <w:jc w:val="both"/>
        <w:rPr/>
      </w:pPr>
      <w:r>
        <w:rPr>
          <w:noProof/>
        </w:rPr>
        <w:drawing>
          <wp:inline distL="0" distT="0" distB="0" distR="0">
            <wp:extent cx="5731510" cy="2263775"/>
            <wp:effectExtent l="0" t="0" r="2540" b="3175"/>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8"/>
                    <pic:cNvPicPr/>
                  </pic:nvPicPr>
                  <pic:blipFill>
                    <a:blip r:embed="rId13" cstate="print"/>
                    <a:srcRect l="0" t="0" r="0" b="0"/>
                    <a:stretch/>
                  </pic:blipFill>
                  <pic:spPr>
                    <a:xfrm rot="0">
                      <a:off x="0" y="0"/>
                      <a:ext cx="5731510" cy="2263775"/>
                    </a:xfrm>
                    <a:prstGeom prst="rect"/>
                    <a:ln>
                      <a:noFill/>
                    </a:ln>
                  </pic:spPr>
                </pic:pic>
              </a:graphicData>
            </a:graphic>
          </wp:inline>
        </w:drawing>
      </w:r>
    </w:p>
    <w:p w14:paraId="7DE2920B">
      <w:pPr>
        <w:pStyle w:val="style0"/>
        <w:spacing w:after="160" w:lineRule="auto" w:line="360"/>
        <w:jc w:val="both"/>
        <w:rPr/>
      </w:pPr>
    </w:p>
    <w:p w14:paraId="7809B870">
      <w:pPr>
        <w:pStyle w:val="style0"/>
        <w:spacing w:after="160" w:lineRule="auto" w:line="360"/>
        <w:jc w:val="both"/>
        <w:rPr/>
      </w:pPr>
    </w:p>
    <w:sectPr>
      <w:footerReference w:type="default" r:id="rId14"/>
      <w:pgSz w:w="11906" w:h="16838" w:orient="portrait"/>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ork Sans">
    <w:altName w:val="Work Sans"/>
    <w:panose1 w:val="00000000000000000000"/>
    <w:charset w:val="00"/>
    <w:family w:val="auto"/>
    <w:pitch w:val="variable"/>
    <w:sig w:usb0="A00000FF" w:usb1="5000E07B" w:usb2="00000000" w:usb3="00000000" w:csb0="00000193"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01573CB">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14:paraId="6208204A">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B1F5E4">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14:paraId="55330FDB">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D0A3D8A"/>
    <w:lvl w:ilvl="0" w:tplc="40D6AB4E">
      <w:start w:val="1"/>
      <w:numFmt w:val="decimal"/>
      <w:lvlText w:val="%1."/>
      <w:lvlJc w:val="left"/>
      <w:pPr>
        <w:spacing w:after="120" w:lineRule="auto" w:line="360"/>
        <w:ind w:left="720" w:hanging="360"/>
      </w:pPr>
    </w:lvl>
    <w:lvl w:ilvl="1" w:tplc="47E0C836">
      <w:start w:val="1"/>
      <w:numFmt w:val="decimal"/>
      <w:lvlText w:val=""/>
      <w:lvlJc w:val="left"/>
      <w:pPr/>
    </w:lvl>
    <w:lvl w:ilvl="2" w:tplc="6BD8CE74">
      <w:start w:val="1"/>
      <w:numFmt w:val="decimal"/>
      <w:lvlText w:val=""/>
      <w:lvlJc w:val="left"/>
      <w:pPr/>
    </w:lvl>
    <w:lvl w:ilvl="3" w:tplc="CF9AE052">
      <w:start w:val="1"/>
      <w:numFmt w:val="decimal"/>
      <w:lvlText w:val=""/>
      <w:lvlJc w:val="left"/>
      <w:pPr/>
    </w:lvl>
    <w:lvl w:ilvl="4" w:tplc="54F48E66">
      <w:start w:val="1"/>
      <w:numFmt w:val="decimal"/>
      <w:lvlText w:val=""/>
      <w:lvlJc w:val="left"/>
      <w:pPr/>
    </w:lvl>
    <w:lvl w:ilvl="5" w:tplc="63F87B48">
      <w:start w:val="1"/>
      <w:numFmt w:val="decimal"/>
      <w:lvlText w:val=""/>
      <w:lvlJc w:val="left"/>
      <w:pPr/>
    </w:lvl>
    <w:lvl w:ilvl="6" w:tplc="15B2A538">
      <w:start w:val="1"/>
      <w:numFmt w:val="decimal"/>
      <w:lvlText w:val=""/>
      <w:lvlJc w:val="left"/>
      <w:pPr/>
    </w:lvl>
    <w:lvl w:ilvl="7" w:tplc="C3CE2FAE">
      <w:start w:val="1"/>
      <w:numFmt w:val="decimal"/>
      <w:lvlText w:val=""/>
      <w:lvlJc w:val="left"/>
      <w:pPr/>
    </w:lvl>
    <w:lvl w:ilvl="8" w:tplc="8CECDC4C">
      <w:start w:val="1"/>
      <w:numFmt w:val="decimal"/>
      <w:lvlText w:val=""/>
      <w:lvlJc w:val="left"/>
      <w:pPr/>
    </w:lvl>
  </w:abstractNum>
  <w:abstractNum w:abstractNumId="1">
    <w:nsid w:val="00000001"/>
    <w:multiLevelType w:val="hybridMultilevel"/>
    <w:tmpl w:val="C94855B8"/>
    <w:lvl w:ilvl="0" w:tplc="D30C0C3A">
      <w:start w:val="1"/>
      <w:numFmt w:val="bullet"/>
      <w:lvlText w:val="●"/>
      <w:lvlJc w:val="left"/>
      <w:pPr>
        <w:ind w:left="720" w:hanging="360"/>
      </w:pPr>
    </w:lvl>
    <w:lvl w:ilvl="1" w:tplc="7750AA28">
      <w:start w:val="1"/>
      <w:numFmt w:val="bullet"/>
      <w:lvlText w:val="○"/>
      <w:lvlJc w:val="left"/>
      <w:pPr>
        <w:ind w:left="1440" w:hanging="360"/>
      </w:pPr>
    </w:lvl>
    <w:lvl w:ilvl="2" w:tplc="6770CC26">
      <w:start w:val="1"/>
      <w:numFmt w:val="bullet"/>
      <w:lvlText w:val="■"/>
      <w:lvlJc w:val="left"/>
      <w:pPr>
        <w:ind w:left="2160" w:hanging="360"/>
      </w:pPr>
    </w:lvl>
    <w:lvl w:ilvl="3" w:tplc="50EA7B82">
      <w:start w:val="1"/>
      <w:numFmt w:val="bullet"/>
      <w:lvlText w:val="●"/>
      <w:lvlJc w:val="left"/>
      <w:pPr>
        <w:ind w:left="2880" w:hanging="360"/>
      </w:pPr>
    </w:lvl>
    <w:lvl w:ilvl="4" w:tplc="92D2ED4E">
      <w:start w:val="1"/>
      <w:numFmt w:val="bullet"/>
      <w:lvlText w:val="○"/>
      <w:lvlJc w:val="left"/>
      <w:pPr>
        <w:ind w:left="3600" w:hanging="360"/>
      </w:pPr>
    </w:lvl>
    <w:lvl w:ilvl="5" w:tplc="511E6D7E">
      <w:start w:val="1"/>
      <w:numFmt w:val="bullet"/>
      <w:lvlText w:val="■"/>
      <w:lvlJc w:val="left"/>
      <w:pPr>
        <w:ind w:left="4320" w:hanging="360"/>
      </w:pPr>
    </w:lvl>
    <w:lvl w:ilvl="6" w:tplc="07DCD4E4">
      <w:start w:val="1"/>
      <w:numFmt w:val="bullet"/>
      <w:lvlText w:val="●"/>
      <w:lvlJc w:val="left"/>
      <w:pPr>
        <w:ind w:left="5040" w:hanging="360"/>
      </w:pPr>
    </w:lvl>
    <w:lvl w:ilvl="7" w:tplc="CEB8071A">
      <w:start w:val="1"/>
      <w:numFmt w:val="bullet"/>
      <w:lvlText w:val="●"/>
      <w:lvlJc w:val="left"/>
      <w:pPr>
        <w:ind w:left="5760" w:hanging="360"/>
      </w:pPr>
    </w:lvl>
    <w:lvl w:ilvl="8" w:tplc="EED298CC">
      <w:start w:val="1"/>
      <w:numFmt w:val="bullet"/>
      <w:lvlText w:val="●"/>
      <w:lvlJc w:val="left"/>
      <w:pPr>
        <w:ind w:left="6480" w:hanging="360"/>
      </w:pPr>
    </w:lvl>
  </w:abstractNum>
  <w:abstractNum w:abstractNumId="2">
    <w:nsid w:val="00000002"/>
    <w:multiLevelType w:val="hybridMultilevel"/>
    <w:tmpl w:val="7FFC44B0"/>
    <w:lvl w:ilvl="0" w:tplc="8A5206D4">
      <w:start w:val="1"/>
      <w:numFmt w:val="bullet"/>
      <w:lvlText w:val="•"/>
      <w:lvlJc w:val="left"/>
      <w:pPr>
        <w:spacing w:after="120" w:lineRule="auto" w:line="360"/>
        <w:ind w:left="720" w:hanging="360"/>
      </w:pPr>
    </w:lvl>
    <w:lvl w:ilvl="1" w:tplc="6A885F12">
      <w:start w:val="1"/>
      <w:numFmt w:val="decimal"/>
      <w:lvlText w:val=""/>
      <w:lvlJc w:val="left"/>
      <w:pPr/>
    </w:lvl>
    <w:lvl w:ilvl="2" w:tplc="BB5C360A">
      <w:start w:val="1"/>
      <w:numFmt w:val="decimal"/>
      <w:lvlText w:val=""/>
      <w:lvlJc w:val="left"/>
      <w:pPr/>
    </w:lvl>
    <w:lvl w:ilvl="3" w:tplc="7616BC72">
      <w:start w:val="1"/>
      <w:numFmt w:val="decimal"/>
      <w:lvlText w:val=""/>
      <w:lvlJc w:val="left"/>
      <w:pPr/>
    </w:lvl>
    <w:lvl w:ilvl="4" w:tplc="110683E0">
      <w:start w:val="1"/>
      <w:numFmt w:val="decimal"/>
      <w:lvlText w:val=""/>
      <w:lvlJc w:val="left"/>
      <w:pPr/>
    </w:lvl>
    <w:lvl w:ilvl="5" w:tplc="A2B8DB8A">
      <w:start w:val="1"/>
      <w:numFmt w:val="decimal"/>
      <w:lvlText w:val=""/>
      <w:lvlJc w:val="left"/>
      <w:pPr/>
    </w:lvl>
    <w:lvl w:ilvl="6" w:tplc="E7E25F60">
      <w:start w:val="1"/>
      <w:numFmt w:val="decimal"/>
      <w:lvlText w:val=""/>
      <w:lvlJc w:val="left"/>
      <w:pPr/>
    </w:lvl>
    <w:lvl w:ilvl="7" w:tplc="71680DBE">
      <w:start w:val="1"/>
      <w:numFmt w:val="decimal"/>
      <w:lvlText w:val=""/>
      <w:lvlJc w:val="left"/>
      <w:pPr/>
    </w:lvl>
    <w:lvl w:ilvl="8" w:tplc="74C66F0C">
      <w:start w:val="1"/>
      <w:numFmt w:val="decimal"/>
      <w:lvlText w:val=""/>
      <w:lvlJc w:val="left"/>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tyle>
  <w:style w:type="character" w:customStyle="1" w:styleId="style4099">
    <w:name w:val="Endnote Text Char"/>
    <w:next w:val="style4099"/>
    <w:link w:val="style43"/>
    <w:uiPriority w:val="99"/>
    <w:rPr>
      <w:sz w:val="20"/>
      <w:szCs w:val="20"/>
    </w:rPr>
  </w:style>
  <w:style w:type="table" w:customStyle="1" w:styleId="style4100">
    <w:name w:val="Plain Table 3"/>
    <w:basedOn w:val="style105"/>
    <w:next w:val="style4100"/>
    <w:uiPriority w:val="43"/>
    <w:pPr/>
    <w:rPr/>
    <w:tblPr>
      <w:tblStyleRowBandSize w:val="1"/>
      <w:tblStyleColBandSize w:val="1"/>
    </w:tblPr>
    <w:tblStylePr w:type="firstRow">
      <w:pPr/>
      <w:rPr>
        <w:b/>
        <w:bCs/>
        <w:caps/>
      </w:rPr>
      <w:tblPr/>
      <w:tcPr>
        <w:tcBorders>
          <w:bottom w:val="single" w:sz="4" w:space="0" w:color="7f7f7f"/>
        </w:tcBorders>
      </w:tcPr>
    </w:tblStylePr>
    <w:tblStylePr w:type="lastRow">
      <w:pPr/>
      <w:rPr>
        <w:b/>
        <w:bCs/>
        <w:caps/>
      </w:rPr>
      <w:tblPr/>
      <w:tcPr>
        <w:tcBorders>
          <w:top w:val="nil"/>
        </w:tcBorders>
      </w:tcPr>
    </w:tblStylePr>
    <w:tblStylePr w:type="band1Horz">
      <w:pPr/>
      <w:tblPr/>
      <w:tcPr>
        <w:tcBorders/>
        <w:shd w:val="clear" w:color="auto" w:fill="f2f2f2"/>
      </w:tcPr>
    </w:tblStylePr>
    <w:tblStylePr w:type="firstCol">
      <w:pPr/>
      <w:rPr>
        <w:b/>
        <w:bCs/>
        <w:caps/>
      </w:rPr>
      <w:tblPr/>
      <w:tcPr>
        <w:tcBorders>
          <w:right w:val="single" w:sz="4" w:space="0" w:color="7f7f7f"/>
        </w:tcBorders>
      </w:tcPr>
    </w:tblStylePr>
    <w:tblStylePr w:type="lastCol">
      <w:pPr/>
      <w:rPr>
        <w:b/>
        <w:bCs/>
        <w:caps/>
      </w:rPr>
      <w:tblPr/>
      <w:tcPr>
        <w:tcBorders>
          <w:left w:val="nil"/>
        </w:tcBorders>
      </w:tcPr>
    </w:tblStylePr>
    <w:tblStylePr w:type="band1Vert">
      <w:pPr/>
      <w:tblPr/>
      <w:tcPr>
        <w:tcBorders/>
        <w:shd w:val="clear" w:color="auto" w:fill="f2f2f2"/>
      </w:tcPr>
    </w:tblStylePr>
    <w:tblStylePr w:type="neCell">
      <w:pPr/>
      <w:tblPr/>
      <w:tcPr>
        <w:tcBorders>
          <w:left w:val="nil"/>
        </w:tcBorders>
      </w:tcPr>
    </w:tblStylePr>
    <w:tblStylePr w:type="nwCell">
      <w:pPr/>
      <w:tblPr/>
      <w:tcPr>
        <w:tcBorders>
          <w:right w:val="nil"/>
        </w:tcBorders>
      </w:tcPr>
    </w:tblStylePr>
    <w:tcPr>
      <w:tcBorders/>
    </w:tcPr>
  </w:style>
  <w:style w:type="table" w:customStyle="1" w:styleId="style4101">
    <w:name w:val="Grid Table Light"/>
    <w:basedOn w:val="style105"/>
    <w:next w:val="style4101"/>
    <w:uiPriority w:val="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paragraph" w:styleId="style94">
    <w:name w:val="Normal (Web)"/>
    <w:basedOn w:val="style0"/>
    <w:next w:val="style94"/>
    <w:uiPriority w:val="99"/>
    <w:pPr/>
    <w:rPr>
      <w:sz w:val="24"/>
      <w:szCs w:val="24"/>
    </w:rPr>
  </w:style>
  <w:style w:type="paragraph" w:styleId="style31">
    <w:name w:val="header"/>
    <w:basedOn w:val="style0"/>
    <w:next w:val="style31"/>
    <w:link w:val="style4102"/>
    <w:uiPriority w:val="99"/>
    <w:pPr>
      <w:tabs>
        <w:tab w:val="center" w:leader="none" w:pos="4513"/>
        <w:tab w:val="right" w:leader="none" w:pos="9026"/>
      </w:tabs>
    </w:pPr>
    <w:rPr/>
  </w:style>
  <w:style w:type="character" w:customStyle="1" w:styleId="style4102">
    <w:name w:val="Header Char_6688ca1d-6e05-4368-a90d-5f548e9268c0"/>
    <w:basedOn w:val="style65"/>
    <w:next w:val="style4102"/>
    <w:link w:val="style31"/>
    <w:uiPriority w:val="99"/>
  </w:style>
  <w:style w:type="paragraph" w:styleId="style32">
    <w:name w:val="footer"/>
    <w:basedOn w:val="style0"/>
    <w:next w:val="style32"/>
    <w:link w:val="style4103"/>
    <w:uiPriority w:val="99"/>
    <w:pPr>
      <w:tabs>
        <w:tab w:val="center" w:leader="none" w:pos="4513"/>
        <w:tab w:val="right" w:leader="none" w:pos="9026"/>
      </w:tabs>
    </w:pPr>
    <w:rPr/>
  </w:style>
  <w:style w:type="character" w:customStyle="1" w:styleId="style4103">
    <w:name w:val="Footer Char_7b4be21f-f90c-4f36-b947-6b980bf24359"/>
    <w:basedOn w:val="style65"/>
    <w:next w:val="style4103"/>
    <w:link w:val="style32"/>
    <w:uiPriority w:val="99"/>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jpeg"/><Relationship Id="rId9" Type="http://schemas.openxmlformats.org/officeDocument/2006/relationships/image" Target="media/image4.jpeg"/><Relationship Id="rId15" Type="http://schemas.openxmlformats.org/officeDocument/2006/relationships/styles" Target="styles.xml"/><Relationship Id="rId14" Type="http://schemas.openxmlformats.org/officeDocument/2006/relationships/footer" Target="footer2.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2.png"/><Relationship Id="rId6" Type="http://schemas.openxmlformats.org/officeDocument/2006/relationships/image" Target="media/image3.png"/><Relationship Id="rId18" Type="http://schemas.openxmlformats.org/officeDocument/2006/relationships/theme" Target="theme/theme1.xml"/><Relationship Id="rId7" Type="http://schemas.openxmlformats.org/officeDocument/2006/relationships/image" Target="media/image3.jpeg"/><Relationship Id="rId8"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Words>13159</Words>
  <Pages>62</Pages>
  <Characters>82064</Characters>
  <Application>WPS Office</Application>
  <DocSecurity>0</DocSecurity>
  <Paragraphs>984</Paragraphs>
  <ScaleCrop>false</ScaleCrop>
  <LinksUpToDate>false</LinksUpToDate>
  <CharactersWithSpaces>94572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2026-04-06T08:33:00Z</dcterms:created>
  <dc:creator>Un-named</dc:creator>
  <lastModifiedBy>RMX5030</lastModifiedBy>
  <dcterms:modified xsi:type="dcterms:W3CDTF">2026-10-21T22:00:42Z</dcterms:modified>
  <revision>42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c085b52d35a94b2faba223b3b98ac183_23</vt:lpwstr>
  </property>
</Properties>
</file>