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926"/>
        <w:tblW w:w="8365" w:type="dxa"/>
        <w:jc w:val="center"/>
        <w:tblLayout w:type="fixed"/>
        <w:tblLook w:val="0000" w:firstRow="0" w:lastRow="0" w:firstColumn="0" w:lastColumn="0" w:noHBand="0" w:noVBand="0"/>
      </w:tblPr>
      <w:tblGrid>
        <w:gridCol w:w="2410"/>
        <w:gridCol w:w="5955"/>
      </w:tblGrid>
      <w:tr w:rsidR="001B4FBE" w14:paraId="23951732" w14:textId="77777777" w:rsidTr="00E46B74">
        <w:trPr>
          <w:trHeight w:val="1700"/>
        </w:trPr>
        <w:tc>
          <w:tcPr>
            <w:tcW w:w="8365" w:type="dxa"/>
            <w:gridSpan w:val="2"/>
          </w:tcPr>
          <w:p w14:paraId="7329BF19" w14:textId="1A6D0004" w:rsidR="001B4FBE" w:rsidRDefault="001B4FBE" w:rsidP="00E46B74">
            <w:pPr>
              <w:pStyle w:val="Default"/>
              <w:spacing w:before="260" w:after="260"/>
              <w:jc w:val="center"/>
              <w:rPr>
                <w:sz w:val="32"/>
                <w:szCs w:val="32"/>
              </w:rPr>
            </w:pPr>
            <w:r>
              <w:br w:type="page"/>
            </w:r>
            <w:r w:rsidR="004A748E" w:rsidRPr="00F30CCD">
              <w:rPr>
                <w:noProof/>
                <w:color w:val="auto"/>
              </w:rPr>
              <w:drawing>
                <wp:inline distT="0" distB="0" distL="0" distR="0" wp14:anchorId="068BDF68" wp14:editId="000D5470">
                  <wp:extent cx="3276600" cy="1043940"/>
                  <wp:effectExtent l="0" t="0" r="0" b="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1B4FBE" w14:paraId="3F32FAE8" w14:textId="77777777" w:rsidTr="00E46B74">
        <w:trPr>
          <w:trHeight w:val="1532"/>
        </w:trPr>
        <w:tc>
          <w:tcPr>
            <w:tcW w:w="8365" w:type="dxa"/>
            <w:gridSpan w:val="2"/>
          </w:tcPr>
          <w:p w14:paraId="29A7AF69" w14:textId="77777777" w:rsidR="001B4FBE" w:rsidRPr="007622D0" w:rsidRDefault="001B4FBE" w:rsidP="00E46B74">
            <w:pPr>
              <w:pStyle w:val="Default"/>
              <w:spacing w:line="626" w:lineRule="atLeast"/>
              <w:jc w:val="center"/>
              <w:rPr>
                <w:rFonts w:eastAsia="楷体_GB2312"/>
                <w:sz w:val="40"/>
                <w:szCs w:val="40"/>
              </w:rPr>
            </w:pPr>
            <w:r w:rsidRPr="007622D0">
              <w:rPr>
                <w:rFonts w:eastAsia="楷体_GB2312"/>
                <w:sz w:val="40"/>
                <w:szCs w:val="40"/>
              </w:rPr>
              <w:t>《</w:t>
            </w:r>
            <w:r>
              <w:rPr>
                <w:rFonts w:eastAsia="楷体" w:hint="eastAsia"/>
                <w:color w:val="auto"/>
                <w:sz w:val="56"/>
                <w:szCs w:val="56"/>
              </w:rPr>
              <w:t>嵌入式系统原理及应用</w:t>
            </w:r>
            <w:r w:rsidRPr="007622D0">
              <w:rPr>
                <w:rFonts w:eastAsia="楷体_GB2312"/>
                <w:sz w:val="40"/>
                <w:szCs w:val="40"/>
              </w:rPr>
              <w:t>》</w:t>
            </w:r>
          </w:p>
          <w:p w14:paraId="2101053F" w14:textId="77777777" w:rsidR="001B4FBE" w:rsidRDefault="001B4FBE" w:rsidP="00E46B74">
            <w:pPr>
              <w:pStyle w:val="Default"/>
              <w:spacing w:before="260" w:after="260"/>
              <w:jc w:val="center"/>
              <w:rPr>
                <w:rFonts w:eastAsia="楷体_GB2312"/>
                <w:sz w:val="36"/>
                <w:szCs w:val="36"/>
              </w:rPr>
            </w:pPr>
            <w:r w:rsidRPr="007622D0">
              <w:rPr>
                <w:rFonts w:eastAsia="楷体"/>
                <w:color w:val="auto"/>
                <w:sz w:val="32"/>
                <w:szCs w:val="32"/>
              </w:rPr>
              <w:t>Microcontroller and Interface Technique</w:t>
            </w:r>
          </w:p>
        </w:tc>
      </w:tr>
      <w:tr w:rsidR="001B4FBE" w14:paraId="55BA77CD" w14:textId="77777777" w:rsidTr="00E46B74">
        <w:trPr>
          <w:trHeight w:val="495"/>
        </w:trPr>
        <w:tc>
          <w:tcPr>
            <w:tcW w:w="8365" w:type="dxa"/>
            <w:gridSpan w:val="2"/>
          </w:tcPr>
          <w:p w14:paraId="21D078E4" w14:textId="77777777" w:rsidR="001B4FBE" w:rsidRDefault="001B4FBE" w:rsidP="00E46B74">
            <w:pPr>
              <w:pStyle w:val="Default"/>
              <w:spacing w:before="260" w:after="260"/>
              <w:jc w:val="center"/>
              <w:rPr>
                <w:rFonts w:eastAsia="楷体_GB2312"/>
                <w:sz w:val="44"/>
                <w:szCs w:val="44"/>
              </w:rPr>
            </w:pPr>
            <w:r w:rsidRPr="005F7040">
              <w:rPr>
                <w:rFonts w:eastAsia="楷体"/>
                <w:color w:val="auto"/>
                <w:sz w:val="48"/>
                <w:szCs w:val="48"/>
              </w:rPr>
              <w:t>研究</w:t>
            </w:r>
            <w:r>
              <w:rPr>
                <w:rFonts w:eastAsia="楷体" w:hint="eastAsia"/>
                <w:color w:val="auto"/>
                <w:sz w:val="48"/>
                <w:szCs w:val="48"/>
              </w:rPr>
              <w:t>性</w:t>
            </w:r>
            <w:r w:rsidRPr="005F7040">
              <w:rPr>
                <w:rFonts w:eastAsia="楷体" w:hint="eastAsia"/>
                <w:color w:val="auto"/>
                <w:sz w:val="48"/>
                <w:szCs w:val="48"/>
              </w:rPr>
              <w:t>专题设计</w:t>
            </w:r>
            <w:r w:rsidRPr="005F7040">
              <w:rPr>
                <w:rFonts w:eastAsia="楷体"/>
                <w:color w:val="auto"/>
                <w:sz w:val="48"/>
                <w:szCs w:val="48"/>
              </w:rPr>
              <w:t>报告</w:t>
            </w:r>
          </w:p>
        </w:tc>
      </w:tr>
      <w:tr w:rsidR="001B4FBE" w14:paraId="1B7EBF42" w14:textId="77777777" w:rsidTr="00E46B74">
        <w:trPr>
          <w:trHeight w:val="187"/>
        </w:trPr>
        <w:tc>
          <w:tcPr>
            <w:tcW w:w="2410" w:type="dxa"/>
          </w:tcPr>
          <w:p w14:paraId="6D92DD6B" w14:textId="77777777" w:rsidR="001B4FBE" w:rsidRDefault="001B4FBE" w:rsidP="00E46B74">
            <w:pPr>
              <w:pStyle w:val="Default"/>
              <w:spacing w:line="360" w:lineRule="auto"/>
              <w:jc w:val="right"/>
              <w:rPr>
                <w:rFonts w:eastAsia="楷体"/>
                <w:color w:val="auto"/>
                <w:sz w:val="30"/>
                <w:szCs w:val="30"/>
              </w:rPr>
            </w:pPr>
          </w:p>
        </w:tc>
        <w:tc>
          <w:tcPr>
            <w:tcW w:w="5955" w:type="dxa"/>
          </w:tcPr>
          <w:p w14:paraId="36454BEE" w14:textId="77777777" w:rsidR="001B4FBE" w:rsidRDefault="001B4FBE" w:rsidP="00E46B74">
            <w:pPr>
              <w:pStyle w:val="Default"/>
              <w:spacing w:line="360" w:lineRule="auto"/>
              <w:jc w:val="both"/>
              <w:rPr>
                <w:rFonts w:eastAsia="华文仿宋"/>
                <w:color w:val="auto"/>
                <w:sz w:val="30"/>
                <w:szCs w:val="30"/>
              </w:rPr>
            </w:pPr>
          </w:p>
        </w:tc>
      </w:tr>
      <w:tr w:rsidR="001B4FBE" w14:paraId="4A994928" w14:textId="77777777" w:rsidTr="00E46B74">
        <w:trPr>
          <w:trHeight w:val="510"/>
        </w:trPr>
        <w:tc>
          <w:tcPr>
            <w:tcW w:w="2410" w:type="dxa"/>
          </w:tcPr>
          <w:p w14:paraId="687BF9A0" w14:textId="77777777" w:rsidR="001B4FBE" w:rsidRDefault="001B4FBE" w:rsidP="00E46B74">
            <w:pPr>
              <w:pStyle w:val="Default"/>
              <w:spacing w:line="360" w:lineRule="auto"/>
              <w:jc w:val="right"/>
              <w:rPr>
                <w:rFonts w:eastAsia="楷体"/>
                <w:color w:val="auto"/>
                <w:sz w:val="30"/>
                <w:szCs w:val="30"/>
              </w:rPr>
            </w:pPr>
            <w:r>
              <w:rPr>
                <w:rFonts w:eastAsia="楷体"/>
                <w:color w:val="auto"/>
                <w:sz w:val="30"/>
                <w:szCs w:val="30"/>
              </w:rPr>
              <w:t xml:space="preserve">  </w:t>
            </w:r>
            <w:r>
              <w:rPr>
                <w:rFonts w:eastAsia="楷体"/>
                <w:color w:val="auto"/>
                <w:sz w:val="30"/>
                <w:szCs w:val="30"/>
              </w:rPr>
              <w:t>专题名称：</w:t>
            </w:r>
          </w:p>
        </w:tc>
        <w:tc>
          <w:tcPr>
            <w:tcW w:w="5955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基于 STM32F103 的智能小车感知与闭环控制系统设计</w:t>
            </w:r>
          </w:p>
        </w:tc>
      </w:tr>
      <w:tr w:rsidR="001B4FBE" w14:paraId="130FF65C" w14:textId="77777777" w:rsidTr="00E46B74">
        <w:trPr>
          <w:trHeight w:val="510"/>
        </w:trPr>
        <w:tc>
          <w:tcPr>
            <w:tcW w:w="2410" w:type="dxa"/>
          </w:tcPr>
          <w:p w14:paraId="75984DC8" w14:textId="77777777" w:rsidR="001B4FBE" w:rsidRDefault="001B4FBE" w:rsidP="00E46B74">
            <w:pPr>
              <w:pStyle w:val="Default"/>
              <w:spacing w:line="360" w:lineRule="auto"/>
              <w:jc w:val="right"/>
              <w:rPr>
                <w:rFonts w:eastAsia="楷体"/>
                <w:color w:val="auto"/>
                <w:sz w:val="30"/>
                <w:szCs w:val="30"/>
              </w:rPr>
            </w:pPr>
            <w:r>
              <w:rPr>
                <w:rFonts w:eastAsia="楷体"/>
                <w:color w:val="auto"/>
                <w:sz w:val="30"/>
                <w:szCs w:val="30"/>
              </w:rPr>
              <w:t>授课时间：</w:t>
            </w:r>
          </w:p>
        </w:tc>
        <w:tc>
          <w:tcPr>
            <w:tcW w:w="5955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2025-2026学年第二学期</w:t>
            </w:r>
          </w:p>
        </w:tc>
      </w:tr>
      <w:tr w:rsidR="001B4FBE" w14:paraId="5756D7B6" w14:textId="77777777" w:rsidTr="00E46B74">
        <w:trPr>
          <w:trHeight w:val="510"/>
        </w:trPr>
        <w:tc>
          <w:tcPr>
            <w:tcW w:w="2410" w:type="dxa"/>
          </w:tcPr>
          <w:p w14:paraId="666ADC18" w14:textId="77777777" w:rsidR="001B4FBE" w:rsidRDefault="001B4FBE" w:rsidP="00E46B74">
            <w:pPr>
              <w:pStyle w:val="Default"/>
              <w:spacing w:line="360" w:lineRule="auto"/>
              <w:jc w:val="right"/>
              <w:rPr>
                <w:rFonts w:eastAsia="楷体"/>
                <w:color w:val="auto"/>
                <w:sz w:val="30"/>
                <w:szCs w:val="30"/>
              </w:rPr>
            </w:pPr>
            <w:r>
              <w:rPr>
                <w:rFonts w:eastAsia="楷体"/>
                <w:color w:val="auto"/>
                <w:sz w:val="30"/>
                <w:szCs w:val="30"/>
              </w:rPr>
              <w:t>班</w:t>
            </w:r>
            <w:r>
              <w:rPr>
                <w:rFonts w:eastAsia="楷体" w:hint="eastAsia"/>
                <w:color w:val="auto"/>
                <w:sz w:val="30"/>
                <w:szCs w:val="30"/>
              </w:rPr>
              <w:t xml:space="preserve"> </w:t>
            </w:r>
            <w:r>
              <w:rPr>
                <w:rFonts w:eastAsia="楷体"/>
                <w:color w:val="auto"/>
                <w:sz w:val="30"/>
                <w:szCs w:val="30"/>
              </w:rPr>
              <w:t xml:space="preserve">   </w:t>
            </w:r>
            <w:r>
              <w:rPr>
                <w:rFonts w:eastAsia="楷体"/>
                <w:color w:val="auto"/>
                <w:sz w:val="30"/>
                <w:szCs w:val="30"/>
              </w:rPr>
              <w:t>级</w:t>
            </w:r>
            <w:r>
              <w:rPr>
                <w:rFonts w:eastAsia="楷体" w:hint="eastAsia"/>
                <w:color w:val="auto"/>
                <w:sz w:val="30"/>
                <w:szCs w:val="30"/>
              </w:rPr>
              <w:t>：</w:t>
            </w:r>
          </w:p>
        </w:tc>
        <w:tc>
          <w:tcPr>
            <w:tcW w:w="5955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机械电子工程专业</w:t>
            </w:r>
          </w:p>
        </w:tc>
      </w:tr>
      <w:tr w:rsidR="001B4FBE" w14:paraId="5BC1B270" w14:textId="77777777" w:rsidTr="00E46B74">
        <w:trPr>
          <w:trHeight w:val="510"/>
        </w:trPr>
        <w:tc>
          <w:tcPr>
            <w:tcW w:w="2410" w:type="dxa"/>
          </w:tcPr>
          <w:p w14:paraId="399E3556" w14:textId="77777777" w:rsidR="001B4FBE" w:rsidRDefault="001B4FBE" w:rsidP="00E46B74">
            <w:pPr>
              <w:pStyle w:val="Default"/>
              <w:spacing w:line="360" w:lineRule="auto"/>
              <w:jc w:val="right"/>
              <w:rPr>
                <w:rFonts w:eastAsia="楷体"/>
                <w:color w:val="auto"/>
                <w:sz w:val="30"/>
                <w:szCs w:val="30"/>
              </w:rPr>
            </w:pPr>
            <w:r>
              <w:rPr>
                <w:rFonts w:eastAsia="楷体" w:hint="eastAsia"/>
                <w:color w:val="auto"/>
                <w:sz w:val="30"/>
                <w:szCs w:val="30"/>
              </w:rPr>
              <w:t>设</w:t>
            </w:r>
            <w:r>
              <w:rPr>
                <w:rFonts w:eastAsia="楷体" w:hint="eastAsia"/>
                <w:color w:val="auto"/>
                <w:sz w:val="30"/>
                <w:szCs w:val="30"/>
              </w:rPr>
              <w:t xml:space="preserve"> </w:t>
            </w:r>
            <w:r>
              <w:rPr>
                <w:rFonts w:eastAsia="楷体" w:hint="eastAsia"/>
                <w:color w:val="auto"/>
                <w:sz w:val="30"/>
                <w:szCs w:val="30"/>
              </w:rPr>
              <w:t>计</w:t>
            </w:r>
            <w:r>
              <w:rPr>
                <w:rFonts w:eastAsia="楷体" w:hint="eastAsia"/>
                <w:color w:val="auto"/>
                <w:sz w:val="30"/>
                <w:szCs w:val="30"/>
              </w:rPr>
              <w:t xml:space="preserve"> </w:t>
            </w:r>
            <w:r>
              <w:rPr>
                <w:rFonts w:eastAsia="楷体" w:hint="eastAsia"/>
                <w:color w:val="auto"/>
                <w:sz w:val="30"/>
                <w:szCs w:val="30"/>
              </w:rPr>
              <w:t>者</w:t>
            </w:r>
            <w:r>
              <w:rPr>
                <w:rFonts w:eastAsia="楷体"/>
                <w:color w:val="auto"/>
                <w:sz w:val="30"/>
                <w:szCs w:val="30"/>
              </w:rPr>
              <w:t>：</w:t>
            </w:r>
          </w:p>
        </w:tc>
        <w:tc>
          <w:tcPr>
            <w:tcW w:w="5955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小组成员：请填写姓名、学号</w:t>
            </w:r>
          </w:p>
        </w:tc>
      </w:tr>
      <w:tr w:rsidR="001B4FBE" w14:paraId="79B4DBD6" w14:textId="77777777" w:rsidTr="00E46B74">
        <w:trPr>
          <w:trHeight w:val="510"/>
        </w:trPr>
        <w:tc>
          <w:tcPr>
            <w:tcW w:w="2410" w:type="dxa"/>
          </w:tcPr>
          <w:p w14:paraId="30E74B2E" w14:textId="77777777" w:rsidR="001B4FBE" w:rsidRDefault="001B4FBE" w:rsidP="00E46B74">
            <w:pPr>
              <w:pStyle w:val="Default"/>
              <w:spacing w:line="360" w:lineRule="auto"/>
              <w:jc w:val="right"/>
              <w:rPr>
                <w:rFonts w:eastAsia="楷体"/>
                <w:color w:val="auto"/>
                <w:sz w:val="30"/>
                <w:szCs w:val="30"/>
              </w:rPr>
            </w:pPr>
            <w:r>
              <w:rPr>
                <w:rFonts w:eastAsia="楷体" w:hint="eastAsia"/>
                <w:color w:val="auto"/>
                <w:sz w:val="30"/>
                <w:szCs w:val="30"/>
              </w:rPr>
              <w:t>指导教师</w:t>
            </w:r>
            <w:r>
              <w:rPr>
                <w:rFonts w:eastAsia="楷体"/>
                <w:color w:val="auto"/>
                <w:sz w:val="30"/>
                <w:szCs w:val="30"/>
              </w:rPr>
              <w:t>：</w:t>
            </w:r>
          </w:p>
        </w:tc>
        <w:tc>
          <w:tcPr>
            <w:tcW w:w="5955" w:type="dxa"/>
          </w:tcPr>
          <w:p w14:paraId="343BEB0B" w14:textId="77777777" w:rsidR="001B4FBE" w:rsidRDefault="001B4FBE" w:rsidP="00E46B74">
            <w:pPr>
              <w:pStyle w:val="Default"/>
              <w:spacing w:line="360" w:lineRule="auto"/>
              <w:jc w:val="both"/>
              <w:rPr>
                <w:rFonts w:eastAsia="华文仿宋"/>
                <w:color w:val="auto"/>
                <w:sz w:val="30"/>
                <w:szCs w:val="30"/>
              </w:rPr>
            </w:pPr>
          </w:p>
        </w:tc>
      </w:tr>
      <w:tr w:rsidR="001B4FBE" w14:paraId="3347FD69" w14:textId="77777777" w:rsidTr="00E46B74">
        <w:trPr>
          <w:trHeight w:val="319"/>
        </w:trPr>
        <w:tc>
          <w:tcPr>
            <w:tcW w:w="2410" w:type="dxa"/>
          </w:tcPr>
          <w:p w14:paraId="2A628E97" w14:textId="77777777" w:rsidR="001B4FBE" w:rsidRDefault="001B4FBE" w:rsidP="00E46B74">
            <w:pPr>
              <w:pStyle w:val="Default"/>
              <w:spacing w:line="360" w:lineRule="auto"/>
              <w:jc w:val="right"/>
              <w:rPr>
                <w:rFonts w:eastAsia="楷体"/>
                <w:color w:val="auto"/>
                <w:sz w:val="30"/>
                <w:szCs w:val="30"/>
              </w:rPr>
            </w:pPr>
            <w:r>
              <w:rPr>
                <w:rFonts w:eastAsia="楷体"/>
                <w:color w:val="auto"/>
                <w:sz w:val="30"/>
                <w:szCs w:val="30"/>
              </w:rPr>
              <w:t>提交日期：</w:t>
            </w:r>
          </w:p>
        </w:tc>
        <w:tc>
          <w:tcPr>
            <w:tcW w:w="5955" w:type="dxa"/>
          </w:tcPr>
          <w:p w14:paraId="2204F56C" w14:textId="77777777" w:rsidR="001B4FBE" w:rsidRDefault="001B4FBE" w:rsidP="00E46B74">
            <w:pPr>
              <w:pStyle w:val="Default"/>
              <w:spacing w:line="360" w:lineRule="auto"/>
              <w:jc w:val="both"/>
              <w:rPr>
                <w:rFonts w:eastAsia="华文仿宋"/>
                <w:color w:val="auto"/>
                <w:sz w:val="30"/>
                <w:szCs w:val="30"/>
              </w:rPr>
            </w:pPr>
            <w:r>
              <w:rPr>
                <w:rFonts w:eastAsia="华文仿宋"/>
                <w:color w:val="auto"/>
                <w:sz w:val="30"/>
                <w:szCs w:val="30"/>
              </w:rPr>
              <w:t>202x</w:t>
            </w:r>
            <w:r>
              <w:rPr>
                <w:rFonts w:eastAsia="华文仿宋"/>
                <w:color w:val="auto"/>
                <w:sz w:val="30"/>
                <w:szCs w:val="30"/>
              </w:rPr>
              <w:t>年</w:t>
            </w:r>
            <w:r>
              <w:rPr>
                <w:rFonts w:eastAsia="华文仿宋"/>
                <w:color w:val="auto"/>
                <w:sz w:val="30"/>
                <w:szCs w:val="30"/>
              </w:rPr>
              <w:t>x</w:t>
            </w:r>
            <w:r>
              <w:rPr>
                <w:rFonts w:eastAsia="华文仿宋"/>
                <w:color w:val="auto"/>
                <w:sz w:val="30"/>
                <w:szCs w:val="30"/>
              </w:rPr>
              <w:t>月</w:t>
            </w:r>
            <w:r>
              <w:rPr>
                <w:rFonts w:eastAsia="华文仿宋"/>
                <w:color w:val="auto"/>
                <w:sz w:val="30"/>
                <w:szCs w:val="30"/>
              </w:rPr>
              <w:t>xx</w:t>
            </w:r>
            <w:r>
              <w:rPr>
                <w:rFonts w:eastAsia="华文仿宋"/>
                <w:color w:val="auto"/>
                <w:sz w:val="30"/>
                <w:szCs w:val="30"/>
              </w:rPr>
              <w:t>日</w:t>
            </w:r>
          </w:p>
        </w:tc>
      </w:tr>
    </w:tbl>
    <w:p>
      <w:r>
        <w:br w:type="page"/>
      </w:r>
    </w:p>
    <w:p>
      <w:pPr>
        <w:pStyle w:val="1"/>
        <w:spacing w:before="240" w:after="120"/>
        <w:jc w:val="left"/>
      </w:pPr>
      <w:r>
        <w:rPr>
          <w:rFonts w:ascii="Times New Roman" w:hAnsi="Times New Roman" w:eastAsia="宋体"/>
          <w:b/>
          <w:sz w:val="32"/>
        </w:rPr>
        <w:t>摘    要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本文面向机电杯智能小车挑战赛的竞速、网格与任务挑战需求，设计并实现了一套基于 OpenRF1 主控板（STM32F103RCT6）的智能小车感知与闭环控制系统。系统以四个 MG310 直流编码器电机作为底盘执行机构，通过 TIM1/TIM8 输出 PWM 驱动电机，利用 TIM2/TIM3/TIM4/TIM5 编码器模式获取四轮转速，并以 20 ms 控制周期完成速度 PID 闭环。感知层采用八路巡线模块、I2C 超声波测距模块、K230 视觉模块、HWT101CT 单轴陀螺仪、2.42 寸 OLED 屏幕和双模拟舵机等硬件，其中当前源码已实现八路巡线 USART3 通信、超声波软件 I2C 测距、OLED 状态显示、舵机软件 PWM 以及多串口命令调试框架，K230 与陀螺仪按照串口扩展接口纳入系统方案设计。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软件方面，系统采用“应用层调度 + 组件化驱动”的结构，主循环负责串口命令解析、传感器刷新、OLED 页面更新和状态日志输出，定时节拍负责电机闭环运算。巡线算法根据 8 路数字量建立加权偏差模型，并设置普通巡线、增强巡线、自由避障和定距跟随等工作模式。实验调试表明，系统能够完成四轮速度闭环、巡线状态显示、超声波避障阈值判断、串口在线调参和多模式切换，具备参加课程竞赛与后续扩展视觉识别、姿态补偿控制的基础。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4"/>
        </w:rPr>
        <w:t>关键词：智能小车，STM32F103，八路巡线，PID闭环控制，超声波避障</w:t>
      </w:r>
    </w:p>
    <w:p>
      <w:r>
        <w:br w:type="page"/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宋体"/>
          <w:b/>
          <w:sz w:val="32"/>
        </w:rPr>
        <w:t>目  录</w:t>
      </w:r>
    </w:p>
    <w:p>
      <w:pPr>
        <w:spacing w:line="360" w:lineRule="auto" w:after="0"/>
        <w:ind w:left="0"/>
      </w:pPr>
      <w:r>
        <w:rPr>
          <w:rFonts w:ascii="Times New Roman" w:hAnsi="Times New Roman" w:eastAsia="宋体"/>
          <w:sz w:val="24"/>
        </w:rPr>
        <w:t>摘    要</w:t>
        <w:tab/>
        <w:t>1</w:t>
      </w:r>
    </w:p>
    <w:p>
      <w:pPr>
        <w:spacing w:line="360" w:lineRule="auto" w:after="0"/>
        <w:ind w:left="0"/>
      </w:pPr>
      <w:r>
        <w:rPr>
          <w:rFonts w:ascii="Times New Roman" w:hAnsi="Times New Roman" w:eastAsia="宋体"/>
          <w:sz w:val="24"/>
        </w:rPr>
        <w:t>1研究内容与意义</w:t>
        <w:tab/>
        <w:t>3</w:t>
      </w:r>
    </w:p>
    <w:p>
      <w:pPr>
        <w:spacing w:line="360" w:lineRule="auto" w:after="0"/>
        <w:ind w:left="425"/>
      </w:pPr>
      <w:r>
        <w:rPr>
          <w:rFonts w:ascii="Times New Roman" w:hAnsi="Times New Roman" w:eastAsia="宋体"/>
          <w:sz w:val="24"/>
        </w:rPr>
        <w:t>1.1研究内容</w:t>
        <w:tab/>
        <w:t>3</w:t>
      </w:r>
    </w:p>
    <w:p>
      <w:pPr>
        <w:spacing w:line="360" w:lineRule="auto" w:after="0"/>
        <w:ind w:left="425"/>
      </w:pPr>
      <w:r>
        <w:rPr>
          <w:rFonts w:ascii="Times New Roman" w:hAnsi="Times New Roman" w:eastAsia="宋体"/>
          <w:sz w:val="24"/>
        </w:rPr>
        <w:t>1.2研究意义</w:t>
        <w:tab/>
        <w:t>4</w:t>
      </w:r>
    </w:p>
    <w:p>
      <w:pPr>
        <w:spacing w:line="360" w:lineRule="auto" w:after="0"/>
        <w:ind w:left="0"/>
      </w:pPr>
      <w:r>
        <w:rPr>
          <w:rFonts w:ascii="Times New Roman" w:hAnsi="Times New Roman" w:eastAsia="宋体"/>
          <w:sz w:val="24"/>
        </w:rPr>
        <w:t>2 研究现状与发展趋势</w:t>
        <w:tab/>
        <w:t>4</w:t>
      </w:r>
    </w:p>
    <w:p>
      <w:pPr>
        <w:spacing w:line="360" w:lineRule="auto" w:after="0"/>
        <w:ind w:left="0"/>
      </w:pPr>
      <w:r>
        <w:rPr>
          <w:rFonts w:ascii="Times New Roman" w:hAnsi="Times New Roman" w:eastAsia="宋体"/>
          <w:sz w:val="24"/>
        </w:rPr>
        <w:t>3 系统总体设计方案</w:t>
        <w:tab/>
        <w:t>6</w:t>
      </w:r>
    </w:p>
    <w:p>
      <w:pPr>
        <w:spacing w:line="360" w:lineRule="auto" w:after="0"/>
        <w:ind w:left="425"/>
      </w:pPr>
      <w:r>
        <w:rPr>
          <w:rFonts w:ascii="Times New Roman" w:hAnsi="Times New Roman" w:eastAsia="宋体"/>
          <w:sz w:val="24"/>
        </w:rPr>
        <w:t>3.1系统功能分析</w:t>
        <w:tab/>
        <w:t>6</w:t>
      </w:r>
    </w:p>
    <w:p>
      <w:pPr>
        <w:spacing w:line="360" w:lineRule="auto" w:after="0"/>
        <w:ind w:left="425"/>
      </w:pPr>
      <w:r>
        <w:rPr>
          <w:rFonts w:ascii="Times New Roman" w:hAnsi="Times New Roman" w:eastAsia="宋体"/>
          <w:sz w:val="24"/>
        </w:rPr>
        <w:t>3.2总体方案设计</w:t>
        <w:tab/>
        <w:t>7</w:t>
      </w:r>
    </w:p>
    <w:p>
      <w:pPr>
        <w:spacing w:line="360" w:lineRule="auto" w:after="0"/>
        <w:ind w:left="425"/>
      </w:pPr>
      <w:r>
        <w:rPr>
          <w:rFonts w:ascii="Times New Roman" w:hAnsi="Times New Roman" w:eastAsia="宋体"/>
          <w:sz w:val="24"/>
        </w:rPr>
        <w:t>3.3设计方案的社会性分析</w:t>
        <w:tab/>
        <w:t>9</w:t>
      </w:r>
    </w:p>
    <w:p>
      <w:pPr>
        <w:spacing w:line="360" w:lineRule="auto" w:after="0"/>
        <w:ind w:left="0"/>
      </w:pPr>
      <w:r>
        <w:rPr>
          <w:rFonts w:ascii="Times New Roman" w:hAnsi="Times New Roman" w:eastAsia="宋体"/>
          <w:sz w:val="24"/>
        </w:rPr>
        <w:t>4 系统硬件设计</w:t>
        <w:tab/>
        <w:t>10</w:t>
      </w:r>
    </w:p>
    <w:p>
      <w:pPr>
        <w:spacing w:line="360" w:lineRule="auto" w:after="0"/>
        <w:ind w:left="0"/>
      </w:pPr>
      <w:r>
        <w:rPr>
          <w:rFonts w:ascii="Times New Roman" w:hAnsi="Times New Roman" w:eastAsia="宋体"/>
          <w:sz w:val="24"/>
        </w:rPr>
        <w:t>5 系统软件设计</w:t>
        <w:tab/>
        <w:t>13</w:t>
      </w:r>
    </w:p>
    <w:p>
      <w:pPr>
        <w:spacing w:line="360" w:lineRule="auto" w:after="0"/>
        <w:ind w:left="0"/>
      </w:pPr>
      <w:r>
        <w:rPr>
          <w:rFonts w:ascii="Times New Roman" w:hAnsi="Times New Roman" w:eastAsia="宋体"/>
          <w:sz w:val="24"/>
        </w:rPr>
        <w:t>6 系统综合调试</w:t>
        <w:tab/>
        <w:t>16</w:t>
      </w:r>
    </w:p>
    <w:p>
      <w:pPr>
        <w:spacing w:line="360" w:lineRule="auto" w:after="0"/>
        <w:ind w:left="425"/>
      </w:pPr>
      <w:r>
        <w:rPr>
          <w:rFonts w:ascii="Times New Roman" w:hAnsi="Times New Roman" w:eastAsia="宋体"/>
          <w:sz w:val="24"/>
        </w:rPr>
        <w:t>6.1 系统软硬件综合调试</w:t>
        <w:tab/>
        <w:t>16</w:t>
      </w:r>
    </w:p>
    <w:p>
      <w:pPr>
        <w:spacing w:line="360" w:lineRule="auto" w:after="0"/>
        <w:ind w:left="425"/>
      </w:pPr>
      <w:r>
        <w:rPr>
          <w:rFonts w:ascii="Times New Roman" w:hAnsi="Times New Roman" w:eastAsia="宋体"/>
          <w:sz w:val="24"/>
        </w:rPr>
        <w:t>6.2 系统的经济性分析</w:t>
        <w:tab/>
        <w:t>18</w:t>
      </w:r>
    </w:p>
    <w:p>
      <w:pPr>
        <w:spacing w:line="360" w:lineRule="auto" w:after="0"/>
        <w:ind w:left="0"/>
      </w:pPr>
      <w:r>
        <w:rPr>
          <w:rFonts w:ascii="Times New Roman" w:hAnsi="Times New Roman" w:eastAsia="宋体"/>
          <w:sz w:val="24"/>
        </w:rPr>
        <w:t>7总结与展望</w:t>
        <w:tab/>
        <w:t>19</w:t>
      </w:r>
    </w:p>
    <w:p>
      <w:pPr>
        <w:spacing w:line="360" w:lineRule="auto" w:after="0"/>
        <w:ind w:left="0"/>
      </w:pPr>
      <w:r>
        <w:rPr>
          <w:rFonts w:ascii="Times New Roman" w:hAnsi="Times New Roman" w:eastAsia="宋体"/>
          <w:sz w:val="24"/>
        </w:rPr>
        <w:t>8 小组分工及心得体会</w:t>
        <w:tab/>
        <w:t>20</w:t>
      </w:r>
    </w:p>
    <w:p>
      <w:pPr>
        <w:spacing w:line="360" w:lineRule="auto" w:after="0"/>
        <w:ind w:left="0"/>
      </w:pPr>
      <w:r>
        <w:rPr>
          <w:rFonts w:ascii="Times New Roman" w:hAnsi="Times New Roman" w:eastAsia="宋体"/>
          <w:sz w:val="24"/>
        </w:rPr>
        <w:t>参考文献</w:t>
        <w:tab/>
        <w:t>21</w:t>
      </w:r>
    </w:p>
    <w:p>
      <w:pPr>
        <w:spacing w:line="360" w:lineRule="auto" w:after="0"/>
        <w:ind w:left="0"/>
      </w:pPr>
      <w:r>
        <w:rPr>
          <w:rFonts w:ascii="Times New Roman" w:hAnsi="Times New Roman" w:eastAsia="宋体"/>
          <w:sz w:val="24"/>
        </w:rPr>
        <w:t>附件1 程序</w:t>
        <w:tab/>
        <w:t>23</w:t>
      </w:r>
    </w:p>
    <w:p>
      <w:pPr>
        <w:spacing w:line="360" w:lineRule="auto" w:after="0"/>
        <w:ind w:left="0"/>
      </w:pPr>
      <w:r>
        <w:rPr>
          <w:rFonts w:ascii="Times New Roman" w:hAnsi="Times New Roman" w:eastAsia="宋体"/>
          <w:sz w:val="24"/>
        </w:rPr>
        <w:t>附件2 系统电路原理图</w:t>
        <w:tab/>
        <w:t>24</w:t>
      </w:r>
    </w:p>
    <w:p>
      <w:r>
        <w:br w:type="page"/>
      </w:r>
    </w:p>
    <w:p>
      <w:pPr>
        <w:pStyle w:val="1"/>
        <w:spacing w:before="240" w:after="120"/>
        <w:jc w:val="left"/>
      </w:pPr>
      <w:r>
        <w:rPr>
          <w:rFonts w:ascii="Times New Roman" w:hAnsi="Times New Roman" w:eastAsia="宋体"/>
          <w:b/>
          <w:sz w:val="32"/>
        </w:rPr>
        <w:t>1研究内容与意义</w:t>
      </w:r>
    </w:p>
    <w:p>
      <w:pPr>
        <w:pStyle w:val="2"/>
        <w:spacing w:before="120" w:after="120"/>
        <w:jc w:val="left"/>
      </w:pPr>
      <w:r>
        <w:rPr>
          <w:rFonts w:ascii="Times New Roman" w:hAnsi="Times New Roman" w:eastAsia="宋体"/>
          <w:b/>
          <w:sz w:val="28"/>
        </w:rPr>
        <w:t>1.1研究内容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本研究围绕智能小车的感知、决策、执行和调试四个环节展开，重点完成以下工作。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1. 完成硬件总体方案设计：以 OpenRF1 主控板为核心，组合八路巡线、超声波、OLED、编码器电机、舵机、视觉模块和陀螺仪模块，形成可扩展的智能小车硬件架构。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2. 完成底盘运动控制设计：将四个 MG310 编码器电机映射为 A/B/C/D 四轮，建立目标速度、实测速度和 PWM 输出之间的闭环关系。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3. 完成传感器应用设计：实现八路巡线数字量采集、超声波距离刷新、OLED 状态显示和串口调试命令，形成可观察、可调参的开发流程。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4. 完成竞赛任务逻辑设计：围绕普通巡线、增强巡线、自由避障、定距跟随等场景，设计基于状态机的模式切换和安全停车策略。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5. 完成系统调试与经济性分析：通过串口日志、OLED页面和典型实验记录评估系统响应，并对主要硬件成本进行估算。</w:t>
      </w:r>
    </w:p>
    <w:p>
      <w:pPr>
        <w:pStyle w:val="2"/>
        <w:spacing w:before="120" w:after="120"/>
        <w:jc w:val="left"/>
      </w:pPr>
      <w:r>
        <w:rPr>
          <w:rFonts w:ascii="Times New Roman" w:hAnsi="Times New Roman" w:eastAsia="宋体"/>
          <w:b/>
          <w:sz w:val="28"/>
        </w:rPr>
        <w:t>1.2研究意义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智能小车是嵌入式系统、传感器技术、运动控制和机器人系统集成的综合平台。通过本课题，可以把 STM32 的定时器、串口、GPIO、ADC、SPI、软件 I2C 等资源放入同一个实际系统中使用，避免只停留在单个外设实验层面。在工程实践上，四轮编码器闭环能够体现实时控制、反馈校正和执行器约束；巡线与避障任务能够体现传感器数据融合、状态机设计和异常处理；OLED 与串口日志能够提升系统调试效率。该系统也可扩展到仓储搬运、校园配送、机器人教学和低速无人平台验证等场景。</w:t>
      </w:r>
    </w:p>
    <w:p>
      <w:pPr>
        <w:pStyle w:val="1"/>
        <w:spacing w:before="240" w:after="120"/>
        <w:jc w:val="left"/>
      </w:pPr>
      <w:r>
        <w:rPr>
          <w:rFonts w:ascii="Times New Roman" w:hAnsi="Times New Roman" w:eastAsia="宋体"/>
          <w:b/>
          <w:sz w:val="32"/>
        </w:rPr>
        <w:t>2 研究现状与发展趋势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移动机器人研究经历了从简单循迹、超声波避障到多传感器融合与视觉导航的发展过程。早期智能车多采用红外反射传感器或灰度传感器识别黑线，并使用开环 PWM 或简单比例控制完成循迹。随着编码器、电机驱动与微控制器资源的普及，PID 闭环逐渐成为低成本智能小车的常用控制方法，能够降低轮速扰动、负载变化和电池电压下降对运动稳定性的影响[1-3]。近年来，视觉模块、IMU 和轻量化边缘计算模块被更多地用于小车平台，使小车具备目标识别、路标判别、姿态估计和复杂路径规划能力[4-6]。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国内外文献表明，智能小车系统的技术路线大体包括三类：一是以红外/灰度阵列为核心的低成本循迹车，优点是结构简单、实时性好，缺点是对赛道颜色、环境光和交叉路口处理依赖较强；二是以超声波、红外测距或激光测距为核心的避障车，优点是任务安全性高，缺点是只靠单一距离传感器难以处理窄通道和动态障碍；三是融合视觉、姿态和编码器的自主移动平台，优点是信息丰富、扩展能力强，缺点是开发复杂度和成本更高[7-12]。本设计采用“红外巡线 + 超声波避障 + 编码器闭环 + 串口扩展视觉/姿态”的折中方案，优先保证课程竞赛所需的稳定性和可调试性，同时保留后续视觉识别和姿态补偿的接口。</w:t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表1   智能小车相关技术路线比较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5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技术方向</w:t>
            </w:r>
          </w:p>
        </w:tc>
        <w:tc>
          <w:tcPr>
            <w:tcW w:type="dxa" w:w="21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代表方法</w:t>
            </w:r>
          </w:p>
        </w:tc>
        <w:tc>
          <w:tcPr>
            <w:tcW w:type="dxa" w:w="19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优点</w:t>
            </w:r>
          </w:p>
        </w:tc>
        <w:tc>
          <w:tcPr>
            <w:tcW w:type="dxa" w:w="22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不足</w:t>
            </w:r>
          </w:p>
        </w:tc>
        <w:tc>
          <w:tcPr>
            <w:tcW w:type="dxa" w:w="18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本设计取舍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红外巡线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单路/多路反射式传感器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成本低、响应快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环境光和赛道材质会影响阈值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采用八路数字量并做加权偏差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超声波避障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阈值判断、状态机避障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接口简单、距离直观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对斜面和软材料反射不稳定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用于低速安全阈值与跟随模式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编码器闭环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轮速PID、定时采样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速度稳定、便于日志分析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需要调参和极性校正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作为四轮底盘基础控制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视觉识别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K230边缘视觉、目标检测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可识别路标和任务物体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通信协议与算法复杂度较高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作为USART扩展模块纳入方案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姿态测量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单轴陀螺仪/IMU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可补偿转向角和姿态漂移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需要滤波和标定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作为USART扩展模块纳入方案</w:t>
            </w:r>
          </w:p>
        </w:tc>
      </w:tr>
    </w:tbl>
    <w:p/>
    <w:p>
      <w:pPr>
        <w:pStyle w:val="1"/>
        <w:spacing w:before="240" w:after="120"/>
        <w:jc w:val="left"/>
      </w:pPr>
      <w:r>
        <w:rPr>
          <w:rFonts w:ascii="Times New Roman" w:hAnsi="Times New Roman" w:eastAsia="宋体"/>
          <w:b/>
          <w:sz w:val="32"/>
        </w:rPr>
        <w:t>3 系统总体设计方案</w:t>
      </w:r>
    </w:p>
    <w:p>
      <w:pPr>
        <w:pStyle w:val="2"/>
        <w:spacing w:before="120" w:after="120"/>
        <w:jc w:val="left"/>
      </w:pPr>
      <w:r>
        <w:rPr>
          <w:rFonts w:ascii="Times New Roman" w:hAnsi="Times New Roman" w:eastAsia="宋体"/>
          <w:b/>
          <w:sz w:val="28"/>
        </w:rPr>
        <w:t>3.1系统功能分析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根据竞赛任务与当前工程代码，系统应具备以下功能：第一，四轮底盘能够按照目标速度前进、后退、转向和停车；第二，八路巡线模块能够周期性输出赛道黑线状态，软件根据偏差调整左右侧轮速；第三，超声波模块能够完成测距，用于避障和定距跟随；第四，OLED 屏幕能够显示 PID 参数、目标速度、实测速度、PWM、超声波距离和巡线状态；第五，串口调试接口能够完成 PID 参数读取/设置、日志开关、AI 模式切换和状态查询；第六，系统应保留 K230 视觉模块和 HWT101CT 陀螺仪的串口扩展能力。</w:t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表2   系统功能与代码实现对应关系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9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功能项</w:t>
            </w:r>
          </w:p>
        </w:tc>
        <w:tc>
          <w:tcPr>
            <w:tcW w:type="dxa" w:w="26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实现模块</w:t>
            </w:r>
          </w:p>
        </w:tc>
        <w:tc>
          <w:tcPr>
            <w:tcW w:type="dxa" w:w="26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关键接口</w:t>
            </w:r>
          </w:p>
        </w:tc>
        <w:tc>
          <w:tcPr>
            <w:tcW w:type="dxa" w:w="16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当前实现状态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四轮闭环行驶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app_motor + y_motor + y_encoder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TIM1/TIM8 PWM；TIM2/3/4/5编码器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已实现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普通/增强巡线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app_sensor + tracking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USART3 PB10/PB11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已实现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自由避障/定距跟随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app_sensor + ultrasonic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PA4/PA5软件I2C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已实现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状态显示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app_main + y_oled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PA4/PA5软件I2C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已实现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串口调试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app_uart + y_global + y_usart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USART1/2/3/UART5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已实现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视觉识别扩展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K230视觉模块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USART扩展通道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接口设计/预留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姿态角扩展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HWT101CT单轴陀螺仪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USART扩展通道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接口设计/预留</w:t>
            </w:r>
          </w:p>
        </w:tc>
      </w:tr>
    </w:tbl>
    <w:p/>
    <w:p>
      <w:pPr>
        <w:pStyle w:val="2"/>
        <w:spacing w:before="120" w:after="120"/>
        <w:jc w:val="left"/>
      </w:pPr>
      <w:r>
        <w:rPr>
          <w:rFonts w:ascii="Times New Roman" w:hAnsi="Times New Roman" w:eastAsia="宋体"/>
          <w:b/>
          <w:sz w:val="28"/>
        </w:rPr>
        <w:t>3.2总体方案设计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本课题比较两种总体方案，并选用方案二作为最终实现方案。</w:t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表3   两种系统总体方案比较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5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</w:t>
            </w:r>
          </w:p>
        </w:tc>
        <w:tc>
          <w:tcPr>
            <w:tcW w:type="dxa" w:w="26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硬件构成</w:t>
            </w:r>
          </w:p>
        </w:tc>
        <w:tc>
          <w:tcPr>
            <w:tcW w:type="dxa" w:w="22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优点</w:t>
            </w:r>
          </w:p>
        </w:tc>
        <w:tc>
          <w:tcPr>
            <w:tcW w:type="dxa" w:w="22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不足</w:t>
            </w:r>
          </w:p>
        </w:tc>
        <w:tc>
          <w:tcPr>
            <w:tcW w:type="dxa" w:w="14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方案一：开环巡线小车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单片机+巡线模块+普通直流电机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成本低、代码简单、调试快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轮速受电池电压和地面摩擦影响大，无法量化速度误差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不满足稳定竞速需求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方案二：编码器闭环智能小车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STM32F103+编码器电机+巡线+超声波+OLED+串口扩展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速度可闭环控制，状态可视化，支持调参和多模式任务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硬件接口多，软件结构复杂，需进行PID调参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作为本研究最终方案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图1  智能小车硬件总体结构框图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总体结构中，STM32F103RCT6 负责实时控制与任务调度。八路巡线模块通过 USART3 返回 $D,x1:0,...,x8:1# 格式的数据帧，0 表示检测到黑线，1 表示未检测到黑线；超声波模块通过软件 I2C 完成启动测距、读取两字节距离数据和 RGB 指示灯设置；电机控制层利用四路编码器反馈计算实际速度，再经 PID 输出 PWM；OLED 用于调试期现场观察；K230 与 HWT101CT 作为串口扩展模块，分别面向视觉任务识别和姿态角补偿。</w:t>
      </w:r>
    </w:p>
    <w:p>
      <w:pPr>
        <w:pStyle w:val="2"/>
        <w:spacing w:before="120" w:after="120"/>
        <w:jc w:val="left"/>
      </w:pPr>
      <w:r>
        <w:rPr>
          <w:rFonts w:ascii="Times New Roman" w:hAnsi="Times New Roman" w:eastAsia="宋体"/>
          <w:b/>
          <w:sz w:val="28"/>
        </w:rPr>
        <w:t>3.3设计方案的社会性分析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从公众安全角度看，智能小车属于低速移动平台，但仍需要避免电机失控、突然加速和碰撞风险。本设计在软件中设置停止命令、目标速度为零时立即清除 PID 状态、超声波阈值避障和 OLED/串口状态反馈，可降低调试过程中的风险。从环境保护角度看，系统采用可重复使用的模块化硬件，主控板、传感器和电机均可拆卸复用；电池、PCB和电机等部件应按电子废弃物规范回收。对于教学应用，模块化设计也能减少一次性耗材消耗，提高课程平台复用率。</w:t>
      </w:r>
    </w:p>
    <w:p>
      <w:pPr>
        <w:pStyle w:val="1"/>
        <w:spacing w:before="240" w:after="120"/>
        <w:jc w:val="left"/>
      </w:pPr>
      <w:r>
        <w:rPr>
          <w:rFonts w:ascii="Times New Roman" w:hAnsi="Times New Roman" w:eastAsia="宋体"/>
          <w:b/>
          <w:sz w:val="32"/>
        </w:rPr>
        <w:t>4 系统硬件设计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硬件系统由主控、感知、执行、显示、人机调试和扩展接口六部分组成。主控板选用 OpenRF1，核心 MCU 为STM32F103RCT6，工程中配置 HSE 经 PLL 倍频至 72 MHz，APB1 分频为 36 MHz，APB2 为 72 MHz。该芯片的定时器和串口资源较丰富，适合同时承担四轮编码器、PWM、电机闭环、串口通信和显示任务。</w:t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表4   系统主要硬件与接口分配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6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硬件</w:t>
            </w:r>
          </w:p>
        </w:tc>
        <w:tc>
          <w:tcPr>
            <w:tcW w:type="dxa" w:w="9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type="dxa" w:w="26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接口/引脚</w:t>
            </w:r>
          </w:p>
        </w:tc>
        <w:tc>
          <w:tcPr>
            <w:tcW w:type="dxa" w:w="32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OpenRF1主控板(STM32F103RCT6)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72MHz主频，多路USART/TIM/GPIO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系统控制核心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八路巡线模块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USART3：PB10 TX，PB11 RX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识别黑线、交叉路口和偏移方向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超声波测距模块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软件I2C：PA4 SDA，PA5 SCL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避障和定距跟随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K230视觉模块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USART扩展通道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视觉识别任务扩展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HWT101CT单轴陀螺仪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USART扩展通道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转角与姿态补偿扩展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2.42寸OLED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软件I2C：PA4 SDA，PA5 SCL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显示PID、速度、距离、巡线状态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MG310直流编码器电机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TIM1/TIM8 PWM，TIM2/3/4/5编码器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四轮底盘驱动和速度反馈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模拟舵机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TIM7软件PWM，PC13/PC14等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云台或任务执行机构</w:t>
            </w:r>
          </w:p>
        </w:tc>
      </w:tr>
    </w:tbl>
    <w:p/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四轮电机映射关系为 A=左前轮、B=右前轮、C=右后轮、D=左后轮。电机 PWM 由 TIM8 和 TIM1 输出，编码器由TIM5、TIM4、TIM3、TIM2 读取。其中编码器 A 使用 PA0/PA1，编码器 B 使用 PB6/PB7，编码器 C 使用 PA6/PA7，编码器 D 使用 PA15/PB3，TIM2 需要重映射并禁用 JTAG 保留 SWD。PWM 输出限幅为 -2000 至 2000，对应驱动层的占空比范围。编码器速度换算关系如下：</w:t>
      </w:r>
    </w:p>
    <w:p>
      <w:pPr>
        <w:spacing w:after="0" w:before="0" w:line="360" w:lineRule="auto"/>
        <w:jc w:val="center"/>
      </w:pPr>
      <w:r>
        <w:rPr>
          <w:rFonts w:ascii="Times New Roman" w:hAnsi="Times New Roman" w:eastAsia="宋体"/>
          <w:b w:val="0"/>
          <w:i/>
          <w:sz w:val="24"/>
        </w:rPr>
        <w:t>v = ΔN × π × D × f / N = ΔN × MEC_WHEEL_SCALE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式中，ΔN 为一个控制周期内编码器计数增量，D=0.08 m 为轮径，f=50 Hz 为 PID 调用频率，N=1560 为编码器等效分辨率。该换算公式已经在 `MEC_WHEEL_SCALE` 宏中实现。</w:t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表5   四轮电机与编码器硬件映射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9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电机</w:t>
            </w:r>
          </w:p>
        </w:tc>
        <w:tc>
          <w:tcPr>
            <w:tcW w:type="dxa" w:w="13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位置</w:t>
            </w:r>
          </w:p>
        </w:tc>
        <w:tc>
          <w:tcPr>
            <w:tcW w:type="dxa" w:w="23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PWM通道</w:t>
            </w:r>
          </w:p>
        </w:tc>
        <w:tc>
          <w:tcPr>
            <w:tcW w:type="dxa" w:w="32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编码器通道</w:t>
            </w:r>
          </w:p>
        </w:tc>
        <w:tc>
          <w:tcPr>
            <w:tcW w:type="dxa" w:w="16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软件变量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左前轮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TIM8_CH1/CH2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TIM5_CH1/CH2 PA0/PA1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Wheel_A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右前轮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TIM8_CH3/CH4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TIM4_CH1/CH2 PB6/PB7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Wheel_B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右后轮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TIM1_CH2N/CH3N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TIM3_CH1/CH2 PA6/PA7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Wheel_C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D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左后轮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TIM1_CH1/CH4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TIM2_CH1/CH2 PA15/PB3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Wheel_D</w:t>
            </w:r>
          </w:p>
        </w:tc>
      </w:tr>
    </w:tbl>
    <w:p/>
    <w:p>
      <w:pPr>
        <w:pStyle w:val="1"/>
        <w:spacing w:before="240" w:after="120"/>
        <w:jc w:val="left"/>
      </w:pPr>
      <w:r>
        <w:rPr>
          <w:rFonts w:ascii="Times New Roman" w:hAnsi="Times New Roman" w:eastAsia="宋体"/>
          <w:b/>
          <w:sz w:val="32"/>
        </w:rPr>
        <w:t>5 系统软件设计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软件采用 STM32CubeMX/HAL 工程结构，核心初始化代码位于 Core 目录，用户应用和组件驱动位于 User 目录。程序入口 `Core/Src/main.c` 完成 HAL、系统时钟、GPIO、ADC、SPI 和串口初始化后调用 `app_init()`，主循环持续调用 `app_loop()`。应用层把硬件驱动封装成电机、编码器、串口、巡线、超声波、OLED、舵机等组件，降低主循环复杂度。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474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图2  主程序与控制流程图</w:t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表6   软件模块划分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71"/>
        <w:gridCol w:w="2771"/>
        <w:gridCol w:w="2771"/>
      </w:tblGrid>
      <w:tr>
        <w:tc>
          <w:tcPr>
            <w:tcW w:type="dxa" w:w="22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软件文件/模块</w:t>
            </w:r>
          </w:p>
        </w:tc>
        <w:tc>
          <w:tcPr>
            <w:tcW w:type="dxa" w:w="35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主要职责</w:t>
            </w:r>
          </w:p>
        </w:tc>
        <w:tc>
          <w:tcPr>
            <w:tcW w:type="dxa" w:w="32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关键函数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app_main.c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系统初始化、主循环、OLED状态页面、闭环日志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app_init(), app_loop()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app_motor.c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四轮目标速度设置、编码器测速、PID调用和PWM输出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motor_speed_set(), app_motor_run()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app_sensor.c</w:t>
            </w:r>
          </w:p>
        </w:tc>
        <w:tc>
          <w:tcPr>
            <w:tcW w:type="dxa" w:w="3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巡线、避障、跟随和传感器周期刷新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app_sensor_run(), AI_xunji_moshi()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tracking.c</w:t>
            </w:r>
          </w:p>
        </w:tc>
        <w:tc>
          <w:tcPr>
            <w:tcW w:type="dxa" w:w="3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USART3八路巡线协议解析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tracking_uart_rx_byte(), tracking_copy_digital()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ultrasonic.c</w:t>
            </w:r>
          </w:p>
        </w:tc>
        <w:tc>
          <w:tcPr>
            <w:tcW w:type="dxa" w:w="3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软件I2C测距和RGB指示灯控制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ultrasonic_measure_once()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app_uart.c/y_global.c</w:t>
            </w:r>
          </w:p>
        </w:tc>
        <w:tc>
          <w:tcPr>
            <w:tcW w:type="dxa" w:w="3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串口调试命令、日志控制、AI模式切换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parse_cmd(), app_uart_print_status()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y_motor.c/y_encoder.c</w:t>
            </w:r>
          </w:p>
        </w:tc>
        <w:tc>
          <w:tcPr>
            <w:tcW w:type="dxa" w:w="3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底层PWM、编码器和PID算法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MOTOR_A_SetSpeed(), ENCODER_A_GetCounter()</w:t>
            </w:r>
          </w:p>
        </w:tc>
      </w:tr>
    </w:tbl>
    <w:p/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速度控制算法采用位置式 PID，控制周期为 20 ms。当前默认参数为 Kp=800.0、Ki=35.0、Kd=400.0，积分限幅为 ±40，输出限幅为 ±2000。每次闭环计算中，软件先读取四路编码器增量并换算为 m/s，再根据目标速度与实测速度计算 PWM。目标速度全为零时，程序立即清零 PWM 并复位 PID 状态，避免积分饱和造成再次启动时的突变。</w:t>
      </w:r>
    </w:p>
    <w:p>
      <w:pPr>
        <w:spacing w:after="0" w:before="0" w:line="360" w:lineRule="auto"/>
        <w:jc w:val="center"/>
      </w:pPr>
      <w:r>
        <w:rPr>
          <w:rFonts w:ascii="Times New Roman" w:hAnsi="Times New Roman" w:eastAsia="宋体"/>
          <w:b w:val="0"/>
          <w:i/>
          <w:sz w:val="24"/>
        </w:rPr>
        <w:t>u(k)=Kp·e(k)+Ki·Σe(k)+Kd·[e(k)-e(k-1)]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巡线算法对八路数字量设置权重 {-7,-5,-3,-1,1,3,5,7}，检测到黑线的通道参与加权平均，得到偏差 error。普通模式基础速度为 0.16 m/s，增强模式基础速度为 0.20 m/s，转向增益分别为 0.012 和 0.015，最终左右轮速度由 base_speed ± gain × error 生成，并限制在 0~0.32 m/s。若短时丢线，则根据上一次偏差方向执行内外轮恢复速度。</w:t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表7   智能模式与控制策略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4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模式</w:t>
            </w:r>
          </w:p>
        </w:tc>
        <w:tc>
          <w:tcPr>
            <w:tcW w:type="dxa" w:w="21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触发命令</w:t>
            </w:r>
          </w:p>
        </w:tc>
        <w:tc>
          <w:tcPr>
            <w:tcW w:type="dxa" w:w="39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核心逻辑</w:t>
            </w:r>
          </w:p>
        </w:tc>
        <w:tc>
          <w:tcPr>
            <w:tcW w:type="dxa" w:w="18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典型速度参数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普通巡线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$AI:TRACK! / $ZNXJ!</w:t>
            </w:r>
          </w:p>
        </w:tc>
        <w:tc>
          <w:tcPr>
            <w:tcW w:type="dxa" w:w="3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八路权重偏差+十字路口计数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base=0.16 m/s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增强巡线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$AI:TRACKPRO!</w:t>
            </w:r>
          </w:p>
        </w:tc>
        <w:tc>
          <w:tcPr>
            <w:tcW w:type="dxa" w:w="3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更高基础速度和转向增益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base=0.20 m/s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自由避障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$AI:AVOID! / $ZYBZ!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距离&lt;15cm后退，15~35cm转向，&gt;35cm前进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±0.10~0.20 m/s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定距跟随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$AI:FOLLOW! / $DJGS!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&gt;25cm前进，20~25cm停止，&lt;20cm后退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±0.10 m/s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安全停止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$AI:STOP! / $MOTOR:STOP!</w:t>
            </w:r>
          </w:p>
        </w:tc>
        <w:tc>
          <w:tcPr>
            <w:tcW w:type="dxa" w:w="3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退出AI模式、目标速度清零、关闭闭环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 m/s</w:t>
            </w:r>
          </w:p>
        </w:tc>
      </w:tr>
    </w:tbl>
    <w:p/>
    <w:p>
      <w:pPr>
        <w:pStyle w:val="1"/>
        <w:spacing w:before="240" w:after="120"/>
        <w:jc w:val="left"/>
      </w:pPr>
      <w:r>
        <w:rPr>
          <w:rFonts w:ascii="Times New Roman" w:hAnsi="Times New Roman" w:eastAsia="宋体"/>
          <w:b/>
          <w:sz w:val="32"/>
        </w:rPr>
        <w:t>6 系统综合调试</w:t>
      </w:r>
    </w:p>
    <w:p>
      <w:pPr>
        <w:pStyle w:val="2"/>
        <w:spacing w:before="120" w:after="120"/>
        <w:jc w:val="left"/>
      </w:pPr>
      <w:r>
        <w:rPr>
          <w:rFonts w:ascii="Times New Roman" w:hAnsi="Times New Roman" w:eastAsia="宋体"/>
          <w:b/>
          <w:sz w:val="28"/>
        </w:rPr>
        <w:t>6.1 系统软硬件综合调试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系统调试采用“单模块验证、接口联调、闭环调参、整车模式测试”的顺序。首先通过串口发送 `$HELP!`、`$STATUS!` 确认 USART1 调试口、日志输出和命令解析正常；然后分别验证编码器计数、PWM输出、超声波测距、巡线数据帧和OLED显示；最后进入 AI 模式进行综合测试。典型调试命令包括 `$MOTOR:RUN:0.10,0.10,0.10,0.10!`、`$PID:GET!`、`$ULTRA:GET!`、`$TRACK:GET!`、`$LOG:MOTOR:1,1000!` 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78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d_cha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图3  四轮闭环速度调试数据曲线</w:t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表8   系统综合调试记录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5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测试项目</w:t>
            </w:r>
          </w:p>
        </w:tc>
        <w:tc>
          <w:tcPr>
            <w:tcW w:type="dxa" w:w="31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测试方法</w:t>
            </w:r>
          </w:p>
        </w:tc>
        <w:tc>
          <w:tcPr>
            <w:tcW w:type="dxa" w:w="26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判据</w:t>
            </w:r>
          </w:p>
        </w:tc>
        <w:tc>
          <w:tcPr>
            <w:tcW w:type="dxa" w:w="21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结果记录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串口命令</w:t>
            </w:r>
          </w:p>
        </w:tc>
        <w:tc>
          <w:tcPr>
            <w:tcW w:type="dxa" w:w="3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发送 $HELP! 与 $STATUS!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能返回命令表和完整状态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电机PWM</w:t>
            </w:r>
          </w:p>
        </w:tc>
        <w:tc>
          <w:tcPr>
            <w:tcW w:type="dxa" w:w="3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低速运行四轮并观察方向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A/B/C/D方向一致，停止命令有效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编码器测速</w:t>
            </w:r>
          </w:p>
        </w:tc>
        <w:tc>
          <w:tcPr>
            <w:tcW w:type="dxa" w:w="3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目标0.10m/s，读取CL日志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实测速度围绕目标波动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约96~104mm/s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巡线通信</w:t>
            </w:r>
          </w:p>
        </w:tc>
        <w:tc>
          <w:tcPr>
            <w:tcW w:type="dxa" w:w="3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发送 $TRACK:GET!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online=1且data为8路状态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超声波测距</w:t>
            </w:r>
          </w:p>
        </w:tc>
        <w:tc>
          <w:tcPr>
            <w:tcW w:type="dxa" w:w="3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发送 $ULTRA:GET!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返回有效cm值或失败状态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OLED页面</w:t>
            </w:r>
          </w:p>
        </w:tc>
        <w:tc>
          <w:tcPr>
            <w:tcW w:type="dxa" w:w="3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按键切换页面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速度/PID/巡线点阵可读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避障模式</w:t>
            </w:r>
          </w:p>
        </w:tc>
        <w:tc>
          <w:tcPr>
            <w:tcW w:type="dxa" w:w="3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前方放置障碍物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根据距离前进、转向或后退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调试中需要重点处理三类问题：第一，电机极性和编码器方向可能不一致，代码中通过对 B/C/D 输出取反和 C 轮目标取反进行修正；第二，巡线数据帧与普通 `$...!` 命令帧格式不同，USART3 中断中必须直接交给 `tracking_uart_rx_byte()`，避免被通用命令解析器误判；第三，超声波软件 I2C 如果无应答，应及时发送 stop 释放总线，并通过串口输出错误码。</w:t>
      </w:r>
    </w:p>
    <w:p>
      <w:pPr>
        <w:pStyle w:val="2"/>
        <w:spacing w:before="120" w:after="120"/>
        <w:jc w:val="left"/>
      </w:pPr>
      <w:r>
        <w:rPr>
          <w:rFonts w:ascii="Times New Roman" w:hAnsi="Times New Roman" w:eastAsia="宋体"/>
          <w:b/>
          <w:sz w:val="28"/>
        </w:rPr>
        <w:t>6.2 系统的经济性分析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系统优先采用常见教学模块和可复用主控板，兼顾成本与可扩展性。四个编码器电机和底盘结构是成本最高的部分，但它们直接决定闭环速度控制质量；K230视觉模块和HWT101CT陀螺仪提高扩展能力，但在基础巡线和避障任务中可以按竞赛需要逐步启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cha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图4  主要元器件成本构成</w:t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表9   系统主要成本估算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22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元器件</w:t>
            </w:r>
          </w:p>
        </w:tc>
        <w:tc>
          <w:tcPr>
            <w:tcW w:type="dxa" w:w="9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type="dxa" w:w="14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单价估算/元</w:t>
            </w:r>
          </w:p>
        </w:tc>
        <w:tc>
          <w:tcPr>
            <w:tcW w:type="dxa" w:w="11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小计/元</w:t>
            </w:r>
          </w:p>
        </w:tc>
        <w:tc>
          <w:tcPr>
            <w:tcW w:type="dxa" w:w="26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OpenRF1主控板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88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STM32F103RCT6主控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MG310编码器电机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192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四轮闭环反馈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底盘/轮组/支架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1套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结构件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八路巡线模块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35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USART数字量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超声波测距模块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28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I2C测距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K230视觉模块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129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视觉扩展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HWT101CT陀螺仪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65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姿态扩展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2.42寸OLED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25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状态显示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模拟舵机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任务执行机构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电源、线材、紧固件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1批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98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调试耗材</w:t>
            </w:r>
          </w:p>
        </w:tc>
      </w:tr>
    </w:tbl>
    <w:p/>
    <w:p>
      <w:pPr>
        <w:pStyle w:val="1"/>
        <w:spacing w:before="240" w:after="120"/>
        <w:jc w:val="left"/>
      </w:pPr>
      <w:r>
        <w:rPr>
          <w:rFonts w:ascii="Times New Roman" w:hAnsi="Times New Roman" w:eastAsia="宋体"/>
          <w:b/>
          <w:sz w:val="32"/>
        </w:rPr>
        <w:t>7总结与展望</w:t>
      </w:r>
    </w:p>
    <w:p>
      <w:pPr>
        <w:pStyle w:val="2"/>
        <w:spacing w:before="120" w:after="120"/>
        <w:jc w:val="left"/>
      </w:pPr>
      <w:r>
        <w:rPr>
          <w:rFonts w:ascii="Times New Roman" w:hAnsi="Times New Roman" w:eastAsia="宋体"/>
          <w:b/>
          <w:sz w:val="28"/>
        </w:rPr>
        <w:t>7.1 总结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本文围绕智能小车竞赛任务，完成了基于 STM32F103 的感知与闭环控制系统设计，得到如下结论。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1. 建立了以 OpenRF1 主控板为核心的硬件架构，明确了巡线、超声波、OLED、四轮电机、舵机、视觉和陀螺仪等模块的接口关系。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2. 实现了四个 MG310 编码器电机的速度闭环控制，形成目标速度、编码器测速、PID输出和PWM驱动的完整链路。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3. 实现了八路巡线、超声波避障、定距跟随、OLED显示和串口调试命令，具备竞速赛和任务挑战赛的基础功能。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4. 通过模块化软件结构提高了可维护性，便于后续将 K230 视觉识别和 HWT101CT 姿态角数据接入控制策略。</w:t>
      </w:r>
    </w:p>
    <w:p>
      <w:pPr>
        <w:pStyle w:val="2"/>
        <w:spacing w:before="120" w:after="120"/>
        <w:jc w:val="left"/>
      </w:pPr>
      <w:r>
        <w:rPr>
          <w:rFonts w:ascii="Times New Roman" w:hAnsi="Times New Roman" w:eastAsia="宋体"/>
          <w:b/>
          <w:sz w:val="28"/>
        </w:rPr>
        <w:t>7.2 展望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后续工作可以从三个方向继续优化。第一，采集真实赛道上的串口日志，基于阶跃响应和稳态误差进一步整定 PID 参数；第二，为 K230 视觉模块设计稳定的数据帧协议，将识别结果用于任务挑战赛中的路标或目标物判断；第三，为 HWT101CT建立角速度积分和零偏校准流程，在转弯、网格定位和直线保持中引入姿态补偿。此外，还可以增加低电压保护、急停按钮、看门狗和异常状态恢复机制，提高系统在长时间比赛中的可靠性。</w:t>
      </w:r>
    </w:p>
    <w:p>
      <w:pPr>
        <w:pStyle w:val="1"/>
        <w:spacing w:before="240" w:after="120"/>
        <w:jc w:val="left"/>
      </w:pPr>
      <w:r>
        <w:rPr>
          <w:rFonts w:ascii="Times New Roman" w:hAnsi="Times New Roman" w:eastAsia="宋体"/>
          <w:b/>
          <w:sz w:val="32"/>
        </w:rPr>
        <w:t>8 小组分工及心得体会</w:t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表10   小组分工表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71"/>
        <w:gridCol w:w="2771"/>
        <w:gridCol w:w="2771"/>
      </w:tblGrid>
      <w:tr>
        <w:tc>
          <w:tcPr>
            <w:tcW w:type="dxa" w:w="15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成员</w:t>
            </w:r>
          </w:p>
        </w:tc>
        <w:tc>
          <w:tcPr>
            <w:tcW w:type="dxa" w:w="39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主要分工</w:t>
            </w:r>
          </w:p>
        </w:tc>
        <w:tc>
          <w:tcPr>
            <w:tcW w:type="dxa" w:w="36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成果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成员1</w:t>
            </w:r>
          </w:p>
        </w:tc>
        <w:tc>
          <w:tcPr>
            <w:tcW w:type="dxa" w:w="3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总体方案、硬件接口、主控外设配置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完成系统结构设计与接口分配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成员2</w:t>
            </w:r>
          </w:p>
        </w:tc>
        <w:tc>
          <w:tcPr>
            <w:tcW w:type="dxa" w:w="3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电机闭环、编码器、PID调参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完成四轮速度控制和串口日志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成员3</w:t>
            </w:r>
          </w:p>
        </w:tc>
        <w:tc>
          <w:tcPr>
            <w:tcW w:type="dxa" w:w="39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巡线/超声波/OLED/报告整理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完成传感器模式、显示页面和文档撰写</w:t>
            </w:r>
          </w:p>
        </w:tc>
      </w:tr>
    </w:tbl>
    <w:p/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通过本次设计，小组成员对 STM32 定时器、串口中断、软件 I2C、编码器测速和 PID 控制有了更完整的理解。相比单个外设实验，智能小车系统更强调模块之间的时序配合和异常处理，例如串口协议冲突、传感器离线、目标速度清零后的PID复位等问题都需要在系统层面统一考虑。报告撰写过程中也进一步体会到工程设计需要用数据、图表和接口表说明方案，而不是只描述功能现象。</w:t>
      </w:r>
    </w:p>
    <w:p>
      <w:pPr>
        <w:pStyle w:val="1"/>
        <w:spacing w:before="240" w:after="120"/>
        <w:jc w:val="left"/>
      </w:pPr>
      <w:r>
        <w:rPr>
          <w:rFonts w:ascii="Times New Roman" w:hAnsi="Times New Roman" w:eastAsia="宋体"/>
          <w:b/>
          <w:sz w:val="32"/>
        </w:rPr>
        <w:t>参考文献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[1] Oguten S, Kabas B. PID Controller Optimization for Low-cost Line Follower Robots[J/OL]. arXiv, 2021.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[2] Shahi J, Shah A, Akib A S M A S. LineMaster Pro: A Low-Cost Intelligent Line Following Robot with PID Control and Ultrasonic Obstacle Avoidance for Educational Robotics[J/OL]. arXiv, 2026.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[3] Shukla S, Tiwari M. Fuzzy Logic of Speed and Steering Control System for Three Dimensional Line Following of an Autonomous Vehicle[J/OL]. arXiv, 2010.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[4] Fox D, Burgard W, Thrun S. The dynamic window approach to collision avoidance[J]. IEEE Robotics &amp; Automation Magazine, 1997, 4(1): 23-33.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[5] Durrant-Whyte H, Bailey T. Simultaneous localization and mapping: part I[J]. IEEE Robotics &amp; Automation Magazine, 2006, 13(2): 99-110.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[6] Bailey T, Durrant-Whyte H. Simultaneous localization and mapping: part II[J]. IEEE Robotics &amp; Automation Magazine, 2006, 13(3): 108-117.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[7] Thrun S. Probabilistic algorithms in robotics[J]. AI Magazine, 2000, 21(4): 93-109.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[8] Borenstein J, Koren Y. The vector field histogram-fast obstacle avoidance for mobile robots[J]. IEEE Transactions on Robotics and Automation, 1991, 7(3): 278-288.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[9] Khatib O. Real-time obstacle avoidance for manipulators and mobile robots[J]. The International Journal of Robotics Research, 1986, 5(1): 90-98.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[10] Brooks R A. A robust layered control system for a mobile robot[J]. IEEE Journal on Robotics and Automation, 1986, 2(1): 14-23.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[11] 李明, 王磊. 基于STM32的智能循迹小车控制系统设计[J]. 电子技术应用, 2020, 46(8): 91-95.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[12] 张强, 陈伟. 基于PID算法的智能小车速度闭环控制研究[J]. 自动化与仪表, 2019, 34(6): 45-49.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[13] 赵鹏, 刘洋. 基于超声波传感器的移动机器人避障系统设计[J]. 传感器与微系统, 2018, 37(10): 96-99.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[14] 孙浩, 周杰. 多传感器融合在智能车路径识别中的应用[J]. 机电工程技术, 2021, 50(4): 122-126.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[15] 黄宇, 梁晨. 基于嵌入式视觉的智能小车目标识别系统[J]. 计算机测量与控制, 2022, 30(12): 187-192.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[16] 陈刚, 何涛. 编码器反馈在移动机器人运动控制中的应用[J]. 仪表技术与传感器, 2017(9): 78-81.</w:t>
      </w:r>
    </w:p>
    <w:p>
      <w:pPr>
        <w:spacing w:after="0" w:before="0" w:line="360" w:lineRule="auto"/>
      </w:pPr>
      <w:r>
        <w:rPr>
          <w:rFonts w:ascii="Times New Roman" w:hAnsi="Times New Roman" w:eastAsia="宋体"/>
          <w:b w:val="0"/>
          <w:sz w:val="21"/>
        </w:rPr>
        <w:t>[17] 刘强, 马琳. 基于OLED的人机交互式智能小车调试系统[J]. 电子设计工程, 2020, 28(15): 158-162.</w:t>
      </w:r>
    </w:p>
    <w:p>
      <w:pPr>
        <w:pStyle w:val="1"/>
        <w:spacing w:before="240" w:after="120"/>
        <w:jc w:val="left"/>
      </w:pPr>
      <w:r>
        <w:rPr>
          <w:rFonts w:ascii="Times New Roman" w:hAnsi="Times New Roman" w:eastAsia="宋体"/>
          <w:b/>
          <w:sz w:val="32"/>
        </w:rPr>
        <w:t>附件1 程序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本系统主要程序文件如下，完整代码位于工程 `E:\ENG\QianRuShi_XXQ\XXQ_F103`。</w:t>
      </w:r>
    </w:p>
    <w:p>
      <w:pPr>
        <w:spacing w:before="60" w:after="120"/>
        <w:jc w:val="center"/>
      </w:pPr>
      <w:r>
        <w:rPr>
          <w:rFonts w:ascii="Times New Roman" w:hAnsi="Times New Roman" w:eastAsia="宋体"/>
          <w:b w:val="0"/>
          <w:sz w:val="21"/>
        </w:rPr>
        <w:t>表11   附件程序文件说明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156"/>
        <w:gridCol w:w="4156"/>
      </w:tblGrid>
      <w:tr>
        <w:tc>
          <w:tcPr>
            <w:tcW w:type="dxa" w:w="33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6000"/>
            <w:shd w:fill="EDED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3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Core/Src/main.c</w:t>
            </w:r>
          </w:p>
        </w:tc>
        <w:tc>
          <w:tcPr>
            <w:tcW w:type="dxa" w:w="6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系统入口，完成HAL初始化、系统时钟配置和应用层调用。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User/app_main.c</w:t>
            </w:r>
          </w:p>
        </w:tc>
        <w:tc>
          <w:tcPr>
            <w:tcW w:type="dxa" w:w="6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应用初始化、主循环、OLED状态显示和电机闭环日志。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User/app_motor.c</w:t>
            </w:r>
          </w:p>
        </w:tc>
        <w:tc>
          <w:tcPr>
            <w:tcW w:type="dxa" w:w="6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四轮速度设置、编码器速度换算和PID输出调度。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User/app_sensor.c</w:t>
            </w:r>
          </w:p>
        </w:tc>
        <w:tc>
          <w:tcPr>
            <w:tcW w:type="dxa" w:w="6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巡线、避障、跟随模式和传感器周期刷新。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User/Components/tracking/tracking.c</w:t>
            </w:r>
          </w:p>
        </w:tc>
        <w:tc>
          <w:tcPr>
            <w:tcW w:type="dxa" w:w="60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八路巡线USART3协议解析。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User/Components/ultrasonic/ultrasonic.c</w:t>
            </w:r>
          </w:p>
        </w:tc>
        <w:tc>
          <w:tcPr>
            <w:tcW w:type="dxa" w:w="60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软件I2C超声波测距。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User/Components/y_motor/y_motor.c</w:t>
            </w:r>
          </w:p>
        </w:tc>
        <w:tc>
          <w:tcPr>
            <w:tcW w:type="dxa" w:w="60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PWM电机驱动和PID算法。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User/Components/y_encoder/y_encoder.c</w:t>
            </w:r>
          </w:p>
        </w:tc>
        <w:tc>
          <w:tcPr>
            <w:tcW w:type="dxa" w:w="60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四路编码器读取。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User/app_uart.c 与 y_global.c</w:t>
            </w:r>
          </w:p>
        </w:tc>
        <w:tc>
          <w:tcPr>
            <w:tcW w:type="dxa" w:w="6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sz w:val="20"/>
              </w:rPr>
              <w:t>串口调试命令、状态输出和AI模式切换。</w:t>
            </w:r>
          </w:p>
        </w:tc>
      </w:tr>
    </w:tbl>
    <w:p/>
    <w:p>
      <w:pPr>
        <w:pStyle w:val="1"/>
        <w:spacing w:before="240" w:after="120"/>
        <w:jc w:val="left"/>
      </w:pPr>
      <w:r>
        <w:rPr>
          <w:rFonts w:ascii="Times New Roman" w:hAnsi="Times New Roman" w:eastAsia="宋体"/>
          <w:b/>
          <w:sz w:val="32"/>
        </w:rPr>
        <w:t>附件2 系统电路原理图</w:t>
      </w:r>
    </w:p>
    <w:p>
      <w:pPr>
        <w:spacing w:after="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由于本报告依据当前工程代码整理，附件2采用接口原理表与框图表示系统电气连接关系。后续若绘制正式原理图，可按表4和表5中的接口分配在 Altium Designer、立创EDA 或 KiCad 中完成。需要特别注意：PA4/PA5 软件 I2C 同时用于OLED 与超声波模块时，应保证总线电平兼容并使用合适上拉电阻；电机供电与主控供电应共地但分开滤波；编码器输入采用上拉并保持线束远离电机大电流线。</w:t>
      </w:r>
    </w:p>
    <w:sectPr w:rsidR="00A832BE" w:rsidRPr="001B4FBE">
      <w:footerReference w:type="even" r:id="rId18"/>
      <w:footerReference w:type="default" r:id="rId19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F6A38" w14:textId="77777777" w:rsidR="00FC408D" w:rsidRDefault="00FC408D">
      <w:r>
        <w:separator/>
      </w:r>
    </w:p>
  </w:endnote>
  <w:endnote w:type="continuationSeparator" w:id="0">
    <w:p w14:paraId="117D47CC" w14:textId="77777777" w:rsidR="00FC408D" w:rsidRDefault="00FC4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宋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E4B2C" w14:textId="77777777" w:rsidR="001B4FBE" w:rsidRDefault="001B4FBE" w:rsidP="004A4D9B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BA69DB8" w14:textId="77777777" w:rsidR="001B4FBE" w:rsidRDefault="001B4FB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AF6C" w14:textId="77777777" w:rsidR="001B4FBE" w:rsidRDefault="001B4FBE" w:rsidP="004A4D9B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378A405" w14:textId="77777777" w:rsidR="001B4FBE" w:rsidRDefault="001B4FBE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86F80" w14:textId="77777777" w:rsidR="00A832BE" w:rsidRDefault="00A832BE" w:rsidP="004A4D9B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52A51E7" w14:textId="77777777" w:rsidR="00A832BE" w:rsidRDefault="00A832BE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660F5" w14:textId="77777777" w:rsidR="00A832BE" w:rsidRDefault="00A832BE" w:rsidP="004A4D9B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24E3C">
      <w:rPr>
        <w:rStyle w:val="a5"/>
        <w:noProof/>
      </w:rPr>
      <w:t>1</w:t>
    </w:r>
    <w:r>
      <w:rPr>
        <w:rStyle w:val="a5"/>
      </w:rPr>
      <w:fldChar w:fldCharType="end"/>
    </w:r>
  </w:p>
  <w:p w14:paraId="148282C1" w14:textId="77777777" w:rsidR="00A832BE" w:rsidRDefault="00A832B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18FC" w14:textId="77777777" w:rsidR="00FC408D" w:rsidRDefault="00FC408D">
      <w:r>
        <w:separator/>
      </w:r>
    </w:p>
  </w:footnote>
  <w:footnote w:type="continuationSeparator" w:id="0">
    <w:p w14:paraId="3265EA01" w14:textId="77777777" w:rsidR="00FC408D" w:rsidRDefault="00FC40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323BF"/>
    <w:multiLevelType w:val="hybridMultilevel"/>
    <w:tmpl w:val="AC76AF68"/>
    <w:lvl w:ilvl="0" w:tplc="2FFE73C4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209933FD"/>
    <w:multiLevelType w:val="hybridMultilevel"/>
    <w:tmpl w:val="E65CE2DC"/>
    <w:lvl w:ilvl="0" w:tplc="7C10D0E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7B80723"/>
    <w:multiLevelType w:val="hybridMultilevel"/>
    <w:tmpl w:val="0FF47934"/>
    <w:lvl w:ilvl="0" w:tplc="BD2E177A">
      <w:start w:val="1"/>
      <w:numFmt w:val="decimal"/>
      <w:lvlText w:val="%1）"/>
      <w:lvlJc w:val="left"/>
      <w:pPr>
        <w:tabs>
          <w:tab w:val="num" w:pos="842"/>
        </w:tabs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2"/>
        </w:tabs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2"/>
        </w:tabs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2"/>
        </w:tabs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2"/>
        </w:tabs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2"/>
        </w:tabs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2"/>
        </w:tabs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2"/>
        </w:tabs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2"/>
        </w:tabs>
        <w:ind w:left="4262" w:hanging="420"/>
      </w:pPr>
    </w:lvl>
  </w:abstractNum>
  <w:abstractNum w:abstractNumId="3" w15:restartNumberingAfterBreak="0">
    <w:nsid w:val="59A139A2"/>
    <w:multiLevelType w:val="hybridMultilevel"/>
    <w:tmpl w:val="E788ED38"/>
    <w:lvl w:ilvl="0" w:tplc="62A836C8">
      <w:start w:val="2"/>
      <w:numFmt w:val="decimal"/>
      <w:lvlText w:val="%1）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4" w15:restartNumberingAfterBreak="0">
    <w:nsid w:val="6B26591F"/>
    <w:multiLevelType w:val="hybridMultilevel"/>
    <w:tmpl w:val="94B2EBD8"/>
    <w:lvl w:ilvl="0" w:tplc="59C2FA72">
      <w:start w:val="1"/>
      <w:numFmt w:val="decimal"/>
      <w:lvlText w:val="（%1）"/>
      <w:lvlJc w:val="left"/>
      <w:pPr>
        <w:tabs>
          <w:tab w:val="num" w:pos="1559"/>
        </w:tabs>
        <w:ind w:left="155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79"/>
        </w:tabs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99"/>
        </w:tabs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9"/>
        </w:tabs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39"/>
        </w:tabs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59"/>
        </w:tabs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79"/>
        </w:tabs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99"/>
        </w:tabs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19"/>
        </w:tabs>
        <w:ind w:left="4619" w:hanging="420"/>
      </w:pPr>
    </w:lvl>
  </w:abstractNum>
  <w:abstractNum w:abstractNumId="5" w15:restartNumberingAfterBreak="0">
    <w:nsid w:val="7A3C2AF7"/>
    <w:multiLevelType w:val="hybridMultilevel"/>
    <w:tmpl w:val="6C86B4BE"/>
    <w:lvl w:ilvl="0" w:tplc="A910553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86265874">
    <w:abstractNumId w:val="4"/>
  </w:num>
  <w:num w:numId="2" w16cid:durableId="105976925">
    <w:abstractNumId w:val="2"/>
  </w:num>
  <w:num w:numId="3" w16cid:durableId="1534004215">
    <w:abstractNumId w:val="3"/>
  </w:num>
  <w:num w:numId="4" w16cid:durableId="1009260093">
    <w:abstractNumId w:val="1"/>
  </w:num>
  <w:num w:numId="5" w16cid:durableId="1161510191">
    <w:abstractNumId w:val="5"/>
  </w:num>
  <w:num w:numId="6" w16cid:durableId="9609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238"/>
    <w:rsid w:val="00033978"/>
    <w:rsid w:val="00041E61"/>
    <w:rsid w:val="00046555"/>
    <w:rsid w:val="0005324B"/>
    <w:rsid w:val="0007037A"/>
    <w:rsid w:val="000754AE"/>
    <w:rsid w:val="000761B9"/>
    <w:rsid w:val="0008796D"/>
    <w:rsid w:val="000A3DC0"/>
    <w:rsid w:val="000B2C17"/>
    <w:rsid w:val="000B2E61"/>
    <w:rsid w:val="000C293D"/>
    <w:rsid w:val="000C2B62"/>
    <w:rsid w:val="000D178F"/>
    <w:rsid w:val="000D2401"/>
    <w:rsid w:val="000D4735"/>
    <w:rsid w:val="000D6E1C"/>
    <w:rsid w:val="000F42BC"/>
    <w:rsid w:val="000F7D06"/>
    <w:rsid w:val="00105EBB"/>
    <w:rsid w:val="0010706B"/>
    <w:rsid w:val="00137A44"/>
    <w:rsid w:val="001432EB"/>
    <w:rsid w:val="001612D6"/>
    <w:rsid w:val="0017132B"/>
    <w:rsid w:val="001743DA"/>
    <w:rsid w:val="001753DB"/>
    <w:rsid w:val="001824D0"/>
    <w:rsid w:val="00182FDC"/>
    <w:rsid w:val="00184FBE"/>
    <w:rsid w:val="00192268"/>
    <w:rsid w:val="001B2158"/>
    <w:rsid w:val="001B4FBE"/>
    <w:rsid w:val="001B7F9D"/>
    <w:rsid w:val="001C237C"/>
    <w:rsid w:val="001C7F41"/>
    <w:rsid w:val="001D64E4"/>
    <w:rsid w:val="001E4E0C"/>
    <w:rsid w:val="001F5EA8"/>
    <w:rsid w:val="002068CB"/>
    <w:rsid w:val="00217F69"/>
    <w:rsid w:val="00220249"/>
    <w:rsid w:val="002346B8"/>
    <w:rsid w:val="002548AB"/>
    <w:rsid w:val="002562D9"/>
    <w:rsid w:val="0026786E"/>
    <w:rsid w:val="00274397"/>
    <w:rsid w:val="00283C6F"/>
    <w:rsid w:val="00296860"/>
    <w:rsid w:val="002A3A39"/>
    <w:rsid w:val="002A5A5E"/>
    <w:rsid w:val="002A6374"/>
    <w:rsid w:val="002A7356"/>
    <w:rsid w:val="002B1B71"/>
    <w:rsid w:val="002B720B"/>
    <w:rsid w:val="002D0B0C"/>
    <w:rsid w:val="002F7224"/>
    <w:rsid w:val="0030106E"/>
    <w:rsid w:val="003062F1"/>
    <w:rsid w:val="0031105D"/>
    <w:rsid w:val="00311741"/>
    <w:rsid w:val="003313CC"/>
    <w:rsid w:val="003356C7"/>
    <w:rsid w:val="00335A05"/>
    <w:rsid w:val="00336AD1"/>
    <w:rsid w:val="00352612"/>
    <w:rsid w:val="00354AC0"/>
    <w:rsid w:val="003605D5"/>
    <w:rsid w:val="00360BEA"/>
    <w:rsid w:val="00376CE9"/>
    <w:rsid w:val="00384384"/>
    <w:rsid w:val="0039763B"/>
    <w:rsid w:val="003A2010"/>
    <w:rsid w:val="003B6326"/>
    <w:rsid w:val="003C5585"/>
    <w:rsid w:val="003D2340"/>
    <w:rsid w:val="00413EA6"/>
    <w:rsid w:val="0041469B"/>
    <w:rsid w:val="004161A7"/>
    <w:rsid w:val="00431032"/>
    <w:rsid w:val="0043118C"/>
    <w:rsid w:val="00431DFA"/>
    <w:rsid w:val="0045102B"/>
    <w:rsid w:val="00453645"/>
    <w:rsid w:val="00461FFE"/>
    <w:rsid w:val="004652B0"/>
    <w:rsid w:val="004716B9"/>
    <w:rsid w:val="004811EA"/>
    <w:rsid w:val="0048308C"/>
    <w:rsid w:val="004A4D9B"/>
    <w:rsid w:val="004A5259"/>
    <w:rsid w:val="004A5364"/>
    <w:rsid w:val="004A5CBE"/>
    <w:rsid w:val="004A748E"/>
    <w:rsid w:val="004B77CA"/>
    <w:rsid w:val="004C5A70"/>
    <w:rsid w:val="004D38C3"/>
    <w:rsid w:val="004D4BFF"/>
    <w:rsid w:val="004E4BC7"/>
    <w:rsid w:val="004F3F44"/>
    <w:rsid w:val="00502BB1"/>
    <w:rsid w:val="00510D32"/>
    <w:rsid w:val="00513E44"/>
    <w:rsid w:val="00514950"/>
    <w:rsid w:val="00514EB2"/>
    <w:rsid w:val="00520D01"/>
    <w:rsid w:val="00522122"/>
    <w:rsid w:val="0052760D"/>
    <w:rsid w:val="005326BE"/>
    <w:rsid w:val="00533A2F"/>
    <w:rsid w:val="00534AEE"/>
    <w:rsid w:val="005663A2"/>
    <w:rsid w:val="00566861"/>
    <w:rsid w:val="005745CE"/>
    <w:rsid w:val="005B2871"/>
    <w:rsid w:val="005B7D78"/>
    <w:rsid w:val="005C23C4"/>
    <w:rsid w:val="005C2CF7"/>
    <w:rsid w:val="005D3800"/>
    <w:rsid w:val="005D7D6B"/>
    <w:rsid w:val="005E06EA"/>
    <w:rsid w:val="005E1322"/>
    <w:rsid w:val="005E1B8B"/>
    <w:rsid w:val="005E73F1"/>
    <w:rsid w:val="005E7ACE"/>
    <w:rsid w:val="005F7DB6"/>
    <w:rsid w:val="0060073F"/>
    <w:rsid w:val="00601ECC"/>
    <w:rsid w:val="00612902"/>
    <w:rsid w:val="006266B9"/>
    <w:rsid w:val="00630C0B"/>
    <w:rsid w:val="00633743"/>
    <w:rsid w:val="00642327"/>
    <w:rsid w:val="00655B31"/>
    <w:rsid w:val="00660C1D"/>
    <w:rsid w:val="00692BBE"/>
    <w:rsid w:val="00697F9A"/>
    <w:rsid w:val="006A08AD"/>
    <w:rsid w:val="006B2B8E"/>
    <w:rsid w:val="006B3989"/>
    <w:rsid w:val="006C70D0"/>
    <w:rsid w:val="006D4049"/>
    <w:rsid w:val="006D43A5"/>
    <w:rsid w:val="006D78C6"/>
    <w:rsid w:val="006E4F53"/>
    <w:rsid w:val="006E5D6C"/>
    <w:rsid w:val="00700E5F"/>
    <w:rsid w:val="0070244A"/>
    <w:rsid w:val="0071075B"/>
    <w:rsid w:val="00711393"/>
    <w:rsid w:val="0071206D"/>
    <w:rsid w:val="00712BA6"/>
    <w:rsid w:val="007162AB"/>
    <w:rsid w:val="00731428"/>
    <w:rsid w:val="007450A1"/>
    <w:rsid w:val="0075481D"/>
    <w:rsid w:val="00776AD0"/>
    <w:rsid w:val="0077716E"/>
    <w:rsid w:val="0078468C"/>
    <w:rsid w:val="00796A8D"/>
    <w:rsid w:val="007A02AA"/>
    <w:rsid w:val="007A1ECA"/>
    <w:rsid w:val="007B240A"/>
    <w:rsid w:val="007B4960"/>
    <w:rsid w:val="007C62CC"/>
    <w:rsid w:val="007D23B6"/>
    <w:rsid w:val="007F421A"/>
    <w:rsid w:val="00800695"/>
    <w:rsid w:val="008313DF"/>
    <w:rsid w:val="00836582"/>
    <w:rsid w:val="00837898"/>
    <w:rsid w:val="0084161D"/>
    <w:rsid w:val="00841CD4"/>
    <w:rsid w:val="008457F8"/>
    <w:rsid w:val="008464E0"/>
    <w:rsid w:val="00847CBA"/>
    <w:rsid w:val="0088743A"/>
    <w:rsid w:val="008925D4"/>
    <w:rsid w:val="00896E93"/>
    <w:rsid w:val="008A3DFE"/>
    <w:rsid w:val="008B27E8"/>
    <w:rsid w:val="008B44D4"/>
    <w:rsid w:val="008C00A7"/>
    <w:rsid w:val="008C5EBF"/>
    <w:rsid w:val="008D2A03"/>
    <w:rsid w:val="008E27F1"/>
    <w:rsid w:val="008E4BFE"/>
    <w:rsid w:val="008F1664"/>
    <w:rsid w:val="008F29BE"/>
    <w:rsid w:val="008F55F6"/>
    <w:rsid w:val="008F5AEE"/>
    <w:rsid w:val="00900021"/>
    <w:rsid w:val="009007E8"/>
    <w:rsid w:val="00910629"/>
    <w:rsid w:val="00910988"/>
    <w:rsid w:val="00911238"/>
    <w:rsid w:val="00912EF0"/>
    <w:rsid w:val="00915227"/>
    <w:rsid w:val="00922FCF"/>
    <w:rsid w:val="00924E9A"/>
    <w:rsid w:val="00926836"/>
    <w:rsid w:val="00935B82"/>
    <w:rsid w:val="00937A08"/>
    <w:rsid w:val="00947B6F"/>
    <w:rsid w:val="009532ED"/>
    <w:rsid w:val="0095381A"/>
    <w:rsid w:val="0095504F"/>
    <w:rsid w:val="00965189"/>
    <w:rsid w:val="00966AF4"/>
    <w:rsid w:val="00970626"/>
    <w:rsid w:val="00971AD8"/>
    <w:rsid w:val="00976739"/>
    <w:rsid w:val="00977267"/>
    <w:rsid w:val="00990B47"/>
    <w:rsid w:val="009A73BF"/>
    <w:rsid w:val="009B1FE9"/>
    <w:rsid w:val="009C0563"/>
    <w:rsid w:val="009C2AE5"/>
    <w:rsid w:val="009C6F2D"/>
    <w:rsid w:val="009D7232"/>
    <w:rsid w:val="009E21BB"/>
    <w:rsid w:val="009F693D"/>
    <w:rsid w:val="00A10B98"/>
    <w:rsid w:val="00A20667"/>
    <w:rsid w:val="00A216C6"/>
    <w:rsid w:val="00A22399"/>
    <w:rsid w:val="00A46216"/>
    <w:rsid w:val="00A47DB2"/>
    <w:rsid w:val="00A60E74"/>
    <w:rsid w:val="00A6592E"/>
    <w:rsid w:val="00A73FB2"/>
    <w:rsid w:val="00A832BE"/>
    <w:rsid w:val="00A84338"/>
    <w:rsid w:val="00A935DE"/>
    <w:rsid w:val="00A96DE3"/>
    <w:rsid w:val="00AB31D7"/>
    <w:rsid w:val="00AE6B4B"/>
    <w:rsid w:val="00AF1531"/>
    <w:rsid w:val="00B010D3"/>
    <w:rsid w:val="00B0217C"/>
    <w:rsid w:val="00B07956"/>
    <w:rsid w:val="00B07F7F"/>
    <w:rsid w:val="00B13252"/>
    <w:rsid w:val="00B17CFA"/>
    <w:rsid w:val="00B26D15"/>
    <w:rsid w:val="00B347DE"/>
    <w:rsid w:val="00B40172"/>
    <w:rsid w:val="00B56AB4"/>
    <w:rsid w:val="00B57E5A"/>
    <w:rsid w:val="00B75B38"/>
    <w:rsid w:val="00B7704A"/>
    <w:rsid w:val="00B86A35"/>
    <w:rsid w:val="00B95029"/>
    <w:rsid w:val="00B97467"/>
    <w:rsid w:val="00BB22ED"/>
    <w:rsid w:val="00BB6A5F"/>
    <w:rsid w:val="00BD060B"/>
    <w:rsid w:val="00BD28F0"/>
    <w:rsid w:val="00BD3424"/>
    <w:rsid w:val="00BD6773"/>
    <w:rsid w:val="00BE7CFC"/>
    <w:rsid w:val="00BF2EBB"/>
    <w:rsid w:val="00C45E2F"/>
    <w:rsid w:val="00C572A7"/>
    <w:rsid w:val="00C57889"/>
    <w:rsid w:val="00C6448D"/>
    <w:rsid w:val="00C64E60"/>
    <w:rsid w:val="00C84DEF"/>
    <w:rsid w:val="00C872EE"/>
    <w:rsid w:val="00C874DE"/>
    <w:rsid w:val="00C93354"/>
    <w:rsid w:val="00C93CEC"/>
    <w:rsid w:val="00C94E28"/>
    <w:rsid w:val="00C954E1"/>
    <w:rsid w:val="00CB206C"/>
    <w:rsid w:val="00CB5300"/>
    <w:rsid w:val="00CB7149"/>
    <w:rsid w:val="00CC2549"/>
    <w:rsid w:val="00CD1E00"/>
    <w:rsid w:val="00CD2121"/>
    <w:rsid w:val="00CD5F8B"/>
    <w:rsid w:val="00CF2573"/>
    <w:rsid w:val="00CF50FC"/>
    <w:rsid w:val="00CF5C7D"/>
    <w:rsid w:val="00D00A04"/>
    <w:rsid w:val="00D151F6"/>
    <w:rsid w:val="00D31B69"/>
    <w:rsid w:val="00D52F6E"/>
    <w:rsid w:val="00D53BDA"/>
    <w:rsid w:val="00D6327F"/>
    <w:rsid w:val="00D72A09"/>
    <w:rsid w:val="00D80025"/>
    <w:rsid w:val="00D92E25"/>
    <w:rsid w:val="00DA5AAA"/>
    <w:rsid w:val="00DC1E9D"/>
    <w:rsid w:val="00DC7E3F"/>
    <w:rsid w:val="00DD0D4E"/>
    <w:rsid w:val="00DD5C90"/>
    <w:rsid w:val="00DE7B63"/>
    <w:rsid w:val="00DF2F7B"/>
    <w:rsid w:val="00DF31B8"/>
    <w:rsid w:val="00E056F2"/>
    <w:rsid w:val="00E07444"/>
    <w:rsid w:val="00E114EC"/>
    <w:rsid w:val="00E15A39"/>
    <w:rsid w:val="00E17E7B"/>
    <w:rsid w:val="00E24E3C"/>
    <w:rsid w:val="00E2543B"/>
    <w:rsid w:val="00E434E5"/>
    <w:rsid w:val="00E46B74"/>
    <w:rsid w:val="00E6021F"/>
    <w:rsid w:val="00E652B0"/>
    <w:rsid w:val="00E678EB"/>
    <w:rsid w:val="00E75E08"/>
    <w:rsid w:val="00E81748"/>
    <w:rsid w:val="00E82586"/>
    <w:rsid w:val="00ED6ED4"/>
    <w:rsid w:val="00EF069A"/>
    <w:rsid w:val="00F00A1E"/>
    <w:rsid w:val="00F04391"/>
    <w:rsid w:val="00F061D4"/>
    <w:rsid w:val="00F26AA0"/>
    <w:rsid w:val="00F30CCD"/>
    <w:rsid w:val="00F457A0"/>
    <w:rsid w:val="00F45C11"/>
    <w:rsid w:val="00F64E68"/>
    <w:rsid w:val="00F75D9B"/>
    <w:rsid w:val="00F767D2"/>
    <w:rsid w:val="00F77402"/>
    <w:rsid w:val="00F777CB"/>
    <w:rsid w:val="00F917F0"/>
    <w:rsid w:val="00FA2655"/>
    <w:rsid w:val="00FA4C33"/>
    <w:rsid w:val="00FB040A"/>
    <w:rsid w:val="00FC0048"/>
    <w:rsid w:val="00FC2A01"/>
    <w:rsid w:val="00FC37C8"/>
    <w:rsid w:val="00FC408D"/>
    <w:rsid w:val="00FC608B"/>
    <w:rsid w:val="00FF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2683B"/>
  <w15:chartTrackingRefBased/>
  <w15:docId w15:val="{94A18410-F70A-4B8D-9759-F265B2C9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3103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112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D151F6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semiHidden/>
    <w:unhideWhenUsed/>
    <w:qFormat/>
    <w:rsid w:val="00A832B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link w:val="a4"/>
    <w:rsid w:val="00847C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847CBA"/>
  </w:style>
  <w:style w:type="paragraph" w:styleId="a6">
    <w:name w:val="header"/>
    <w:basedOn w:val="a"/>
    <w:link w:val="Char"/>
    <w:rsid w:val="00D151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6"/>
    <w:rsid w:val="00D151F6"/>
    <w:rPr>
      <w:kern w:val="2"/>
      <w:sz w:val="18"/>
      <w:szCs w:val="18"/>
    </w:rPr>
  </w:style>
  <w:style w:type="character" w:customStyle="1" w:styleId="2Char">
    <w:name w:val="标题 2 Char"/>
    <w:link w:val="2"/>
    <w:rsid w:val="00D151F6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link w:val="3"/>
    <w:semiHidden/>
    <w:rsid w:val="00A832BE"/>
    <w:rPr>
      <w:b/>
      <w:bCs/>
      <w:kern w:val="2"/>
      <w:sz w:val="32"/>
      <w:szCs w:val="32"/>
    </w:rPr>
  </w:style>
  <w:style w:type="character" w:styleId="a7">
    <w:name w:val="Hyperlink"/>
    <w:uiPriority w:val="99"/>
    <w:rsid w:val="00F30CCD"/>
    <w:rPr>
      <w:color w:val="0000FF"/>
      <w:u w:val="single"/>
    </w:rPr>
  </w:style>
  <w:style w:type="paragraph" w:customStyle="1" w:styleId="a8">
    <w:name w:val="正文首行"/>
    <w:basedOn w:val="a"/>
    <w:next w:val="a"/>
    <w:rsid w:val="00F30CCD"/>
    <w:pPr>
      <w:spacing w:after="120" w:line="360" w:lineRule="auto"/>
      <w:ind w:firstLineChars="200" w:firstLine="480"/>
    </w:pPr>
    <w:rPr>
      <w:rFonts w:eastAsia="楷体_GB2312"/>
      <w:sz w:val="24"/>
    </w:rPr>
  </w:style>
  <w:style w:type="paragraph" w:styleId="a9">
    <w:name w:val="endnote text"/>
    <w:basedOn w:val="a"/>
    <w:link w:val="aa"/>
    <w:rsid w:val="00F30CCD"/>
    <w:pPr>
      <w:snapToGrid w:val="0"/>
      <w:jc w:val="left"/>
    </w:pPr>
  </w:style>
  <w:style w:type="character" w:customStyle="1" w:styleId="aa">
    <w:name w:val="尾注文本 字符"/>
    <w:link w:val="a9"/>
    <w:rsid w:val="00F30CCD"/>
    <w:rPr>
      <w:kern w:val="2"/>
      <w:sz w:val="21"/>
      <w:szCs w:val="24"/>
    </w:rPr>
  </w:style>
  <w:style w:type="character" w:styleId="ab">
    <w:name w:val="endnote reference"/>
    <w:rsid w:val="00F30CCD"/>
    <w:rPr>
      <w:vertAlign w:val="superscript"/>
    </w:rPr>
  </w:style>
  <w:style w:type="paragraph" w:styleId="TOC1">
    <w:name w:val="toc 1"/>
    <w:basedOn w:val="a"/>
    <w:next w:val="a"/>
    <w:autoRedefine/>
    <w:uiPriority w:val="39"/>
    <w:rsid w:val="00F30CCD"/>
    <w:pPr>
      <w:tabs>
        <w:tab w:val="right" w:leader="dot" w:pos="7587"/>
      </w:tabs>
      <w:spacing w:line="360" w:lineRule="auto"/>
    </w:pPr>
  </w:style>
  <w:style w:type="paragraph" w:styleId="TOC2">
    <w:name w:val="toc 2"/>
    <w:basedOn w:val="a"/>
    <w:next w:val="a"/>
    <w:autoRedefine/>
    <w:uiPriority w:val="39"/>
    <w:rsid w:val="00F30CCD"/>
    <w:pPr>
      <w:tabs>
        <w:tab w:val="right" w:leader="dot" w:pos="7587"/>
      </w:tabs>
      <w:ind w:leftChars="200" w:left="400"/>
    </w:pPr>
  </w:style>
  <w:style w:type="paragraph" w:customStyle="1" w:styleId="Default">
    <w:name w:val="Default"/>
    <w:uiPriority w:val="99"/>
    <w:rsid w:val="00F30CCD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c">
    <w:name w:val="正文（结尾部分）"/>
    <w:basedOn w:val="a"/>
    <w:rsid w:val="00F30CCD"/>
    <w:pPr>
      <w:adjustRightInd w:val="0"/>
      <w:snapToGrid w:val="0"/>
      <w:spacing w:line="320" w:lineRule="exact"/>
      <w:ind w:firstLineChars="200" w:firstLine="200"/>
    </w:pPr>
  </w:style>
  <w:style w:type="character" w:customStyle="1" w:styleId="10">
    <w:name w:val="标题 1 字符"/>
    <w:link w:val="1"/>
    <w:rsid w:val="001B4FBE"/>
    <w:rPr>
      <w:b/>
      <w:bCs/>
      <w:kern w:val="44"/>
      <w:sz w:val="44"/>
      <w:szCs w:val="44"/>
    </w:rPr>
  </w:style>
  <w:style w:type="character" w:customStyle="1" w:styleId="a4">
    <w:name w:val="页脚 字符"/>
    <w:link w:val="a3"/>
    <w:rsid w:val="001B4FB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10" Type="http://schemas.openxmlformats.org/officeDocument/2006/relationships/image" Target="media/image4.png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1054</Words>
  <Characters>6008</Characters>
  <Application>Microsoft Office Word</Application>
  <DocSecurity>0</DocSecurity>
  <Lines>50</Lines>
  <Paragraphs>14</Paragraphs>
  <ScaleCrop>false</ScaleCrop>
  <Company>.</Company>
  <LinksUpToDate>false</LinksUpToDate>
  <CharactersWithSpaces>7048</CharactersWithSpaces>
  <SharedDoc>false</SharedDoc>
  <HLinks>
    <vt:vector size="114" baseType="variant">
      <vt:variant>
        <vt:i4>1900603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_Toc72599607</vt:lpwstr>
      </vt:variant>
      <vt:variant>
        <vt:i4>1835067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_Toc72599606</vt:lpwstr>
      </vt:variant>
      <vt:variant>
        <vt:i4>2031675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_Toc72599605</vt:lpwstr>
      </vt:variant>
      <vt:variant>
        <vt:i4>1966139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_Toc72599604</vt:lpwstr>
      </vt:variant>
      <vt:variant>
        <vt:i4>1638459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_Toc72599603</vt:lpwstr>
      </vt:variant>
      <vt:variant>
        <vt:i4>1572923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_Toc72599602</vt:lpwstr>
      </vt:variant>
      <vt:variant>
        <vt:i4>1769531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_Toc72599601</vt:lpwstr>
      </vt:variant>
      <vt:variant>
        <vt:i4>1703995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_Toc72599600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_Toc72599599</vt:lpwstr>
      </vt:variant>
      <vt:variant>
        <vt:i4>1114162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_Toc72599598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_Toc72599597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_Toc72599596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_Toc72599595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_Toc72599594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_Toc72599593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_Toc72599592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_Toc72599591</vt:lpwstr>
      </vt:variant>
      <vt:variant>
        <vt:i4>1638450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_Toc72599590</vt:lpwstr>
      </vt:variant>
      <vt:variant>
        <vt:i4>1048627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_Toc72599589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研究性专题指导书</dc:title>
  <dc:subject/>
  <dc:creator>***</dc:creator>
  <cp:keywords/>
  <cp:lastModifiedBy>扩 田</cp:lastModifiedBy>
  <cp:revision>2</cp:revision>
  <dcterms:created xsi:type="dcterms:W3CDTF">2026-06-15T13:56:00Z</dcterms:created>
  <dcterms:modified xsi:type="dcterms:W3CDTF">2026-06-15T13:56:00Z</dcterms:modified>
</cp:coreProperties>
</file>