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 xml:space="preserve">Controle, análise e acompanhamento da evolução e do giro de estoque de materiais na CPTM</w:t>
      </w:r>
    </w:p>
    <w:p/>
    <w:p>
      <w:pPr>
        <w:ind w:firstLine="0"/>
      </w:pPr>
      <w:r>
        <w:t xml:space="preserve">Autor 1 (linkedin)</w:t>
      </w:r>
    </w:p>
    <w:p>
      <w:pPr>
        <w:ind w:firstLine="0"/>
      </w:pPr>
      <w:r>
        <w:t xml:space="preserve">Autor 2 (linkedin)</w:t>
      </w:r>
    </w:p>
    <w:p>
      <w:pPr>
        <w:ind w:firstLine="0"/>
      </w:pPr>
      <w:r>
        <w:t xml:space="preserve">Autor 3 (linkedin)</w:t>
      </w:r>
    </w:p>
    <w:p>
      <w:pPr>
        <w:ind w:firstLine="0"/>
      </w:pPr>
      <w:r>
        <w:t xml:space="preserve">Autor 4 (linkedin)</w:t>
      </w:r>
    </w:p>
    <w:p>
      <w:pPr>
        <w:ind w:firstLine="0"/>
      </w:pPr>
      <w:r>
        <w:t xml:space="preserve">Autor 5 (linkedin)</w:t>
      </w:r>
    </w:p>
    <w:p>
      <w:pPr>
        <w:ind w:firstLine="0"/>
      </w:pPr>
      <w:r>
        <w:t xml:space="preserve">Autor 6 (linkedin)</w:t>
      </w:r>
    </w:p>
    <w:p>
      <w:pPr>
        <w:ind w:firstLine="0"/>
      </w:pPr>
      <w:r>
        <w:t xml:space="preserve">Autor 7 (linkedin)</w:t>
      </w:r>
    </w:p>
    <w:p>
      <w:pPr>
        <w:ind w:firstLine="0"/>
      </w:pPr>
      <w:r>
        <w:t xml:space="preserve">Autor 8 (linkedin)</w:t>
      </w:r>
    </w:p>
    <w:p/>
    <w:p>
      <w:pPr>
        <w:ind w:firstLine="0"/>
      </w:pPr>
      <w:r>
        <w:t xml:space="preserve">Professor M2 ou Orientador: Newton Yamada</w:t>
      </w:r>
    </w:p>
    <w:p>
      <w:pPr>
        <w:ind w:firstLine="0"/>
      </w:pPr>
      <w:r>
        <w:t xml:space="preserve">Professor P2: Marcus Nascimento</w:t>
      </w:r>
    </w:p>
    <w:p/>
    <w:p>
      <w:pPr>
        <w:autoSpaceDE w:val="0"/>
        <w:autoSpaceDN w:val="0"/>
        <w:adjustRightInd w:val="0"/>
        <w:spacing w:line="360" w:lineRule="auto"/>
        <w:ind w:firstLine="0"/>
      </w:pPr>
      <w:r>
        <w:t xml:space="preserve">Resumo do projeto:</w:t>
      </w:r>
    </w:p>
    <w:p>
      <w:pPr>
        <w:autoSpaceDE w:val="0"/>
        <w:autoSpaceDN w:val="0"/>
        <w:adjustRightInd w:val="0"/>
        <w:spacing w:line="360" w:lineRule="auto"/>
        <w:ind w:firstLine="0"/>
        <w:jc w:val="both"/>
      </w:pPr>
      <w:r>
        <w:rPr>
          <w:sz w:val="21"/>
          <w:szCs w:val="21"/>
        </w:rPr>
        <w:t xml:space="preserve">Este projeto desenvolve um painel de Business Intelligence no Power BI para apoiar a gestão de estoques de materiais da Companhia Paulista de Trens Metropolitanos (CPTM), com foco na decisão de quando e quanto repor cada material. O trabalho utiliza oito bases extraídas do ERP ALVO em agosto de 2026, que reúnem o cadastro de materiais, as posições de estoque, o planejamento de compras, a previsão de consumo anual e cerca de 188 mil lançamentos de movimentação registrados entre 2021 e 2026. Os dados passam por tratamento no Power Query, que corrige tipos e formatos, elimina registros de grupo e códigos duplicados no cadastro e extrai as chaves necessárias para relacionar as bases por meio do Código CPTM e do código estruturado do material. O modelo classifica os 98 tipos de movimentação em entradas, saídas e movimentos neutros, o que permite separar o consumo efetivo de transferências, devoluções, vendas de sucata e ajustes de inventário. A partir dessa classificação, a solução calcula em linguagem DAX os indicadores de valor em estoque, Curva ABC, estoque médio, giro, cobertura, ruptura, risco de ruptura, excesso, tempo sem consumo e aderência entre a Previsão de Consumo Anual e o consumo realizado. O estoque médio é obtido pela reconstrução de treze posições mensais a partir do saldo mais recente e das movimentações, e não por uma única fotografia do saldo, conforme orientação da CPTM. Os resultados mostram um estoque de aproximadamente R$ 189 milhões, dos quais 80% do valor se concentram em cerca de 6% dos materiais, um giro de 0,18 vez em doze meses e uma cobertura média próxima de 58 meses. O painel também identifica que a maior parte dos materiais com saldo não teve consumo no último ano e que o consumo realizado ficou abaixo do previsto para a maioria dos itens com planejamento, o que indica oportunidades de revisão dos parâmetros de compra e de redução do capital imobilizado. O painel tem oito páginas, que incluem ainda a classificação dos materiais por rotatividade, a sazonalidade do consumo, a evolução de cada material, o acompanhamento do processo de compra e a análise da obsolescência, além de uma página de metodologia que registra a fórmula, a fonte e os testes de consistência de cada indicador, garantindo a rastreabilidade exigida pela CPTM.</w:t>
      </w:r>
    </w:p>
    <w:p>
      <w:pPr>
        <w:autoSpaceDE w:val="0"/>
        <w:autoSpaceDN w:val="0"/>
        <w:adjustRightInd w:val="0"/>
        <w:spacing w:line="360" w:lineRule="auto"/>
        <w:ind w:firstLine="0"/>
      </w:pPr>
      <w:r>
        <w:rPr>
          <w:sz w:val="20"/>
          <w:szCs w:val="20"/>
        </w:rPr>
        <w:t xml:space="preserve">Palavras-Chave: Gestão de estoques; Giro de estoque; Cobertura de estoque; Curva ABC; Power BI.</w:t>
      </w:r>
    </w:p>
    <w:p>
      <w:pPr>
        <w:autoSpaceDE w:val="0"/>
        <w:autoSpaceDN w:val="0"/>
        <w:adjustRightInd w:val="0"/>
        <w:spacing w:line="360" w:lineRule="auto"/>
        <w:ind w:firstLine="0"/>
      </w:pPr>
      <w:r>
        <w:t xml:space="preserve">Abstract:</w:t>
      </w:r>
    </w:p>
    <w:p>
      <w:pPr>
        <w:autoSpaceDE w:val="0"/>
        <w:autoSpaceDN w:val="0"/>
        <w:adjustRightInd w:val="0"/>
        <w:spacing w:line="360" w:lineRule="auto"/>
        <w:ind w:firstLine="0"/>
        <w:jc w:val="both"/>
      </w:pPr>
      <w:r>
        <w:rPr>
          <w:sz w:val="20"/>
          <w:szCs w:val="20"/>
        </w:rPr>
        <w:t xml:space="preserve">This project develops a Business Intelligence dashboard in Power BI to support inventory management at the Companhia Paulista de Trens Metropolitanos (CPTM), focusing on the decision of when and how much of each material to replenish. The work uses eight datasets extracted from the ALVO ERP in August 2026, covering the material master data, stock positions, purchase planning, annual consumption forecasts and about 188 thousand stock movements recorded between 2021 and 2026. The data are processed in Power Query, which fixes data types and formats, removes group records and duplicated codes from the master data and extracts the keys required to relate the datasets through the CPTM code and the structured material code. The model classifies the 98 movement types into inflows, outflows and neutral movements, which separates actual consumption from transfers, returns, scrap sales and inventory adjustments. Based on this classification, the solution calculates, in DAX, indicators such as inventory value, ABC analysis, average inventory, turnover, coverage, stockout, stockout risk, excess stock, time without consumption and adherence between the annual consumption forecast and actual consumption. Average inventory is obtained by rebuilding thirteen monthly positions from the latest balance and the movements, instead of using a single snapshot, as requested by CPTM. The results show an inventory of about R$ 189 million, with 80% of its value concentrated in about 6% of the materials, a twelve-month turnover of 0.18 and an average coverage close to 58 months. The dashboard also shows that most materials in stock had no consumption in the last year and that actual consumption was below the forecast for most planned items, pointing to opportunities to review purchasing parameters and reduce tied-up capital. The dashboard has eight pages, which also cover turnover classes, consumption seasonality, the history of each material, the purchasing process and obsolete stock, plus a methodology page that documents the formula, source and consistency tests of each indicator, ensuring the traceability required by CPTM.</w:t>
      </w:r>
    </w:p>
    <w:p>
      <w:pPr>
        <w:autoSpaceDE w:val="0"/>
        <w:autoSpaceDN w:val="0"/>
        <w:adjustRightInd w:val="0"/>
        <w:spacing w:line="360" w:lineRule="auto"/>
        <w:ind w:left="0" w:firstLine="0"/>
      </w:pPr>
      <w:r>
        <w:rPr>
          <w:sz w:val="20"/>
          <w:szCs w:val="20"/>
        </w:rPr>
        <w:t xml:space="preserve">Keywords: Inventory management; Inventory turnover; Inventory coverage; ABC analysis; Power BI.</w:t>
      </w:r>
    </w:p>
    <w:p>
      <w:pPr>
        <w:pStyle w:val="Heading1"/>
      </w:pPr>
      <w:r>
        <w:t xml:space="preserve">Contextualização do projeto</w:t>
      </w:r>
    </w:p>
    <w:p>
      <w:r>
        <w:t xml:space="preserve">A gestão de estoques é uma das atividades centrais da logística, porque define o equilíbrio entre a disponibilidade de materiais e o custo de mantê-los armazenados. Ballou (2006) destaca que os estoques podem representar uma parcela relevante do capital das empresas e que a decisão sobre quanto e quando repor influencia diretamente o nível de serviço e o custo logístico. Dias (2010) complementa que a administração de materiais deve evitar tanto a falta, que interrompe as operações, quanto o excesso, que imobiliza recursos e aumenta o risco de perdas por obsolescência.</w:t>
      </w:r>
    </w:p>
    <w:p>
      <w:r>
        <w:t xml:space="preserve">Em empresas de transporte ferroviário, esse equilíbrio é ainda mais sensível. A Companhia Paulista de Trens Metropolitanos (CPTM), empresa do Governo do Estado de São Paulo responsável pelo transporte metropolitano sobre trilhos, mantém em seus almoxarifados peças de reposição de trens, materiais de via permanente, rede aérea, uniformes, equipamentos de proteção e itens de consumo geral. Muitos desses materiais têm consumo irregular, mas a sua falta pode comprometer a manutenção, a segurança e a continuidade da operação ferroviária.</w:t>
      </w:r>
    </w:p>
    <w:p>
      <w:r>
        <w:t xml:space="preserve">Nas bases disponibilizadas para o projeto, extraídas do ERP ALVO em agosto de 2026, o estoque da CPTM soma cerca de R$ 189 milhões distribuídos em 25 almoxarifados e 9.172 materiais com saldo. Hoje, segundo a própria CPTM, não existe um relatório que calcule de forma consolidada indicadores como o giro de estoque, e as informações ficam espalhadas em relatórios diferentes do sistema.</w:t>
      </w:r>
    </w:p>
    <w:p>
      <w:r>
        <w:t xml:space="preserve">Nesse contexto, o projeto desenvolve um painel de Business Intelligence no Power BI que reúne essas bases em um único modelo de dados e transforma os registros do ERP em indicadores de desempenho logístico. A principal decisão que o painel busca apoiar, conforme definido pela CPTM, é quando e quanto repor cada material, reduzindo os riscos de ruptura e de excesso e a imobilização desnecessária de recursos.</w:t>
      </w:r>
    </w:p>
    <w:p>
      <w:pPr>
        <w:pStyle w:val="Heading1"/>
      </w:pPr>
      <w:r>
        <w:t xml:space="preserve">Objetivos do projeto</w:t>
      </w:r>
    </w:p>
    <w:p>
      <w:r>
        <w:t xml:space="preserve">Os objetivos estabelecidos para esse projeto consistem em:</w:t>
      </w:r>
    </w:p>
    <w:p>
      <w:pPr>
        <w:pStyle w:val="ListParagraph"/>
        <w:numPr>
          <w:ilvl w:val="0"/>
          <w:numId w:val="18"/>
        </w:numPr>
      </w:pPr>
      <w:r>
        <w:t xml:space="preserve">Estruturar um modelo de dados no Power BI que relacione as bases de estoque, planejamento e movimentação do ERP ALVO, usando o Código CPTM como identificador principal dos materiais;</w:t>
      </w:r>
    </w:p>
    <w:p>
      <w:pPr>
        <w:pStyle w:val="ListParagraph"/>
        <w:numPr>
          <w:ilvl w:val="0"/>
          <w:numId w:val="18"/>
        </w:numPr>
      </w:pPr>
      <w:r>
        <w:t xml:space="preserve">Classificar os tipos de movimentação da RES82 para separar o consumo efetivo das transferências, devoluções, remessas, vendas e ajustes;</w:t>
      </w:r>
    </w:p>
    <w:p>
      <w:pPr>
        <w:pStyle w:val="ListParagraph"/>
        <w:numPr>
          <w:ilvl w:val="0"/>
          <w:numId w:val="18"/>
        </w:numPr>
      </w:pPr>
      <w:r>
        <w:t xml:space="preserve">Calcular os indicadores de desempenho logístico pedidos pela CPTM: valor em estoque, Curva ABC, estoque médio, giro, cobertura, ruptura, risco de ruptura, excesso de estoque e tempo sem consumo;</w:t>
      </w:r>
    </w:p>
    <w:p>
      <w:pPr>
        <w:pStyle w:val="ListParagraph"/>
        <w:numPr>
          <w:ilvl w:val="0"/>
          <w:numId w:val="18"/>
        </w:numPr>
      </w:pPr>
      <w:r>
        <w:t xml:space="preserve">Comparar a Previsão de Consumo Anual (PCA) com o consumo realizado para avaliar a aderência do planejamento;</w:t>
      </w:r>
    </w:p>
    <w:p>
      <w:pPr>
        <w:pStyle w:val="ListParagraph"/>
        <w:numPr>
          <w:ilvl w:val="0"/>
          <w:numId w:val="18"/>
        </w:numPr>
      </w:pPr>
      <w:r>
        <w:t xml:space="preserve">Documentar as fórmulas, as fontes e os testes de consistência de cada indicador, garantindo a rastreabilidade da solução.</w:t>
      </w:r>
    </w:p>
    <w:p>
      <w:pPr>
        <w:pStyle w:val="Heading1"/>
      </w:pPr>
      <w:r>
        <w:t xml:space="preserve">Fundamentação dos métodos analíticos e das tecnologias utilizadas</w:t>
      </w:r>
    </w:p>
    <w:p>
      <w:r>
        <w:t xml:space="preserve">Este tópico apresenta os métodos de gestão de estoques usados para definir os indicadores do painel e as tecnologias empregadas na sua construção.</w:t>
      </w:r>
    </w:p>
    <w:p>
      <w:pPr>
        <w:pStyle w:val="Heading2"/>
      </w:pPr>
      <w:r>
        <w:t xml:space="preserve">Métodos analíticos utilizados</w:t>
      </w:r>
    </w:p>
    <w:p>
      <w:r>
        <w:t xml:space="preserve">Os indicadores do projeto se apoiam em conceitos clássicos da administração de materiais e em técnicas de modelagem de dados para Business Intelligence. A Tabela 1 resume as referências utilizadas e como cada uma foi aplicada no projeto.</w:t>
      </w:r>
    </w:p>
    <w:p>
      <w:pPr>
        <w:pStyle w:val="Caption"/>
        <w:keepNext/>
      </w:pPr>
      <w:r>
        <w:t xml:space="preserve">Tabela </w:t>
      </w:r>
      <w:r>
        <w:fldChar w:fldCharType="begin"/>
      </w:r>
      <w:r>
        <w:instrText xml:space="preserve"> SEQ Tabela \* ARABIC </w:instrText>
      </w:r>
      <w:r>
        <w:fldChar w:fldCharType="separate"/>
      </w:r>
      <w:r>
        <w:rPr>
          <w:noProof/>
        </w:rPr>
        <w:t>1</w:t>
      </w:r>
      <w:r>
        <w:fldChar w:fldCharType="end"/>
      </w:r>
      <w:r>
        <w:t xml:space="preserve"> – Referências dos métodos analíticos</w:t>
      </w:r>
    </w:p>
    <w:tbl>
      <w:tblPr>
        <w:tblW w:w="9288" w:type="dxa"/>
        <w:tblLayout w:type="fixed"/>
        <w:tblLook w:val="04A0" w:firstRow="1" w:lastRow="0" w:firstColumn="1" w:lastColumn="0" w:noHBand="0" w:noVBand="1"/>
      </w:tblPr>
      <w:tblGrid>
        <w:gridCol w:w="1679"/>
        <w:gridCol w:w="1790"/>
        <w:gridCol w:w="2238"/>
        <w:gridCol w:w="3581"/>
      </w:tblGrid>
      <w:tr>
        <w:trPr>
          <w:tblHeader/>
          <w:cantSplit/>
        </w:trPr>
        <w:tc>
          <w:tcPr>
            <w:tcW w:w="1679"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Autor(es)</w:t>
            </w:r>
          </w:p>
        </w:tc>
        <w:tc>
          <w:tcPr>
            <w:tcW w:w="1790"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Método / conceito</w:t>
            </w:r>
          </w:p>
        </w:tc>
        <w:tc>
          <w:tcPr>
            <w:tcW w:w="2238"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Aplicação no projeto</w:t>
            </w:r>
          </w:p>
        </w:tc>
        <w:tc>
          <w:tcPr>
            <w:tcW w:w="3581"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Principais contribuições</w:t>
            </w:r>
          </w:p>
        </w:tc>
      </w:tr>
      <w:tr>
        <w:trPr>
          <w:cantSplit/>
        </w:trPr>
        <w:tc>
          <w:tcPr>
            <w:tcW w:w="167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Dickie (1951)</w:t>
            </w:r>
          </w:p>
        </w:tc>
        <w:tc>
          <w:tcPr>
            <w:tcW w:w="1790"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Classificação ABC (princípio de Pareto)</w:t>
            </w:r>
          </w:p>
        </w:tc>
        <w:tc>
          <w:tcPr>
            <w:tcW w:w="2238"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Curva ABC dos materiais pelo valor em estoque</w:t>
            </w:r>
          </w:p>
        </w:tc>
        <w:tc>
          <w:tcPr>
            <w:tcW w:w="358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Propõe priorizar o controle pelos itens de maior valor, e não pela quantidade de itens.</w:t>
            </w:r>
          </w:p>
          <w:p>
            <w:pPr>
              <w:spacing w:before="20" w:after="20" w:line="240" w:lineRule="auto"/>
              <w:ind w:left="0" w:firstLine="0"/>
              <w:jc w:val="left"/>
            </w:pPr>
            <w:r>
              <w:rPr>
                <w:rFonts w:ascii="Times New Roman" w:hAnsi="Times New Roman"/>
                <w:color w:val="000000"/>
                <w:sz w:val="18"/>
                <w:szCs w:val="18"/>
              </w:rPr>
              <w:t xml:space="preserve">- Poucos itens concentram a maior parte do valor.</w:t>
            </w:r>
          </w:p>
        </w:tc>
      </w:tr>
      <w:tr>
        <w:trPr>
          <w:cantSplit/>
        </w:trPr>
        <w:tc>
          <w:tcPr>
            <w:tcW w:w="167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Ballou (2006)</w:t>
            </w:r>
          </w:p>
        </w:tc>
        <w:tc>
          <w:tcPr>
            <w:tcW w:w="1790"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Gestão de estoques e nível de serviço</w:t>
            </w:r>
          </w:p>
        </w:tc>
        <w:tc>
          <w:tcPr>
            <w:tcW w:w="2238"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Definição de giro, cobertura e estoque médio</w:t>
            </w:r>
          </w:p>
        </w:tc>
        <w:tc>
          <w:tcPr>
            <w:tcW w:w="358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Relaciona o custo de manter estoque com o nível de serviço.</w:t>
            </w:r>
          </w:p>
          <w:p>
            <w:pPr>
              <w:spacing w:before="20" w:after="20" w:line="240" w:lineRule="auto"/>
              <w:ind w:left="0" w:firstLine="0"/>
              <w:jc w:val="left"/>
            </w:pPr>
            <w:r>
              <w:rPr>
                <w:rFonts w:ascii="Times New Roman" w:hAnsi="Times New Roman"/>
                <w:color w:val="000000"/>
                <w:sz w:val="18"/>
                <w:szCs w:val="18"/>
              </w:rPr>
              <w:t xml:space="preserve">- Apresenta o giro como relação entre vendas (ou consumo) e estoque médio.</w:t>
            </w:r>
          </w:p>
        </w:tc>
      </w:tr>
      <w:tr>
        <w:trPr>
          <w:cantSplit/>
        </w:trPr>
        <w:tc>
          <w:tcPr>
            <w:tcW w:w="167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Dias (2010)</w:t>
            </w:r>
          </w:p>
        </w:tc>
        <w:tc>
          <w:tcPr>
            <w:tcW w:w="1790"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Administração de materiais</w:t>
            </w:r>
          </w:p>
        </w:tc>
        <w:tc>
          <w:tcPr>
            <w:tcW w:w="2238"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Curva ABC, estoque médio, ruptura e excesso</w:t>
            </w:r>
          </w:p>
        </w:tc>
        <w:tc>
          <w:tcPr>
            <w:tcW w:w="358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Detalha o cálculo da Curva ABC e do giro de estoque.</w:t>
            </w:r>
          </w:p>
          <w:p>
            <w:pPr>
              <w:spacing w:before="20" w:after="20" w:line="240" w:lineRule="auto"/>
              <w:ind w:left="0" w:firstLine="0"/>
              <w:jc w:val="left"/>
            </w:pPr>
            <w:r>
              <w:rPr>
                <w:rFonts w:ascii="Times New Roman" w:hAnsi="Times New Roman"/>
                <w:color w:val="000000"/>
                <w:sz w:val="18"/>
                <w:szCs w:val="18"/>
              </w:rPr>
              <w:t xml:space="preserve">- Discute os riscos da falta e do excesso de materiais.</w:t>
            </w:r>
          </w:p>
        </w:tc>
      </w:tr>
      <w:tr>
        <w:trPr>
          <w:cantSplit/>
        </w:trPr>
        <w:tc>
          <w:tcPr>
            <w:tcW w:w="167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Slack, Chambers e Johnston (2009)</w:t>
            </w:r>
          </w:p>
        </w:tc>
        <w:tc>
          <w:tcPr>
            <w:tcW w:w="1790"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Planejamento e controle de estoques</w:t>
            </w:r>
          </w:p>
        </w:tc>
        <w:tc>
          <w:tcPr>
            <w:tcW w:w="2238"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Critérios de risco de ruptura e excesso</w:t>
            </w:r>
          </w:p>
        </w:tc>
        <w:tc>
          <w:tcPr>
            <w:tcW w:w="358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Explica por que as organizações mantêm estoques e como definir quanto e quando pedir.</w:t>
            </w:r>
          </w:p>
        </w:tc>
      </w:tr>
      <w:tr>
        <w:trPr>
          <w:cantSplit/>
        </w:trPr>
        <w:tc>
          <w:tcPr>
            <w:tcW w:w="167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Bowersox, Closs e Cooper (2007)</w:t>
            </w:r>
          </w:p>
        </w:tc>
        <w:tc>
          <w:tcPr>
            <w:tcW w:w="1790"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Logística integrada e desempenho</w:t>
            </w:r>
          </w:p>
        </w:tc>
        <w:tc>
          <w:tcPr>
            <w:tcW w:w="2238"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Escolha dos indicadores de desempenho logístico</w:t>
            </w:r>
          </w:p>
        </w:tc>
        <w:tc>
          <w:tcPr>
            <w:tcW w:w="358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Trata a disponibilidade de estoque e o capital investido como medidas centrais de desempenho logístico.</w:t>
            </w:r>
          </w:p>
        </w:tc>
      </w:tr>
      <w:tr>
        <w:trPr>
          <w:cantSplit/>
        </w:trPr>
        <w:tc>
          <w:tcPr>
            <w:tcW w:w="167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Kimball e Ross (2013)</w:t>
            </w:r>
          </w:p>
        </w:tc>
        <w:tc>
          <w:tcPr>
            <w:tcW w:w="1790"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Modelagem dimensional (esquema estrela)</w:t>
            </w:r>
          </w:p>
        </w:tc>
        <w:tc>
          <w:tcPr>
            <w:tcW w:w="2238"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Estrutura do modelo: tabela de materiais, calendário e tabelas de fatos</w:t>
            </w:r>
          </w:p>
        </w:tc>
        <w:tc>
          <w:tcPr>
            <w:tcW w:w="358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Propõe organizar os dados em tabelas de fatos e dimensões para facilitar a análise.</w:t>
            </w:r>
          </w:p>
        </w:tc>
      </w:tr>
      <w:tr>
        <w:trPr>
          <w:cantSplit/>
        </w:trPr>
        <w:tc>
          <w:tcPr>
            <w:tcW w:w="1679"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Russo e Ferrari (2019)</w:t>
            </w:r>
          </w:p>
        </w:tc>
        <w:tc>
          <w:tcPr>
            <w:tcW w:w="1790"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Linguagem DAX</w:t>
            </w:r>
          </w:p>
        </w:tc>
        <w:tc>
          <w:tcPr>
            <w:tcW w:w="2238"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Construção das medidas e colunas calculadas</w:t>
            </w:r>
          </w:p>
        </w:tc>
        <w:tc>
          <w:tcPr>
            <w:tcW w:w="3581"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Explica contexto de filtro, contexto de linha e funções como CALCULATE e SUMX.</w:t>
            </w:r>
          </w:p>
        </w:tc>
      </w:tr>
    </w:tbl>
    <w:p>
      <w:pPr>
        <w:spacing w:before="60"/>
        <w:ind w:firstLine="0"/>
      </w:pPr>
      <w:r>
        <w:rPr>
          <w:sz w:val="18"/>
          <w:szCs w:val="18"/>
        </w:rPr>
        <w:t xml:space="preserve">Fonte: elaborado pelos autores (2026).</w:t>
      </w:r>
    </w:p>
    <w:p>
      <w:r>
        <w:t xml:space="preserve">Dickie (1951) introduziu a classificação ABC na gestão de estoques ao mostrar que poucos itens concentram a maior parte do valor e que, por isso, o esforço de controle deve ser proporcional à importância financeira de cada item. No projeto, os materiais são ordenados pelo valor em estoque e classificados como A (até 80% do valor acumulado), B (até 95%) e C (o restante).</w:t>
      </w:r>
    </w:p>
    <w:p>
      <w:r>
        <w:t xml:space="preserve">Ballou (2006) apresenta o giro de estoque como a razão entre o volume movimentado em um período e o estoque médio desse mesmo período, além de relacionar o nível de estoque com o nível de serviço. Essa definição é a mesma adotada pela CPTM para o projeto: giro no período é igual ao consumo do período dividido pelo estoque médio do mesmo período.</w:t>
      </w:r>
    </w:p>
    <w:p>
      <w:r>
        <w:t xml:space="preserve">Dias (2010) detalha a construção da Curva ABC, o cálculo do estoque médio e a análise dos riscos de falta e de excesso de materiais. Esses conceitos embasam os indicadores de ruptura, excesso e estoque sem consumo, que foram adaptados às definições passadas pela CPTM.</w:t>
      </w:r>
    </w:p>
    <w:p>
      <w:r>
        <w:t xml:space="preserve">Slack, Chambers e Johnston (2009) discutem as razões para manter estoques e as decisões de quanto e quando pedir. A partir dessa discussão, o painel usa a cobertura de estoque, medida em meses de consumo, para indicar se o saldo de cada material está abaixo ou acima de um limite definido pelo usuário.</w:t>
      </w:r>
    </w:p>
    <w:p>
      <w:r>
        <w:t xml:space="preserve">Bowersox, Closs e Cooper (2007) tratam a disponibilidade de estoque e o capital investido como medidas centrais do desempenho logístico. Por isso, o painel apresenta ao mesmo tempo indicadores de disponibilidade, como ruptura e risco de ruptura, e indicadores financeiros, como valor em estoque e estoque médio.</w:t>
      </w:r>
    </w:p>
    <w:p>
      <w:r>
        <w:t xml:space="preserve">Kimball e Ross (2013) propõem a modelagem dimensional, que organiza os dados em tabelas de fatos (movimentações e saldos) ligadas a tabelas de dimensões (materiais, datas e classificações). O modelo do projeto segue essa lógica, com a base de materiais (PROD) e uma tabela calendário como dimensões principais.</w:t>
      </w:r>
    </w:p>
    <w:p>
      <w:r>
        <w:t xml:space="preserve">Russo e Ferrari (2019) explicam o funcionamento da linguagem DAX, usada no Power BI para criar medidas. Os conceitos de contexto de filtro e de contexto de linha foram necessários para calcular indicadores por material, como a cobertura e a situação do estoque, e depois contar os materiais em cada situação.</w:t>
      </w:r>
    </w:p>
    <w:p>
      <w:pPr>
        <w:pStyle w:val="Heading2"/>
      </w:pPr>
      <w:r>
        <w:t xml:space="preserve">Tecnologias da Informação</w:t>
      </w:r>
    </w:p>
    <w:p>
      <w:r>
        <w:t xml:space="preserve">A principal tecnologia do projeto é o </w:t>
      </w:r>
      <w:r>
        <w:rPr>
          <w:b/>
        </w:rPr>
        <w:t xml:space="preserve">Power BI Desktop</w:t>
      </w:r>
      <w:r>
        <w:t xml:space="preserve">, escolhido por ser a ferramenta pedida pela CPTM e por reunir, em um único ambiente, a preparação dos dados, a modelagem e a construção dos painéis. O projeto usou quatro recursos do Power BI:</w:t>
      </w:r>
    </w:p>
    <w:p>
      <w:pPr>
        <w:ind w:left="567" w:hanging="283" w:firstLine="0"/>
      </w:pPr>
      <w:r>
        <w:t xml:space="preserve">• </w:t>
      </w:r>
      <w:r>
        <w:rPr>
          <w:b/>
        </w:rPr>
        <w:t xml:space="preserve">Power Query (linguagem M):</w:t>
      </w:r>
      <w:r>
        <w:t xml:space="preserve"> importação das planilhas do ERP ALVO, correção dos tipos de dados no padrão brasileiro (datas dd/mm/aaaa e vírgula como separador decimal), limpeza de textos e criação de colunas-chave;</w:t>
      </w:r>
    </w:p>
    <w:p>
      <w:pPr>
        <w:ind w:left="567" w:hanging="283" w:firstLine="0"/>
      </w:pPr>
      <w:r>
        <w:t xml:space="preserve">• </w:t>
      </w:r>
      <w:r>
        <w:rPr>
          <w:b/>
        </w:rPr>
        <w:t xml:space="preserve">Modelo de dados:</w:t>
      </w:r>
      <w:r>
        <w:t xml:space="preserve"> relacionamentos entre as bases, tabelas calculadas (calendário, parâmetros, classificações e documentação) e colunas calculadas;</w:t>
      </w:r>
    </w:p>
    <w:p>
      <w:pPr>
        <w:ind w:left="567" w:hanging="283" w:firstLine="0"/>
      </w:pPr>
      <w:r>
        <w:t xml:space="preserve">• </w:t>
      </w:r>
      <w:r>
        <w:rPr>
          <w:b/>
        </w:rPr>
        <w:t xml:space="preserve">DAX (Data Analysis Expressions):</w:t>
      </w:r>
      <w:r>
        <w:t xml:space="preserve"> criação de 126 medidas para os indicadores, organizadas em pastas por página;</w:t>
      </w:r>
    </w:p>
    <w:p>
      <w:pPr>
        <w:ind w:left="567" w:hanging="283" w:firstLine="0"/>
      </w:pPr>
      <w:r>
        <w:t xml:space="preserve">• </w:t>
      </w:r>
      <w:r>
        <w:rPr>
          <w:b/>
        </w:rPr>
        <w:t xml:space="preserve">Relatório:</w:t>
      </w:r>
      <w:r>
        <w:t xml:space="preserve"> oito páginas com cards, gráficos, tabelas, filtros e seletores de parâmetro, nas cores azul e vermelho. Todas têm botões de navegação no topo, filtros sincronizados entre as páginas (tipo de consumo e ano) e um layout próprio para celular, atendendo aos requisitos RN.P.5 (navegação intuitiva) e RN.P.6 (visualização em diferentes dispositivos).</w:t>
      </w:r>
    </w:p>
    <w:p>
      <w:r>
        <w:t xml:space="preserve">O projeto foi salvo no formato </w:t>
      </w:r>
      <w:r>
        <w:rPr>
          <w:b/>
        </w:rPr>
        <w:t xml:space="preserve">Projeto do Power BI (.pbip)</w:t>
      </w:r>
      <w:r>
        <w:t xml:space="preserve">, que guarda o modelo e o relatório em arquivos de texto (TMDL e JSON) em vez de um único arquivo binário. Esse formato permite controlar as versões com ferramentas como o Git, atendendo ao requisito RN.P.4 do cliente, e facilita revisar exatamente o que mudou em cada versão. Para a entrega, o projeto pode ser salvo novamente como arquivo .pbix.</w:t>
      </w:r>
    </w:p>
    <w:p>
      <w:r>
        <w:t xml:space="preserve">A linguagem </w:t>
      </w:r>
      <w:r>
        <w:rPr>
          <w:b/>
        </w:rPr>
        <w:t xml:space="preserve">Python</w:t>
      </w:r>
      <w:r>
        <w:t xml:space="preserve">, com a biblioteca </w:t>
      </w:r>
      <w:r>
        <w:rPr>
          <w:b/>
        </w:rPr>
        <w:t xml:space="preserve">pandas</w:t>
      </w:r>
      <w:r>
        <w:t xml:space="preserve">, foi usada como apoio para explorar as bases e conferir os resultados calculados no Power BI, como os totais por classe ABC, o consumo por ano e a reconstrução do estoque mensal.</w:t>
      </w:r>
    </w:p>
    <w:p>
      <w:r>
        <w:t xml:space="preserve">As principais dificuldades foram: (i) as planilhas do ERP trazem números e datas como texto, o que exigiu conversão com a cultura pt-BR; (ii) o cadastro de materiais tinha linhas de grupo com códigos repetidos, que impediam a criação dos relacionamentos; (iii) algumas células com texto em colunas numéricas geraram erro na atualização, resolvido com a substituição de erros antes dos filtros; e (iv) as posições de estoque são fotografias de uma única data, o que exigiu reconstruir o estoque mês a mês a partir das movimentações para calcular o estoque médio.</w:t>
      </w:r>
    </w:p>
    <w:p>
      <w:pPr>
        <w:pStyle w:val="Heading1"/>
      </w:pPr>
      <w:r>
        <w:t xml:space="preserve">Coleta e descrição dos dados utilizados</w:t>
      </w:r>
    </w:p>
    <w:p>
      <w:r>
        <w:t xml:space="preserve">Os dados foram fornecidos pela CPTM em planilhas Excel extraídas do ERP ALVO nos dias 24 e 25 de agosto de 2026. A Tabela 2 descreve cada base, o seu conteúdo e a chave usada para relacioná-la ao cadastro de materiais.</w:t>
      </w:r>
    </w:p>
    <w:p>
      <w:pPr>
        <w:pStyle w:val="Caption"/>
        <w:keepNext/>
      </w:pPr>
      <w:r>
        <w:t xml:space="preserve">Tabela </w:t>
      </w:r>
      <w:r>
        <w:fldChar w:fldCharType="begin"/>
      </w:r>
      <w:r>
        <w:instrText xml:space="preserve"> SEQ Tabela \* ARABIC </w:instrText>
      </w:r>
      <w:r>
        <w:fldChar w:fldCharType="separate"/>
      </w:r>
      <w:r>
        <w:rPr>
          <w:noProof/>
        </w:rPr>
        <w:t>2</w:t>
      </w:r>
      <w:r>
        <w:fldChar w:fldCharType="end"/>
      </w:r>
      <w:r>
        <w:t xml:space="preserve"> – Bases de dados utilizadas</w:t>
      </w:r>
    </w:p>
    <w:tbl>
      <w:tblPr>
        <w:tblW w:w="9289" w:type="dxa"/>
        <w:tblLayout w:type="fixed"/>
        <w:tblLook w:val="04A0" w:firstRow="1" w:lastRow="0" w:firstColumn="1" w:lastColumn="0" w:noHBand="0" w:noVBand="1"/>
      </w:tblPr>
      <w:tblGrid>
        <w:gridCol w:w="1455"/>
        <w:gridCol w:w="3693"/>
        <w:gridCol w:w="1679"/>
        <w:gridCol w:w="2462"/>
      </w:tblGrid>
      <w:tr>
        <w:trPr>
          <w:tblHeader/>
          <w:cantSplit/>
        </w:trPr>
        <w:tc>
          <w:tcPr>
            <w:tcW w:w="1455"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Base</w:t>
            </w:r>
          </w:p>
        </w:tc>
        <w:tc>
          <w:tcPr>
            <w:tcW w:w="3693"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Conteúdo</w:t>
            </w:r>
          </w:p>
        </w:tc>
        <w:tc>
          <w:tcPr>
            <w:tcW w:w="1679"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Linhas</w:t>
            </w:r>
          </w:p>
        </w:tc>
        <w:tc>
          <w:tcPr>
            <w:tcW w:w="2462"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Chave de ligação</w:t>
            </w:r>
          </w:p>
        </w:tc>
      </w:tr>
      <w:tr>
        <w:trPr>
          <w:cantSplit/>
        </w:trPr>
        <w:tc>
          <w:tcPr>
            <w:tcW w:w="145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 PROD</w:t>
            </w:r>
          </w:p>
        </w:tc>
        <w:tc>
          <w:tcPr>
            <w:tcW w:w="369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Cadastro de materiais (descrição, tipo, status, classificações)</w:t>
            </w:r>
          </w:p>
        </w:tc>
        <w:tc>
          <w:tcPr>
            <w:tcW w:w="167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56.831 (56.397 após tratamento)</w:t>
            </w:r>
          </w:p>
        </w:tc>
        <w:tc>
          <w:tcPr>
            <w:tcW w:w="246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Alternativo (Código CPTM) e Estruturado</w:t>
            </w:r>
          </w:p>
        </w:tc>
      </w:tr>
      <w:tr>
        <w:trPr>
          <w:cantSplit/>
        </w:trPr>
        <w:tc>
          <w:tcPr>
            <w:tcW w:w="145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2. RES43</w:t>
            </w:r>
          </w:p>
        </w:tc>
        <w:tc>
          <w:tcPr>
            <w:tcW w:w="369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no ponto de reposição: saldo, consumo médio, PCA mensal, necessidade de compra e processos de suprimento</w:t>
            </w:r>
          </w:p>
        </w:tc>
        <w:tc>
          <w:tcPr>
            <w:tcW w:w="167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788 (681 materiais)</w:t>
            </w:r>
          </w:p>
        </w:tc>
        <w:tc>
          <w:tcPr>
            <w:tcW w:w="246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CPTM</w:t>
            </w:r>
          </w:p>
        </w:tc>
      </w:tr>
      <w:tr>
        <w:trPr>
          <w:cantSplit/>
        </w:trPr>
        <w:tc>
          <w:tcPr>
            <w:tcW w:w="145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Centro de Custo</w:t>
            </w:r>
          </w:p>
        </w:tc>
        <w:tc>
          <w:tcPr>
            <w:tcW w:w="369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Cadastro de centros de custo</w:t>
            </w:r>
          </w:p>
        </w:tc>
        <w:tc>
          <w:tcPr>
            <w:tcW w:w="167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5.840</w:t>
            </w:r>
          </w:p>
        </w:tc>
        <w:tc>
          <w:tcPr>
            <w:tcW w:w="246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Ainda não relacionada</w:t>
            </w:r>
          </w:p>
        </w:tc>
      </w:tr>
      <w:tr>
        <w:trPr>
          <w:cantSplit/>
        </w:trPr>
        <w:tc>
          <w:tcPr>
            <w:tcW w:w="145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4. RES34</w:t>
            </w:r>
          </w:p>
        </w:tc>
        <w:tc>
          <w:tcPr>
            <w:tcW w:w="369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Saldo e valor por almoxarifado, status (ativo/obsoleto) e destinação</w:t>
            </w:r>
          </w:p>
        </w:tc>
        <w:tc>
          <w:tcPr>
            <w:tcW w:w="167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9.266 (9.172 materiais)</w:t>
            </w:r>
          </w:p>
        </w:tc>
        <w:tc>
          <w:tcPr>
            <w:tcW w:w="246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Cód. Red. (Código CPTM)</w:t>
            </w:r>
          </w:p>
        </w:tc>
      </w:tr>
      <w:tr>
        <w:trPr>
          <w:cantSplit/>
        </w:trPr>
        <w:tc>
          <w:tcPr>
            <w:tcW w:w="145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5. RES47</w:t>
            </w:r>
          </w:p>
        </w:tc>
        <w:tc>
          <w:tcPr>
            <w:tcW w:w="369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Posição do estoque: quantidade, custo médio, valor, última movimentação e último consumo</w:t>
            </w:r>
          </w:p>
        </w:tc>
        <w:tc>
          <w:tcPr>
            <w:tcW w:w="167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9.487</w:t>
            </w:r>
          </w:p>
        </w:tc>
        <w:tc>
          <w:tcPr>
            <w:tcW w:w="246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Código Reduzido (Código CPTM)</w:t>
            </w:r>
          </w:p>
        </w:tc>
      </w:tr>
      <w:tr>
        <w:trPr>
          <w:cantSplit/>
        </w:trPr>
        <w:tc>
          <w:tcPr>
            <w:tcW w:w="145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6. RES75</w:t>
            </w:r>
          </w:p>
        </w:tc>
        <w:tc>
          <w:tcPr>
            <w:tcW w:w="369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Previsão de consumo (PCAN) e movimentação anual por centro de controle, de 2014 a 2026</w:t>
            </w:r>
          </w:p>
        </w:tc>
        <w:tc>
          <w:tcPr>
            <w:tcW w:w="167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154.146</w:t>
            </w:r>
          </w:p>
        </w:tc>
        <w:tc>
          <w:tcPr>
            <w:tcW w:w="246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Código CPTM</w:t>
            </w:r>
          </w:p>
        </w:tc>
      </w:tr>
      <w:tr>
        <w:trPr>
          <w:cantSplit/>
        </w:trPr>
        <w:tc>
          <w:tcPr>
            <w:tcW w:w="145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7. RES82</w:t>
            </w:r>
          </w:p>
        </w:tc>
        <w:tc>
          <w:tcPr>
            <w:tcW w:w="369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Movimentações de materiais (entradas e saídas) de jan/2021 a ago/2026</w:t>
            </w:r>
          </w:p>
        </w:tc>
        <w:tc>
          <w:tcPr>
            <w:tcW w:w="167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188.715</w:t>
            </w:r>
          </w:p>
        </w:tc>
        <w:tc>
          <w:tcPr>
            <w:tcW w:w="246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Código estruturado (extraído da coluna Produto)</w:t>
            </w:r>
          </w:p>
        </w:tc>
      </w:tr>
      <w:tr>
        <w:trPr>
          <w:cantSplit/>
        </w:trPr>
        <w:tc>
          <w:tcPr>
            <w:tcW w:w="1455"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8. Movimentações Materiais</w:t>
            </w:r>
          </w:p>
        </w:tc>
        <w:tc>
          <w:tcPr>
            <w:tcW w:w="3693"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Etapas das requisições (separação, conferência e entrega)</w:t>
            </w:r>
          </w:p>
        </w:tc>
        <w:tc>
          <w:tcPr>
            <w:tcW w:w="1679"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67.331</w:t>
            </w:r>
          </w:p>
        </w:tc>
        <w:tc>
          <w:tcPr>
            <w:tcW w:w="2462"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Número da movimentação (RM)</w:t>
            </w:r>
          </w:p>
        </w:tc>
      </w:tr>
    </w:tbl>
    <w:p>
      <w:pPr>
        <w:spacing w:before="60"/>
        <w:ind w:firstLine="0"/>
      </w:pPr>
      <w:r>
        <w:rPr>
          <w:sz w:val="18"/>
          <w:szCs w:val="18"/>
        </w:rPr>
        <w:t xml:space="preserve">Fonte: elaborado pelos autores (2026).</w:t>
      </w:r>
    </w:p>
    <w:p>
      <w:pPr>
        <w:pStyle w:val="Heading2"/>
      </w:pPr>
      <w:r>
        <w:t xml:space="preserve">Tratamento dos dados</w:t>
      </w:r>
    </w:p>
    <w:p>
      <w:r>
        <w:t xml:space="preserve">Os tratamentos foram feitos no Power Query e ficam registrados como etapas de cada consulta, o que permite repeti-los a cada atualização das bases:</w:t>
      </w:r>
    </w:p>
    <w:p>
      <w:pPr>
        <w:ind w:left="567" w:hanging="283" w:firstLine="0"/>
      </w:pPr>
      <w:r>
        <w:t xml:space="preserve">• </w:t>
      </w:r>
      <w:r>
        <w:rPr>
          <w:b/>
        </w:rPr>
        <w:t xml:space="preserve">PROD:</w:t>
      </w:r>
      <w:r>
        <w:t xml:space="preserve"> substituição de erros na coluna Alternativo e remoção de 421 linhas de grupo (Grupo = "Sim") e 13 linhas sem código. Essas linhas repetiam o Código CPTM e impediam que a PROD fosse usada como tabela de materiais. Depois do tratamento, os códigos das demais bases foram encontrados na PROD;</w:t>
      </w:r>
    </w:p>
    <w:p>
      <w:pPr>
        <w:ind w:left="567" w:hanging="283" w:firstLine="0"/>
      </w:pPr>
      <w:r>
        <w:t xml:space="preserve">• </w:t>
      </w:r>
      <w:r>
        <w:rPr>
          <w:b/>
        </w:rPr>
        <w:t xml:space="preserve">RES75:</w:t>
      </w:r>
      <w:r>
        <w:t xml:space="preserve"> criação da coluna numérica "Consumo 2025" a partir da coluna de texto "2025 MOV", com conversão no padrão brasileiro;</w:t>
      </w:r>
    </w:p>
    <w:p>
      <w:pPr>
        <w:ind w:left="567" w:hanging="283" w:firstLine="0"/>
      </w:pPr>
      <w:r>
        <w:t xml:space="preserve">• </w:t>
      </w:r>
      <w:r>
        <w:rPr>
          <w:b/>
        </w:rPr>
        <w:t xml:space="preserve">RES82:</w:t>
      </w:r>
      <w:r>
        <w:t xml:space="preserve"> conversão de datas e valores no padrão pt-BR; extração do código estruturado a partir da coluna Produto (texto antes de " - "); extração do código do tipo de movimentação a partir da coluna Tipo Lancto.; e criação da coluna "Número RM", preenchida somente quando a Espécie é RM;</w:t>
      </w:r>
    </w:p>
    <w:p>
      <w:pPr>
        <w:ind w:left="567" w:hanging="283" w:firstLine="0"/>
      </w:pPr>
      <w:r>
        <w:t xml:space="preserve">• </w:t>
      </w:r>
      <w:r>
        <w:rPr>
          <w:b/>
        </w:rPr>
        <w:t xml:space="preserve">Movimentações Materiais (base 8):</w:t>
      </w:r>
      <w:r>
        <w:t xml:space="preserve"> remoção de quebras de linha e espaços extras em todas as colunas de texto e conversão das colunas de data e hora.</w:t>
      </w:r>
    </w:p>
    <w:p>
      <w:r>
        <w:t xml:space="preserve">O código em linguagem M dos dois principais tratamentos está reproduzido a seguir:</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PROD – etapas adicionadas</w:t>
      </w:r>
    </w:p>
    <w:p>
      <w:pPr>
        <w:keepNext/>
        <w:shd w:val="clear" w:color="auto" w:fill="F2F2F2"/>
        <w:spacing w:before="0" w:after="0" w:line="240" w:lineRule="auto"/>
        <w:ind w:left="284" w:firstLine="0"/>
        <w:jc w:val="left"/>
      </w:pPr>
      <w:r>
        <w:rPr>
          <w:rFonts w:ascii="Consolas" w:hAnsi="Consolas" w:cs="Consolas"/>
          <w:sz w:val="17"/>
          <w:szCs w:val="17"/>
        </w:rPr>
        <w:t xml:space="preserve">#"Erros Substituídos" = Table.ReplaceErrorValues(#"Tipo Alterado", {{"Alternativo", null}, {"Grupo", null}}),</w:t>
      </w:r>
    </w:p>
    <w:p>
      <w:pPr>
        <w:keepNext/>
        <w:shd w:val="clear" w:color="auto" w:fill="F2F2F2"/>
        <w:spacing w:before="0" w:after="0" w:line="240" w:lineRule="auto"/>
        <w:ind w:left="284" w:firstLine="0"/>
        <w:jc w:val="left"/>
      </w:pPr>
      <w:r>
        <w:rPr>
          <w:rFonts w:ascii="Consolas" w:hAnsi="Consolas" w:cs="Consolas"/>
          <w:sz w:val="17"/>
          <w:szCs w:val="17"/>
        </w:rPr>
        <w:t xml:space="preserve">#"Linhas Filtradas" = Table.SelectRows(#"Erros Substituídos", each [Alternativo] &lt;&gt; null and [Grupo] &lt;&gt; "Sim")</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RES82 – colunas-chave</w:t>
      </w:r>
    </w:p>
    <w:p>
      <w:pPr>
        <w:keepNext/>
        <w:shd w:val="clear" w:color="auto" w:fill="F2F2F2"/>
        <w:spacing w:before="0" w:after="0" w:line="240" w:lineRule="auto"/>
        <w:ind w:left="284" w:firstLine="0"/>
        <w:jc w:val="left"/>
      </w:pPr>
      <w:r>
        <w:rPr>
          <w:rFonts w:ascii="Consolas" w:hAnsi="Consolas" w:cs="Consolas"/>
          <w:sz w:val="17"/>
          <w:szCs w:val="17"/>
        </w:rPr>
        <w:t xml:space="preserve">#"Cód. Estr." = Table.AddColumn(#"Tipo Número", "Cód. Estr.", each Text.Trim(Text.BeforeDelimiter([Produto], " - ")), type text),</w:t>
      </w:r>
    </w:p>
    <w:p>
      <w:pPr>
        <w:keepNext/>
        <w:shd w:val="clear" w:color="auto" w:fill="F2F2F2"/>
        <w:spacing w:before="0" w:after="0" w:line="240" w:lineRule="auto"/>
        <w:ind w:left="284" w:firstLine="0"/>
        <w:jc w:val="left"/>
      </w:pPr>
      <w:r>
        <w:rPr>
          <w:rFonts w:ascii="Consolas" w:hAnsi="Consolas" w:cs="Consolas"/>
          <w:sz w:val="17"/>
          <w:szCs w:val="17"/>
        </w:rPr>
        <w:t xml:space="preserve">#"Código Movimento" = Table.AddColumn(#"Cód. Estr.", "Código Movimento", each Text.Trim(Text.BeforeDelimiter([#"Tipo Lancto."], " - ")), type text),</w:t>
      </w:r>
    </w:p>
    <w:p>
      <w:pPr>
        <w:keepNext/>
        <w:shd w:val="clear" w:color="auto" w:fill="F2F2F2"/>
        <w:spacing w:before="0" w:after="0" w:line="240" w:lineRule="auto"/>
        <w:ind w:left="284" w:firstLine="0"/>
        <w:jc w:val="left"/>
      </w:pPr>
      <w:r>
        <w:rPr>
          <w:rFonts w:ascii="Consolas" w:hAnsi="Consolas" w:cs="Consolas"/>
          <w:sz w:val="17"/>
          <w:szCs w:val="17"/>
        </w:rPr>
        <w:t xml:space="preserve">#"Número RM" = Table.AddColumn(#"Código Movimento", "Número RM", each if [Espécie] = "RM" then [Número] else null, type text)</w:t>
      </w:r>
    </w:p>
    <w:p>
      <w:pPr>
        <w:spacing w:before="0" w:after="60"/>
      </w:pPr>
    </w:p>
    <w:p>
      <w:pPr>
        <w:pStyle w:val="Heading2"/>
      </w:pPr>
      <w:r>
        <w:t xml:space="preserve">Modelo de dados e relacionamentos</w:t>
      </w:r>
    </w:p>
    <w:p>
      <w:r>
        <w:t xml:space="preserve">A CPTM confirmou que o Código CPTM, representado pela coluna Alternativo da PROD, é o identificador principal dos materiais. Por isso, a PROD foi usada como tabela de dimensão de materiais, e as demais bases foram ligadas a ela conforme a Tabela 3. Todos os relacionamentos são de um para muitos, com filtro em direção única, da PROD para as bases de fatos.</w:t>
      </w:r>
    </w:p>
    <w:p>
      <w:pPr>
        <w:pStyle w:val="Caption"/>
        <w:keepNext/>
      </w:pPr>
      <w:r>
        <w:t xml:space="preserve">Tabela </w:t>
      </w:r>
      <w:r>
        <w:fldChar w:fldCharType="begin"/>
      </w:r>
      <w:r>
        <w:instrText xml:space="preserve"> SEQ Tabela \* ARABIC </w:instrText>
      </w:r>
      <w:r>
        <w:fldChar w:fldCharType="separate"/>
      </w:r>
      <w:r>
        <w:rPr>
          <w:noProof/>
        </w:rPr>
        <w:t>3</w:t>
      </w:r>
      <w:r>
        <w:fldChar w:fldCharType="end"/>
      </w:r>
      <w:r>
        <w:t xml:space="preserve"> – Relacionamentos do modelo de dados</w:t>
      </w:r>
    </w:p>
    <w:tbl>
      <w:tblPr>
        <w:tblW w:w="9288" w:type="dxa"/>
        <w:tblLayout w:type="fixed"/>
        <w:tblLook w:val="04A0" w:firstRow="1" w:lastRow="0" w:firstColumn="1" w:lastColumn="0" w:noHBand="0" w:noVBand="1"/>
      </w:tblPr>
      <w:tblGrid>
        <w:gridCol w:w="1343"/>
        <w:gridCol w:w="1790"/>
        <w:gridCol w:w="2686"/>
        <w:gridCol w:w="3469"/>
      </w:tblGrid>
      <w:tr>
        <w:trPr>
          <w:tblHeader/>
          <w:cantSplit/>
        </w:trPr>
        <w:tc>
          <w:tcPr>
            <w:tcW w:w="1343"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Base</w:t>
            </w:r>
          </w:p>
        </w:tc>
        <w:tc>
          <w:tcPr>
            <w:tcW w:w="1790"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Coluna</w:t>
            </w:r>
          </w:p>
        </w:tc>
        <w:tc>
          <w:tcPr>
            <w:tcW w:w="2686"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Liga com</w:t>
            </w:r>
          </w:p>
        </w:tc>
        <w:tc>
          <w:tcPr>
            <w:tcW w:w="3469"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Observação</w:t>
            </w:r>
          </w:p>
        </w:tc>
      </w:tr>
      <w:tr>
        <w:trPr>
          <w:cantSplit/>
        </w:trPr>
        <w:tc>
          <w:tcPr>
            <w:tcW w:w="134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RES34</w:t>
            </w:r>
          </w:p>
        </w:tc>
        <w:tc>
          <w:tcPr>
            <w:tcW w:w="1790"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Cód. Red.</w:t>
            </w:r>
          </w:p>
        </w:tc>
        <w:tc>
          <w:tcPr>
            <w:tcW w:w="268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PROD – Alternativo</w:t>
            </w:r>
          </w:p>
        </w:tc>
        <w:tc>
          <w:tcPr>
            <w:tcW w:w="346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Código CPTM</w:t>
            </w:r>
          </w:p>
        </w:tc>
      </w:tr>
      <w:tr>
        <w:trPr>
          <w:cantSplit/>
        </w:trPr>
        <w:tc>
          <w:tcPr>
            <w:tcW w:w="134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RES43</w:t>
            </w:r>
          </w:p>
        </w:tc>
        <w:tc>
          <w:tcPr>
            <w:tcW w:w="1790"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CPTM</w:t>
            </w:r>
          </w:p>
        </w:tc>
        <w:tc>
          <w:tcPr>
            <w:tcW w:w="268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PROD – Alternativo</w:t>
            </w:r>
          </w:p>
        </w:tc>
        <w:tc>
          <w:tcPr>
            <w:tcW w:w="346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Código CPTM</w:t>
            </w:r>
          </w:p>
        </w:tc>
      </w:tr>
      <w:tr>
        <w:trPr>
          <w:cantSplit/>
        </w:trPr>
        <w:tc>
          <w:tcPr>
            <w:tcW w:w="134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RES47</w:t>
            </w:r>
          </w:p>
        </w:tc>
        <w:tc>
          <w:tcPr>
            <w:tcW w:w="1790"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Código Reduzido</w:t>
            </w:r>
          </w:p>
        </w:tc>
        <w:tc>
          <w:tcPr>
            <w:tcW w:w="268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PROD – Alternativo</w:t>
            </w:r>
          </w:p>
        </w:tc>
        <w:tc>
          <w:tcPr>
            <w:tcW w:w="346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Código CPTM</w:t>
            </w:r>
          </w:p>
        </w:tc>
      </w:tr>
      <w:tr>
        <w:trPr>
          <w:cantSplit/>
        </w:trPr>
        <w:tc>
          <w:tcPr>
            <w:tcW w:w="134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RES75</w:t>
            </w:r>
          </w:p>
        </w:tc>
        <w:tc>
          <w:tcPr>
            <w:tcW w:w="1790"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Código CPTM</w:t>
            </w:r>
          </w:p>
        </w:tc>
        <w:tc>
          <w:tcPr>
            <w:tcW w:w="268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PROD – Alternativo</w:t>
            </w:r>
          </w:p>
        </w:tc>
        <w:tc>
          <w:tcPr>
            <w:tcW w:w="346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Código CPTM</w:t>
            </w:r>
          </w:p>
        </w:tc>
      </w:tr>
      <w:tr>
        <w:trPr>
          <w:cantSplit/>
        </w:trPr>
        <w:tc>
          <w:tcPr>
            <w:tcW w:w="134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RES82</w:t>
            </w:r>
          </w:p>
        </w:tc>
        <w:tc>
          <w:tcPr>
            <w:tcW w:w="1790"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Cód. Estr.</w:t>
            </w:r>
          </w:p>
        </w:tc>
        <w:tc>
          <w:tcPr>
            <w:tcW w:w="268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PROD – Estruturado</w:t>
            </w:r>
          </w:p>
        </w:tc>
        <w:tc>
          <w:tcPr>
            <w:tcW w:w="346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A RES82 não tem o Código CPTM</w:t>
            </w:r>
          </w:p>
        </w:tc>
      </w:tr>
      <w:tr>
        <w:trPr>
          <w:cantSplit/>
        </w:trPr>
        <w:tc>
          <w:tcPr>
            <w:tcW w:w="134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Base 8</w:t>
            </w:r>
          </w:p>
        </w:tc>
        <w:tc>
          <w:tcPr>
            <w:tcW w:w="1790"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Número</w:t>
            </w:r>
          </w:p>
        </w:tc>
        <w:tc>
          <w:tcPr>
            <w:tcW w:w="268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RES82 – Número RM</w:t>
            </w:r>
          </w:p>
        </w:tc>
        <w:tc>
          <w:tcPr>
            <w:tcW w:w="346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Somente Espécie = RM, conforme a CPTM</w:t>
            </w:r>
          </w:p>
        </w:tc>
      </w:tr>
      <w:tr>
        <w:trPr>
          <w:cantSplit/>
        </w:trPr>
        <w:tc>
          <w:tcPr>
            <w:tcW w:w="134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RES82</w:t>
            </w:r>
          </w:p>
        </w:tc>
        <w:tc>
          <w:tcPr>
            <w:tcW w:w="1790"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Código Movimento</w:t>
            </w:r>
          </w:p>
        </w:tc>
        <w:tc>
          <w:tcPr>
            <w:tcW w:w="268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Tipo de Movimentação – Código</w:t>
            </w:r>
          </w:p>
        </w:tc>
        <w:tc>
          <w:tcPr>
            <w:tcW w:w="346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Classificação dos lançamentos</w:t>
            </w:r>
          </w:p>
        </w:tc>
      </w:tr>
      <w:tr>
        <w:trPr>
          <w:cantSplit/>
        </w:trPr>
        <w:tc>
          <w:tcPr>
            <w:tcW w:w="1343"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RES82</w:t>
            </w:r>
          </w:p>
        </w:tc>
        <w:tc>
          <w:tcPr>
            <w:tcW w:w="1790"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Entrada</w:t>
            </w:r>
          </w:p>
        </w:tc>
        <w:tc>
          <w:tcPr>
            <w:tcW w:w="2686"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dCalendario – Date</w:t>
            </w:r>
          </w:p>
        </w:tc>
        <w:tc>
          <w:tcPr>
            <w:tcW w:w="3469"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Filtro por período</w:t>
            </w:r>
          </w:p>
        </w:tc>
      </w:tr>
    </w:tbl>
    <w:p>
      <w:pPr>
        <w:spacing w:before="60"/>
        <w:ind w:firstLine="0"/>
      </w:pPr>
      <w:r>
        <w:rPr>
          <w:sz w:val="18"/>
          <w:szCs w:val="18"/>
        </w:rPr>
        <w:t xml:space="preserve">Fonte: elaborado pelos autores (2026).</w:t>
      </w:r>
    </w:p>
    <w:p>
      <w:r>
        <w:t xml:space="preserve">Além das bases importadas, o modelo tem tabelas criadas no próprio Power BI: </w:t>
      </w:r>
      <w:r>
        <w:rPr>
          <w:b/>
        </w:rPr>
        <w:t xml:space="preserve">dCalendario</w:t>
      </w:r>
      <w:r>
        <w:t xml:space="preserve"> (datas de 2021 a 2026), </w:t>
      </w:r>
      <w:r>
        <w:rPr>
          <w:b/>
        </w:rPr>
        <w:t xml:space="preserve">Tipo de Movimentação</w:t>
      </w:r>
      <w:r>
        <w:t xml:space="preserve"> (classificação dos lançamentos), </w:t>
      </w:r>
      <w:r>
        <w:rPr>
          <w:b/>
        </w:rPr>
        <w:t xml:space="preserve">CurvaABC</w:t>
      </w:r>
      <w:r>
        <w:t xml:space="preserve"> (classificação dos materiais por valor), </w:t>
      </w:r>
      <w:r>
        <w:rPr>
          <w:b/>
        </w:rPr>
        <w:t xml:space="preserve">Parâmetro Risco</w:t>
      </w:r>
      <w:r>
        <w:t xml:space="preserve"> e </w:t>
      </w:r>
      <w:r>
        <w:rPr>
          <w:b/>
        </w:rPr>
        <w:t xml:space="preserve">Parâmetro Excesso</w:t>
      </w:r>
      <w:r>
        <w:t xml:space="preserve"> (limites escolhidos pelo usuário), </w:t>
      </w:r>
      <w:r>
        <w:rPr>
          <w:b/>
        </w:rPr>
        <w:t xml:space="preserve">dStatus</w:t>
      </w:r>
      <w:r>
        <w:t xml:space="preserve">, </w:t>
      </w:r>
      <w:r>
        <w:rPr>
          <w:b/>
        </w:rPr>
        <w:t xml:space="preserve">dAderencia</w:t>
      </w:r>
      <w:r>
        <w:t xml:space="preserve">, </w:t>
      </w:r>
      <w:r>
        <w:rPr>
          <w:b/>
        </w:rPr>
        <w:t xml:space="preserve">dRotatividade</w:t>
      </w:r>
      <w:r>
        <w:t xml:space="preserve">, </w:t>
      </w:r>
      <w:r>
        <w:rPr>
          <w:b/>
        </w:rPr>
        <w:t xml:space="preserve">dEtapa</w:t>
      </w:r>
      <w:r>
        <w:t xml:space="preserve"> e </w:t>
      </w:r>
      <w:r>
        <w:rPr>
          <w:b/>
        </w:rPr>
        <w:t xml:space="preserve">dDestino</w:t>
      </w:r>
      <w:r>
        <w:t xml:space="preserve"> (categorias usadas nos gráficos) e três tabelas de documentação (</w:t>
      </w:r>
      <w:r>
        <w:rPr>
          <w:b/>
        </w:rPr>
        <w:t xml:space="preserve">Dicionário de Indicadores</w:t>
      </w:r>
      <w:r>
        <w:t xml:space="preserve">, </w:t>
      </w:r>
      <w:r>
        <w:rPr>
          <w:b/>
        </w:rPr>
        <w:t xml:space="preserve">Mapa de Relacionamentos</w:t>
      </w:r>
      <w:r>
        <w:t xml:space="preserve"> e </w:t>
      </w:r>
      <w:r>
        <w:rPr>
          <w:b/>
        </w:rPr>
        <w:t xml:space="preserve">Testes de Consistência</w:t>
      </w:r>
      <w:r>
        <w:t xml:space="preserve">).</w:t>
      </w:r>
    </w:p>
    <w:p>
      <w:pPr>
        <w:pStyle w:val="Heading2"/>
      </w:pPr>
      <w:r>
        <w:t xml:space="preserve">Classificação dos tipos de movimentação</w:t>
      </w:r>
    </w:p>
    <w:p>
      <w:r>
        <w:t xml:space="preserve">A CPTM orientou que o consumo efetivo seja separado de transferências, devoluções, ajustes de inventário e outros eventos. A RES82 tem 98 tipos de movimentação, mas as quantidades são sempre positivas, sem indicar se o lançamento é entrada ou saída. Por isso, cada tipo foi classificado pelo seu nome em um sentido (entrada, saída, neutro ou somente valor) e em uma categoria. A Tabela 4 resume o resultado.</w:t>
      </w:r>
    </w:p>
    <w:p>
      <w:pPr>
        <w:pStyle w:val="Caption"/>
        <w:keepNext/>
      </w:pPr>
      <w:r>
        <w:t xml:space="preserve">Tabela </w:t>
      </w:r>
      <w:r>
        <w:fldChar w:fldCharType="begin"/>
      </w:r>
      <w:r>
        <w:instrText xml:space="preserve"> SEQ Tabela \* ARABIC </w:instrText>
      </w:r>
      <w:r>
        <w:fldChar w:fldCharType="separate"/>
      </w:r>
      <w:r>
        <w:rPr>
          <w:noProof/>
        </w:rPr>
        <w:t>4</w:t>
      </w:r>
      <w:r>
        <w:fldChar w:fldCharType="end"/>
      </w:r>
      <w:r>
        <w:t xml:space="preserve"> – Categorias de movimentação da RES82</w:t>
      </w:r>
    </w:p>
    <w:tbl>
      <w:tblPr>
        <w:tblW w:w="9287" w:type="dxa"/>
        <w:tblLayout w:type="fixed"/>
        <w:tblLook w:val="04A0" w:firstRow="1" w:lastRow="0" w:firstColumn="1" w:lastColumn="0" w:noHBand="0" w:noVBand="1"/>
      </w:tblPr>
      <w:tblGrid>
        <w:gridCol w:w="2211"/>
        <w:gridCol w:w="1437"/>
        <w:gridCol w:w="4423"/>
        <w:gridCol w:w="1216"/>
      </w:tblGrid>
      <w:tr>
        <w:trPr>
          <w:tblHeader/>
          <w:cantSplit/>
        </w:trPr>
        <w:tc>
          <w:tcPr>
            <w:tcW w:w="2211"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Categoria</w:t>
            </w:r>
          </w:p>
        </w:tc>
        <w:tc>
          <w:tcPr>
            <w:tcW w:w="1437"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Sentido</w:t>
            </w:r>
          </w:p>
        </w:tc>
        <w:tc>
          <w:tcPr>
            <w:tcW w:w="4423"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Exemplos de tipos</w:t>
            </w:r>
          </w:p>
        </w:tc>
        <w:tc>
          <w:tcPr>
            <w:tcW w:w="1216"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Lançamentos</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Consumo efetivo</w:t>
            </w:r>
          </w:p>
        </w:tc>
        <w:tc>
          <w:tcPr>
            <w:tcW w:w="143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Saída</w:t>
            </w:r>
          </w:p>
        </w:tc>
        <w:tc>
          <w:tcPr>
            <w:tcW w:w="442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Saída por requisição de manutenção, operação, administração e engenharia</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104.359</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Descarte / venda / doação</w:t>
            </w:r>
          </w:p>
        </w:tc>
        <w:tc>
          <w:tcPr>
            <w:tcW w:w="143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Saída</w:t>
            </w:r>
          </w:p>
        </w:tc>
        <w:tc>
          <w:tcPr>
            <w:tcW w:w="442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Venda de sucata em leilão, descarte, doação</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22.798</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Transferência interna</w:t>
            </w:r>
          </w:p>
        </w:tc>
        <w:tc>
          <w:tcPr>
            <w:tcW w:w="143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Neutro</w:t>
            </w:r>
          </w:p>
        </w:tc>
        <w:tc>
          <w:tcPr>
            <w:tcW w:w="442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Transferência do estoque transitório para o local oficial, estorno de laudo</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16.091</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Devolução de requisição</w:t>
            </w:r>
          </w:p>
        </w:tc>
        <w:tc>
          <w:tcPr>
            <w:tcW w:w="143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Entrada</w:t>
            </w:r>
          </w:p>
        </w:tc>
        <w:tc>
          <w:tcPr>
            <w:tcW w:w="442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Devolução de materiais diversos (manutenção, operação, ADM)</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15.236</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Entrada por compra</w:t>
            </w:r>
          </w:p>
        </w:tc>
        <w:tc>
          <w:tcPr>
            <w:tcW w:w="143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Entrada</w:t>
            </w:r>
          </w:p>
        </w:tc>
        <w:tc>
          <w:tcPr>
            <w:tcW w:w="442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Entrada por OF, fundo fixo de material de estoque</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12.040</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Compra direta (fundo fixo)</w:t>
            </w:r>
          </w:p>
        </w:tc>
        <w:tc>
          <w:tcPr>
            <w:tcW w:w="143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Neutro</w:t>
            </w:r>
          </w:p>
        </w:tc>
        <w:tc>
          <w:tcPr>
            <w:tcW w:w="442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Fundo fixo GOF, GFA e GOS (códigos 5.02, não estocáveis)</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6.081</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Devolução a fornecedor</w:t>
            </w:r>
          </w:p>
        </w:tc>
        <w:tc>
          <w:tcPr>
            <w:tcW w:w="143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Saída</w:t>
            </w:r>
          </w:p>
        </w:tc>
        <w:tc>
          <w:tcPr>
            <w:tcW w:w="442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Devolução para fornecedor</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3.793</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Remessa / empréstimo / retorno</w:t>
            </w:r>
          </w:p>
        </w:tc>
        <w:tc>
          <w:tcPr>
            <w:tcW w:w="143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Entrada ou saída</w:t>
            </w:r>
          </w:p>
        </w:tc>
        <w:tc>
          <w:tcPr>
            <w:tcW w:w="442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Remessa e retorno de garantia, teste, industrialização e empréstimo</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3.193</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Transferência externa</w:t>
            </w:r>
          </w:p>
        </w:tc>
        <w:tc>
          <w:tcPr>
            <w:tcW w:w="143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Saída</w:t>
            </w:r>
          </w:p>
        </w:tc>
        <w:tc>
          <w:tcPr>
            <w:tcW w:w="442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Remessas para ViaMobilidade, TIC Trens e STM</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1.852</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Ajuste de inventário</w:t>
            </w:r>
          </w:p>
        </w:tc>
        <w:tc>
          <w:tcPr>
            <w:tcW w:w="143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Entrada ou saída</w:t>
            </w:r>
          </w:p>
        </w:tc>
        <w:tc>
          <w:tcPr>
            <w:tcW w:w="442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Entrada e saída por ajuste de inventário</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1.717</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Capitalização / outras entradas</w:t>
            </w:r>
          </w:p>
        </w:tc>
        <w:tc>
          <w:tcPr>
            <w:tcW w:w="143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Entrada</w:t>
            </w:r>
          </w:p>
        </w:tc>
        <w:tc>
          <w:tcPr>
            <w:tcW w:w="442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Capitalização de sobressalentes das séries 2500, 8500 e 9500</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968</w:t>
            </w:r>
          </w:p>
        </w:tc>
      </w:tr>
      <w:tr>
        <w:trPr>
          <w:cantSplit/>
        </w:trPr>
        <w:tc>
          <w:tcPr>
            <w:tcW w:w="2211"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Regularização de valor</w:t>
            </w:r>
          </w:p>
        </w:tc>
        <w:tc>
          <w:tcPr>
            <w:tcW w:w="1437"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Somente valor</w:t>
            </w:r>
          </w:p>
        </w:tc>
        <w:tc>
          <w:tcPr>
            <w:tcW w:w="4423"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Reajustes e regularizações de custo médio</w:t>
            </w:r>
          </w:p>
        </w:tc>
        <w:tc>
          <w:tcPr>
            <w:tcW w:w="1216"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587</w:t>
            </w:r>
          </w:p>
        </w:tc>
      </w:tr>
    </w:tbl>
    <w:p>
      <w:pPr>
        <w:spacing w:before="60"/>
        <w:ind w:firstLine="0"/>
      </w:pPr>
      <w:r>
        <w:rPr>
          <w:sz w:val="18"/>
          <w:szCs w:val="18"/>
        </w:rPr>
        <w:t xml:space="preserve">Fonte: elaborado pelos autores (2026).</w:t>
      </w:r>
    </w:p>
    <w:p>
      <w:r>
        <w:t xml:space="preserve">A transferência do estoque transitório para o local oficial foi tratada como neutra, porque a entrada do material já é registrada na "Entrada por OF". Esse critério foi testado: quando a transferência é considerada neutra, o número de materiais com saldo negativo na reconstrução do estoque cai de 680 para 120, o que indica que essa é a interpretação mais coerente com os dados. A classificação completa dos 98 tipos está na página de Metodologia do painel e deve ser validada com a CPTM.</w:t>
      </w:r>
    </w:p>
    <w:p>
      <w:pPr>
        <w:pStyle w:val="Heading2"/>
      </w:pPr>
      <w:r>
        <w:t xml:space="preserve">Testes de consistência</w:t>
      </w:r>
    </w:p>
    <w:p>
      <w:r>
        <w:t xml:space="preserve">Para comprovar que os relacionamentos e os cálculos estão corretos, foram criados testes calculados no próprio Power BI (Tabela 5).</w:t>
      </w:r>
    </w:p>
    <w:p>
      <w:pPr>
        <w:pStyle w:val="Caption"/>
        <w:keepNext/>
      </w:pPr>
      <w:r>
        <w:t xml:space="preserve">Tabela </w:t>
      </w:r>
      <w:r>
        <w:fldChar w:fldCharType="begin"/>
      </w:r>
      <w:r>
        <w:instrText xml:space="preserve"> SEQ Tabela \* ARABIC </w:instrText>
      </w:r>
      <w:r>
        <w:fldChar w:fldCharType="separate"/>
      </w:r>
      <w:r>
        <w:rPr>
          <w:noProof/>
        </w:rPr>
        <w:t>5</w:t>
      </w:r>
      <w:r>
        <w:fldChar w:fldCharType="end"/>
      </w:r>
      <w:r>
        <w:t xml:space="preserve"> – Testes de consistência dos dados</w:t>
      </w:r>
    </w:p>
    <w:tbl>
      <w:tblPr>
        <w:tblW w:w="9288" w:type="dxa"/>
        <w:tblLayout w:type="fixed"/>
        <w:tblLook w:val="04A0" w:firstRow="1" w:lastRow="0" w:firstColumn="1" w:lastColumn="0" w:noHBand="0" w:noVBand="1"/>
      </w:tblPr>
      <w:tblGrid>
        <w:gridCol w:w="3317"/>
        <w:gridCol w:w="1769"/>
        <w:gridCol w:w="4202"/>
      </w:tblGrid>
      <w:tr>
        <w:trPr>
          <w:tblHeader/>
          <w:cantSplit/>
        </w:trPr>
        <w:tc>
          <w:tcPr>
            <w:tcW w:w="3317"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Teste</w:t>
            </w:r>
          </w:p>
        </w:tc>
        <w:tc>
          <w:tcPr>
            <w:tcW w:w="1769"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Resultado</w:t>
            </w:r>
          </w:p>
        </w:tc>
        <w:tc>
          <w:tcPr>
            <w:tcW w:w="4202"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Interpretação</w:t>
            </w:r>
          </w:p>
        </w:tc>
      </w:tr>
      <w:tr>
        <w:trPr>
          <w:cantSplit/>
        </w:trPr>
        <w:tc>
          <w:tcPr>
            <w:tcW w:w="331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Linhas da RES34 sem cadastro na PROD</w:t>
            </w:r>
          </w:p>
        </w:tc>
        <w:tc>
          <w:tcPr>
            <w:tcW w:w="176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0</w:t>
            </w:r>
          </w:p>
        </w:tc>
        <w:tc>
          <w:tcPr>
            <w:tcW w:w="420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Todos os materiais do estoque estão no cadastro.</w:t>
            </w:r>
          </w:p>
        </w:tc>
      </w:tr>
      <w:tr>
        <w:trPr>
          <w:cantSplit/>
        </w:trPr>
        <w:tc>
          <w:tcPr>
            <w:tcW w:w="331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Linhas da RES82 sem material na PROD</w:t>
            </w:r>
          </w:p>
        </w:tc>
        <w:tc>
          <w:tcPr>
            <w:tcW w:w="176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6.083</w:t>
            </w:r>
          </w:p>
        </w:tc>
        <w:tc>
          <w:tcPr>
            <w:tcW w:w="420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São compras diretas de fundo fixo (códigos 5.02), que não são materiais de estoque.</w:t>
            </w:r>
          </w:p>
        </w:tc>
      </w:tr>
      <w:tr>
        <w:trPr>
          <w:cantSplit/>
        </w:trPr>
        <w:tc>
          <w:tcPr>
            <w:tcW w:w="331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Tipos de movimentação sem classificação</w:t>
            </w:r>
          </w:p>
        </w:tc>
        <w:tc>
          <w:tcPr>
            <w:tcW w:w="176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0</w:t>
            </w:r>
          </w:p>
        </w:tc>
        <w:tc>
          <w:tcPr>
            <w:tcW w:w="420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Todos os 98 tipos foram classificados.</w:t>
            </w:r>
          </w:p>
        </w:tc>
      </w:tr>
      <w:tr>
        <w:trPr>
          <w:cantSplit/>
        </w:trPr>
        <w:tc>
          <w:tcPr>
            <w:tcW w:w="331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na RES47 que não estão na RES34</w:t>
            </w:r>
          </w:p>
        </w:tc>
        <w:tc>
          <w:tcPr>
            <w:tcW w:w="176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315 (≈ R$ 6,9 mi)</w:t>
            </w:r>
          </w:p>
        </w:tc>
        <w:tc>
          <w:tcPr>
            <w:tcW w:w="420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As duas fotografias do estoque não são idênticas; a diferença foi levada à CPTM.</w:t>
            </w:r>
          </w:p>
        </w:tc>
      </w:tr>
      <w:tr>
        <w:trPr>
          <w:cantSplit/>
        </w:trPr>
        <w:tc>
          <w:tcPr>
            <w:tcW w:w="331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Consumo 2025: RES82 ÷ RES75 (2025 MOV)</w:t>
            </w:r>
          </w:p>
        </w:tc>
        <w:tc>
          <w:tcPr>
            <w:tcW w:w="176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100%</w:t>
            </w:r>
          </w:p>
        </w:tc>
        <w:tc>
          <w:tcPr>
            <w:tcW w:w="420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O consumo efetivo calculado bate com o relatório da CPTM, o que valida a classificação.</w:t>
            </w:r>
          </w:p>
        </w:tc>
      </w:tr>
      <w:tr>
        <w:trPr>
          <w:cantSplit/>
        </w:trPr>
        <w:tc>
          <w:tcPr>
            <w:tcW w:w="331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com saldo negativo ao reconstruir ago/2025</w:t>
            </w:r>
          </w:p>
        </w:tc>
        <w:tc>
          <w:tcPr>
            <w:tcW w:w="176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120</w:t>
            </w:r>
          </w:p>
        </w:tc>
        <w:tc>
          <w:tcPr>
            <w:tcW w:w="420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Menos de 1,5% dos materiais; indica movimentos a revisar.</w:t>
            </w:r>
          </w:p>
        </w:tc>
      </w:tr>
      <w:tr>
        <w:trPr>
          <w:cantSplit/>
        </w:trPr>
        <w:tc>
          <w:tcPr>
            <w:tcW w:w="3317"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RMs da base 8 encontradas na RES82</w:t>
            </w:r>
          </w:p>
        </w:tc>
        <w:tc>
          <w:tcPr>
            <w:tcW w:w="1769"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93,6%</w:t>
            </w:r>
          </w:p>
        </w:tc>
        <w:tc>
          <w:tcPr>
            <w:tcW w:w="4202"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A ligação pelo número da movimentação funciona para a maior parte das RMs.</w:t>
            </w:r>
          </w:p>
        </w:tc>
      </w:tr>
    </w:tbl>
    <w:p>
      <w:pPr>
        <w:spacing w:before="60"/>
        <w:ind w:firstLine="0"/>
      </w:pPr>
      <w:r>
        <w:rPr>
          <w:sz w:val="18"/>
          <w:szCs w:val="18"/>
        </w:rPr>
        <w:t xml:space="preserve">Fonte: elaborado pelos autores (2026).</w:t>
      </w:r>
    </w:p>
    <w:p>
      <w:pPr>
        <w:pStyle w:val="Heading1"/>
      </w:pPr>
      <w:r>
        <w:t xml:space="preserve">Desenvolvimento do painel no Power BI</w:t>
      </w:r>
    </w:p>
    <w:p>
      <w:r>
        <w:t xml:space="preserve">O painel tem oito páginas, organizadas a partir dos módulos pedidos pela CPTM: (1) Visão de Estoque, (2) Indicadores Logísticos, (3) Giro e Rotatividade, (4) Consumo e Aderência, (5) Evolução por Material, (6) Reposição, (7) Obsolescência e (8) Metodologia. Todas seguem o mesmo padrão visual: faixa de título azul-marinho com linha vermelha, botões de navegação logo abaixo do título (a página atual fica em vermelho), filtro por tipo de consumo no canto direito, cards no topo e gráficos e tabelas abaixo.</w:t>
      </w:r>
    </w:p>
    <w:p>
      <w:r>
        <w:t xml:space="preserve">Os filtros de tipo de consumo e de ano são sincronizados: quando o usuário escolhe, por exemplo, apenas os materiais Estratégicos, a escolha vale para todas as páginas. Cada página também tem um layout para celular, com os cards dois a dois e os gráficos um abaixo do outro.</w:t>
      </w:r>
    </w:p>
    <w:p>
      <w:r>
        <w:t xml:space="preserve">A seguir, são apresentadas as fórmulas criadas e a explicação de cada card e gráfico. Os valores citados foram obtidos com as bases de agosto de 2026, sem filtros aplicados.</w:t>
      </w:r>
    </w:p>
    <w:p>
      <w:pPr>
        <w:pStyle w:val="Heading2"/>
      </w:pPr>
      <w:r>
        <w:t xml:space="preserve">Colunas calculadas</w:t>
      </w:r>
    </w:p>
    <w:p>
      <w:r>
        <w:t xml:space="preserve">As colunas calculadas são criadas linha a linha no modelo e ficam disponíveis como qualquer outra coluna da tabela.</w:t>
      </w:r>
    </w:p>
    <w:p>
      <w:r>
        <w:rPr>
          <w:b/>
        </w:rPr>
        <w:t xml:space="preserve">Tipo Consumo Estoque (PROD):</w:t>
      </w:r>
      <w:r>
        <w:t xml:space="preserve"> traz para a tabela de materiais o tipo de consumo (Normal, Essencial, Estratégico, Eventual, Específico ou Sucata) da RES47 e, quando o material não está nela, da RES75. É a coluna usada no filtro de tipo de consumo de todas as páginas. A coluna "Tipo de Consumo" original da PROD traz outra classificação (Manutenção, Sobressalente, Uniformes etc.) e por isso não foi usada.</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Tipo Consumo Estoque =</w:t>
      </w:r>
    </w:p>
    <w:p>
      <w:pPr>
        <w:keepNext/>
        <w:shd w:val="clear" w:color="auto" w:fill="F2F2F2"/>
        <w:spacing w:before="0" w:after="0" w:line="240" w:lineRule="auto"/>
        <w:ind w:left="284" w:firstLine="0"/>
        <w:jc w:val="left"/>
      </w:pPr>
      <w:r>
        <w:rPr>
          <w:rFonts w:ascii="Consolas" w:hAnsi="Consolas" w:cs="Consolas"/>
          <w:sz w:val="17"/>
          <w:szCs w:val="17"/>
        </w:rPr>
        <w:t xml:space="preserve">VAR t47 = CALCULATE ( MAX ( RES47_20260824[Tipo Consumo] ) )</w:t>
      </w:r>
    </w:p>
    <w:p>
      <w:pPr>
        <w:keepNext/>
        <w:shd w:val="clear" w:color="auto" w:fill="F2F2F2"/>
        <w:spacing w:before="0" w:after="0" w:line="240" w:lineRule="auto"/>
        <w:ind w:left="284" w:firstLine="0"/>
        <w:jc w:val="left"/>
      </w:pPr>
      <w:r>
        <w:rPr>
          <w:rFonts w:ascii="Consolas" w:hAnsi="Consolas" w:cs="Consolas"/>
          <w:sz w:val="17"/>
          <w:szCs w:val="17"/>
        </w:rPr>
        <w:t xml:space="preserve">VAR t75 = CALCULATE ( MAX ( RES75_20260824[Tipo Consumo] ) )</w:t>
      </w:r>
    </w:p>
    <w:p>
      <w:pPr>
        <w:keepNext/>
        <w:shd w:val="clear" w:color="auto" w:fill="F2F2F2"/>
        <w:spacing w:before="0" w:after="0" w:line="240" w:lineRule="auto"/>
        <w:ind w:left="284" w:firstLine="0"/>
        <w:jc w:val="left"/>
      </w:pPr>
      <w:r>
        <w:rPr>
          <w:rFonts w:ascii="Consolas" w:hAnsi="Consolas" w:cs="Consolas"/>
          <w:sz w:val="17"/>
          <w:szCs w:val="17"/>
        </w:rPr>
        <w:t xml:space="preserve">RETURN COALESCE ( t47, t75, "Não informado" )</w:t>
      </w:r>
    </w:p>
    <w:p>
      <w:pPr>
        <w:spacing w:before="0" w:after="60"/>
      </w:pPr>
    </w:p>
    <w:p>
      <w:r>
        <w:rPr>
          <w:b/>
        </w:rPr>
        <w:t xml:space="preserve">Classe ABC (PROD):</w:t>
      </w:r>
      <w:r>
        <w:t xml:space="preserve"> busca a classe do material na tabela CurvaABC. Materiais sem saldo recebem "Sem estoque".</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Classe ABC =</w:t>
      </w:r>
    </w:p>
    <w:p>
      <w:pPr>
        <w:keepNext/>
        <w:shd w:val="clear" w:color="auto" w:fill="F2F2F2"/>
        <w:spacing w:before="0" w:after="0" w:line="240" w:lineRule="auto"/>
        <w:ind w:left="284" w:firstLine="0"/>
        <w:jc w:val="left"/>
      </w:pPr>
      <w:r>
        <w:rPr>
          <w:rFonts w:ascii="Consolas" w:hAnsi="Consolas" w:cs="Consolas"/>
          <w:sz w:val="17"/>
          <w:szCs w:val="17"/>
        </w:rPr>
        <w:t xml:space="preserve">VAR c = LOOKUPVALUE ( CurvaABC[Classe ABC], CurvaABC[Cód. Estr.], PROD__20260824[Estruturado] )</w:t>
      </w:r>
    </w:p>
    <w:p>
      <w:pPr>
        <w:keepNext/>
        <w:shd w:val="clear" w:color="auto" w:fill="F2F2F2"/>
        <w:spacing w:before="0" w:after="0" w:line="240" w:lineRule="auto"/>
        <w:ind w:left="284" w:firstLine="0"/>
        <w:jc w:val="left"/>
      </w:pPr>
      <w:r>
        <w:rPr>
          <w:rFonts w:ascii="Consolas" w:hAnsi="Consolas" w:cs="Consolas"/>
          <w:sz w:val="17"/>
          <w:szCs w:val="17"/>
        </w:rPr>
        <w:t xml:space="preserve">RETURN IF ( ISBLANK ( c ), "Sem estoque", c )</w:t>
      </w:r>
    </w:p>
    <w:p>
      <w:pPr>
        <w:spacing w:before="0" w:after="60"/>
      </w:pPr>
    </w:p>
    <w:p>
      <w:r>
        <w:rPr>
          <w:b/>
        </w:rPr>
        <w:t xml:space="preserve">Material (código - nome) (PROD):</w:t>
      </w:r>
      <w:r>
        <w:t xml:space="preserve"> junta o Código CPTM e a descrição do material em um único texto, usado na busca da página Evolução por Material.</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Material (código - nome) =</w:t>
      </w:r>
    </w:p>
    <w:p>
      <w:pPr>
        <w:keepNext/>
        <w:shd w:val="clear" w:color="auto" w:fill="F2F2F2"/>
        <w:spacing w:before="0" w:after="0" w:line="240" w:lineRule="auto"/>
        <w:ind w:left="284" w:firstLine="0"/>
        <w:jc w:val="left"/>
      </w:pPr>
      <w:r>
        <w:rPr>
          <w:rFonts w:ascii="Consolas" w:hAnsi="Consolas" w:cs="Consolas"/>
          <w:sz w:val="17"/>
          <w:szCs w:val="17"/>
        </w:rPr>
        <w:t xml:space="preserve">FORMAT ( PROD__20260824[Alternativo], "0" ) &amp; " - " &amp; PROD__20260824[Nome]</w:t>
      </w:r>
    </w:p>
    <w:p>
      <w:pPr>
        <w:spacing w:before="0" w:after="60"/>
      </w:pPr>
    </w:p>
    <w:p>
      <w:r>
        <w:rPr>
          <w:b/>
        </w:rPr>
        <w:t xml:space="preserve">Tabela CurvaABC:</w:t>
      </w:r>
      <w:r>
        <w:t xml:space="preserve"> tabela calculada que soma o valor em estoque de cada material na RES34, ordena os materiais do maior para o menor valor, calcula o valor acumulado e define a classe: A até 80% do valor acumulado, B até 95% e C para o restante.</w:t>
      </w:r>
    </w:p>
    <w:p>
      <w:r>
        <w:rPr>
          <w:b/>
        </w:rPr>
        <w:t xml:space="preserve">Qtd Líquida e Valor Líquido (RES82):</w:t>
      </w:r>
      <w:r>
        <w:t xml:space="preserve"> transformam cada lançamento em um valor com sinal, positivo para entradas e negativo para saídas, de acordo com o sentido do tipo de movimentação. Movimentos neutros ficam com zero. Essas colunas são a base da reconstrução do estoque mês a mês.</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Valor Líquido =</w:t>
      </w:r>
    </w:p>
    <w:p>
      <w:pPr>
        <w:keepNext/>
        <w:shd w:val="clear" w:color="auto" w:fill="F2F2F2"/>
        <w:spacing w:before="0" w:after="0" w:line="240" w:lineRule="auto"/>
        <w:ind w:left="284" w:firstLine="0"/>
        <w:jc w:val="left"/>
      </w:pPr>
      <w:r>
        <w:rPr>
          <w:rFonts w:ascii="Consolas" w:hAnsi="Consolas" w:cs="Consolas"/>
          <w:sz w:val="17"/>
          <w:szCs w:val="17"/>
        </w:rPr>
        <w:t xml:space="preserve">RES82_20260825[Valor Total] * SWITCH ( RELATED ( 'Tipo de Movimentação'[Sentido] ), "Entrada", 1, "Somente valor (+)", 1, "Saída", -1, "Somente valor (-)", -1, 0 )</w:t>
      </w:r>
    </w:p>
    <w:p>
      <w:pPr>
        <w:spacing w:before="0" w:after="60"/>
      </w:pPr>
    </w:p>
    <w:p>
      <w:r>
        <w:rPr>
          <w:b/>
        </w:rPr>
        <w:t xml:space="preserve">Faixa sem Consumo (RES47):</w:t>
      </w:r>
      <w:r>
        <w:t xml:space="preserve"> conta quantos meses se passaram entre o último consumo do material e a data da posição (24/08/2026) e classifica o resultado em faixas de 12, 24, 36 e 60 meses, além de "Nunca consumido". A CPTM pediu faixas em vez de um prazo único, porque um material sem consumo não é necessariamente obsoleto.</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Faixa sem Consumo =</w:t>
      </w:r>
    </w:p>
    <w:p>
      <w:pPr>
        <w:keepNext/>
        <w:shd w:val="clear" w:color="auto" w:fill="F2F2F2"/>
        <w:spacing w:before="0" w:after="0" w:line="240" w:lineRule="auto"/>
        <w:ind w:left="284" w:firstLine="0"/>
        <w:jc w:val="left"/>
      </w:pPr>
      <w:r>
        <w:rPr>
          <w:rFonts w:ascii="Consolas" w:hAnsi="Consolas" w:cs="Consolas"/>
          <w:sz w:val="17"/>
          <w:szCs w:val="17"/>
        </w:rPr>
        <w:t xml:space="preserve">VAR ref = DATE ( 2026, 8, 24 )</w:t>
      </w:r>
    </w:p>
    <w:p>
      <w:pPr>
        <w:keepNext/>
        <w:shd w:val="clear" w:color="auto" w:fill="F2F2F2"/>
        <w:spacing w:before="0" w:after="0" w:line="240" w:lineRule="auto"/>
        <w:ind w:left="284" w:firstLine="0"/>
        <w:jc w:val="left"/>
      </w:pPr>
      <w:r>
        <w:rPr>
          <w:rFonts w:ascii="Consolas" w:hAnsi="Consolas" w:cs="Consolas"/>
          <w:sz w:val="17"/>
          <w:szCs w:val="17"/>
        </w:rPr>
        <w:t xml:space="preserve">VAR u = RES47_20260824[Último Consumo]</w:t>
      </w:r>
    </w:p>
    <w:p>
      <w:pPr>
        <w:keepNext/>
        <w:shd w:val="clear" w:color="auto" w:fill="F2F2F2"/>
        <w:spacing w:before="0" w:after="0" w:line="240" w:lineRule="auto"/>
        <w:ind w:left="284" w:firstLine="0"/>
        <w:jc w:val="left"/>
      </w:pPr>
      <w:r>
        <w:rPr>
          <w:rFonts w:ascii="Consolas" w:hAnsi="Consolas" w:cs="Consolas"/>
          <w:sz w:val="17"/>
          <w:szCs w:val="17"/>
        </w:rPr>
        <w:t xml:space="preserve">VAR meses = IF ( ISBLANK ( u ), BLANK (), DATEDIFF ( u, ref, MONTH ) )</w:t>
      </w:r>
    </w:p>
    <w:p>
      <w:pPr>
        <w:keepNext/>
        <w:shd w:val="clear" w:color="auto" w:fill="F2F2F2"/>
        <w:spacing w:before="0" w:after="0" w:line="240" w:lineRule="auto"/>
        <w:ind w:left="284" w:firstLine="0"/>
        <w:jc w:val="left"/>
      </w:pPr>
      <w:r>
        <w:rPr>
          <w:rFonts w:ascii="Consolas" w:hAnsi="Consolas" w:cs="Consolas"/>
          <w:sz w:val="17"/>
          <w:szCs w:val="17"/>
        </w:rPr>
        <w:t xml:space="preserve">RETURN</w:t>
      </w:r>
    </w:p>
    <w:p>
      <w:pPr>
        <w:keepNext/>
        <w:shd w:val="clear" w:color="auto" w:fill="F2F2F2"/>
        <w:spacing w:before="0" w:after="0" w:line="240" w:lineRule="auto"/>
        <w:ind w:left="524" w:firstLine="0"/>
        <w:jc w:val="left"/>
      </w:pPr>
      <w:r>
        <w:rPr>
          <w:rFonts w:ascii="Consolas" w:hAnsi="Consolas" w:cs="Consolas"/>
          <w:sz w:val="17"/>
          <w:szCs w:val="17"/>
        </w:rPr>
        <w:t xml:space="preserve">SWITCH (</w:t>
      </w:r>
    </w:p>
    <w:p>
      <w:pPr>
        <w:keepNext/>
        <w:shd w:val="clear" w:color="auto" w:fill="F2F2F2"/>
        <w:spacing w:before="0" w:after="0" w:line="240" w:lineRule="auto"/>
        <w:ind w:left="764" w:firstLine="0"/>
        <w:jc w:val="left"/>
      </w:pPr>
      <w:r>
        <w:rPr>
          <w:rFonts w:ascii="Consolas" w:hAnsi="Consolas" w:cs="Consolas"/>
          <w:sz w:val="17"/>
          <w:szCs w:val="17"/>
        </w:rPr>
        <w:t xml:space="preserve">TRUE (),</w:t>
      </w:r>
    </w:p>
    <w:p>
      <w:pPr>
        <w:keepNext/>
        <w:shd w:val="clear" w:color="auto" w:fill="F2F2F2"/>
        <w:spacing w:before="0" w:after="0" w:line="240" w:lineRule="auto"/>
        <w:ind w:left="764" w:firstLine="0"/>
        <w:jc w:val="left"/>
      </w:pPr>
      <w:r>
        <w:rPr>
          <w:rFonts w:ascii="Consolas" w:hAnsi="Consolas" w:cs="Consolas"/>
          <w:sz w:val="17"/>
          <w:szCs w:val="17"/>
        </w:rPr>
        <w:t xml:space="preserve">ISBLANK ( u ), "6. Nunca consumido",</w:t>
      </w:r>
    </w:p>
    <w:p>
      <w:pPr>
        <w:keepNext/>
        <w:shd w:val="clear" w:color="auto" w:fill="F2F2F2"/>
        <w:spacing w:before="0" w:after="0" w:line="240" w:lineRule="auto"/>
        <w:ind w:left="764" w:firstLine="0"/>
        <w:jc w:val="left"/>
      </w:pPr>
      <w:r>
        <w:rPr>
          <w:rFonts w:ascii="Consolas" w:hAnsi="Consolas" w:cs="Consolas"/>
          <w:sz w:val="17"/>
          <w:szCs w:val="17"/>
        </w:rPr>
        <w:t xml:space="preserve">meses &lt;= 12, "1. Até 12 meses",</w:t>
      </w:r>
    </w:p>
    <w:p>
      <w:pPr>
        <w:keepNext/>
        <w:shd w:val="clear" w:color="auto" w:fill="F2F2F2"/>
        <w:spacing w:before="0" w:after="0" w:line="240" w:lineRule="auto"/>
        <w:ind w:left="764" w:firstLine="0"/>
        <w:jc w:val="left"/>
      </w:pPr>
      <w:r>
        <w:rPr>
          <w:rFonts w:ascii="Consolas" w:hAnsi="Consolas" w:cs="Consolas"/>
          <w:sz w:val="17"/>
          <w:szCs w:val="17"/>
        </w:rPr>
        <w:t xml:space="preserve">meses &lt;= 24, "2. 12 a 24 meses",</w:t>
      </w:r>
    </w:p>
    <w:p>
      <w:pPr>
        <w:keepNext/>
        <w:shd w:val="clear" w:color="auto" w:fill="F2F2F2"/>
        <w:spacing w:before="0" w:after="0" w:line="240" w:lineRule="auto"/>
        <w:ind w:left="764" w:firstLine="0"/>
        <w:jc w:val="left"/>
      </w:pPr>
      <w:r>
        <w:rPr>
          <w:rFonts w:ascii="Consolas" w:hAnsi="Consolas" w:cs="Consolas"/>
          <w:sz w:val="17"/>
          <w:szCs w:val="17"/>
        </w:rPr>
        <w:t xml:space="preserve">meses &lt;= 36, "3. 24 a 36 meses",</w:t>
      </w:r>
    </w:p>
    <w:p>
      <w:pPr>
        <w:keepNext/>
        <w:shd w:val="clear" w:color="auto" w:fill="F2F2F2"/>
        <w:spacing w:before="0" w:after="0" w:line="240" w:lineRule="auto"/>
        <w:ind w:left="764" w:firstLine="0"/>
        <w:jc w:val="left"/>
      </w:pPr>
      <w:r>
        <w:rPr>
          <w:rFonts w:ascii="Consolas" w:hAnsi="Consolas" w:cs="Consolas"/>
          <w:sz w:val="17"/>
          <w:szCs w:val="17"/>
        </w:rPr>
        <w:t xml:space="preserve">meses &lt;= 60, "4. 36 a 60 meses",</w:t>
      </w:r>
    </w:p>
    <w:p>
      <w:pPr>
        <w:keepNext/>
        <w:shd w:val="clear" w:color="auto" w:fill="F2F2F2"/>
        <w:spacing w:before="0" w:after="0" w:line="240" w:lineRule="auto"/>
        <w:ind w:left="764" w:firstLine="0"/>
        <w:jc w:val="left"/>
      </w:pPr>
      <w:r>
        <w:rPr>
          <w:rFonts w:ascii="Consolas" w:hAnsi="Consolas" w:cs="Consolas"/>
          <w:sz w:val="17"/>
          <w:szCs w:val="17"/>
        </w:rPr>
        <w:t xml:space="preserve">"5. Mais de 60 meses"</w:t>
      </w:r>
    </w:p>
    <w:p>
      <w:pPr>
        <w:keepNext/>
        <w:shd w:val="clear" w:color="auto" w:fill="F2F2F2"/>
        <w:spacing w:before="0" w:after="0" w:line="240" w:lineRule="auto"/>
        <w:ind w:left="524" w:firstLine="0"/>
        <w:jc w:val="left"/>
      </w:pPr>
      <w:r>
        <w:rPr>
          <w:rFonts w:ascii="Consolas" w:hAnsi="Consolas" w:cs="Consolas"/>
          <w:sz w:val="17"/>
          <w:szCs w:val="17"/>
        </w:rPr>
        <w:t xml:space="preserve">)</w:t>
      </w:r>
    </w:p>
    <w:p>
      <w:pPr>
        <w:spacing w:before="0" w:after="60"/>
      </w:pPr>
    </w:p>
    <w:p>
      <w:r>
        <w:rPr>
          <w:b/>
        </w:rPr>
        <w:t xml:space="preserve">Mês do Ano (dCalendario):</w:t>
      </w:r>
      <w:r>
        <w:t xml:space="preserve"> nome abreviado do mês (jan, fev, mar...), ordenado pelo número do mês, usado no gráfico de sazonalidade.</w:t>
      </w:r>
    </w:p>
    <w:p>
      <w:pPr>
        <w:pStyle w:val="Heading2"/>
      </w:pPr>
      <w:r>
        <w:t xml:space="preserve">Página 1 – Visão de Estoque</w:t>
      </w:r>
    </w:p>
    <w:p>
      <w:r>
        <w:t xml:space="preserve">A primeira página atende ao módulo Visão Geral do Estoque. Ela mostra quanto existe em estoque, onde está e quais materiais concentram o valor (Figura 1).</w:t>
      </w:r>
    </w:p>
    <w:p>
      <w:pPr>
        <w:pBdr>
          <w:top w:val="single" w:sz="6" w:space="8" w:color="A6A6A6"/>
          <w:left w:val="single" w:sz="6" w:space="8" w:color="A6A6A6"/>
          <w:bottom w:val="single" w:sz="6" w:space="8" w:color="A6A6A6"/>
          <w:right w:val="single" w:sz="6" w:space="8" w:color="A6A6A6"/>
        </w:pBdr>
        <w:spacing w:before="240" w:after="240"/>
        <w:ind w:firstLine="0"/>
        <w:jc w:val="center"/>
      </w:pPr>
      <w:r>
        <w:rPr>
          <w:i/>
          <w:color w:val="808080"/>
        </w:rPr>
        <w:t xml:space="preserve">[Inserir aqui o print da página: Visão de Estoque]</w:t>
      </w:r>
    </w:p>
    <w:p>
      <w:pPr>
        <w:pStyle w:val="Caption"/>
        <w:keepNext/>
      </w:pPr>
      <w:r>
        <w:t xml:space="preserve">Figura </w:t>
      </w:r>
      <w:r>
        <w:fldChar w:fldCharType="begin"/>
      </w:r>
      <w:r>
        <w:instrText xml:space="preserve"> SEQ Figura \* ARABIC </w:instrText>
      </w:r>
      <w:r>
        <w:fldChar w:fldCharType="separate"/>
      </w:r>
      <w:r>
        <w:rPr>
          <w:noProof/>
        </w:rPr>
        <w:t>1</w:t>
      </w:r>
      <w:r>
        <w:fldChar w:fldCharType="end"/>
      </w:r>
      <w:r>
        <w:t xml:space="preserve"> – Página Visão de Estoque</w:t>
      </w:r>
    </w:p>
    <w:p>
      <w:pPr>
        <w:ind w:firstLine="0"/>
        <w:jc w:val="center"/>
      </w:pPr>
      <w:r>
        <w:rPr>
          <w:sz w:val="18"/>
          <w:szCs w:val="18"/>
        </w:rPr>
        <w:t xml:space="preserve">Fonte: elaborado pelos autores no Power BI (2026).</w:t>
      </w:r>
    </w:p>
    <w:p>
      <w:pPr>
        <w:pStyle w:val="Caption"/>
        <w:keepNext/>
      </w:pPr>
      <w:r>
        <w:t xml:space="preserve">Tabela </w:t>
      </w:r>
      <w:r>
        <w:fldChar w:fldCharType="begin"/>
      </w:r>
      <w:r>
        <w:instrText xml:space="preserve"> SEQ Tabela \* ARABIC </w:instrText>
      </w:r>
      <w:r>
        <w:fldChar w:fldCharType="separate"/>
      </w:r>
      <w:r>
        <w:rPr>
          <w:noProof/>
        </w:rPr>
        <w:t>6</w:t>
      </w:r>
      <w:r>
        <w:fldChar w:fldCharType="end"/>
      </w:r>
      <w:r>
        <w:t xml:space="preserve"> – Cards da página Visão de Estoque</w:t>
      </w:r>
    </w:p>
    <w:tbl>
      <w:tblPr>
        <w:tblW w:w="9288" w:type="dxa"/>
        <w:tblLayout w:type="fixed"/>
        <w:tblLook w:val="04A0" w:firstRow="1" w:lastRow="0" w:firstColumn="1" w:lastColumn="0" w:noHBand="0" w:noVBand="1"/>
      </w:tblPr>
      <w:tblGrid>
        <w:gridCol w:w="2211"/>
        <w:gridCol w:w="2654"/>
        <w:gridCol w:w="2875"/>
        <w:gridCol w:w="1548"/>
      </w:tblGrid>
      <w:tr>
        <w:trPr>
          <w:tblHeader/>
          <w:cantSplit/>
        </w:trPr>
        <w:tc>
          <w:tcPr>
            <w:tcW w:w="2211"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Card</w:t>
            </w:r>
          </w:p>
        </w:tc>
        <w:tc>
          <w:tcPr>
            <w:tcW w:w="2654"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O que mostra</w:t>
            </w:r>
          </w:p>
        </w:tc>
        <w:tc>
          <w:tcPr>
            <w:tcW w:w="2875"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Cálculo</w:t>
            </w:r>
          </w:p>
        </w:tc>
        <w:tc>
          <w:tcPr>
            <w:tcW w:w="1548"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Valor</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Estoque Total em Quantidade</w:t>
            </w:r>
          </w:p>
        </w:tc>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Soma das quantidades em estoque</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SUM(RES34[Saldo Atual])</w:t>
            </w:r>
          </w:p>
        </w:tc>
        <w:tc>
          <w:tcPr>
            <w:tcW w:w="1548"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4,7 milhões de unidades</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Estoque Total em Valor (R$)</w:t>
            </w:r>
          </w:p>
        </w:tc>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Valor total do estoque</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SUM(RES34[Valor Total])</w:t>
            </w:r>
          </w:p>
        </w:tc>
        <w:tc>
          <w:tcPr>
            <w:tcW w:w="1548"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R$ 189,1 mi</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com Saldo</w:t>
            </w:r>
          </w:p>
        </w:tc>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Nº de materiais diferentes com saldo</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DISTINCTCOUNT(Cód. Red.) com saldo &gt; 0</w:t>
            </w:r>
          </w:p>
        </w:tc>
        <w:tc>
          <w:tcPr>
            <w:tcW w:w="1548"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9.172</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Estoque Médio 12 meses (R$)</w:t>
            </w:r>
          </w:p>
        </w:tc>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Média do valor em estoque nos últimos 12 meses</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Média de 13 posições mensais reconstruídas</w:t>
            </w:r>
          </w:p>
        </w:tc>
        <w:tc>
          <w:tcPr>
            <w:tcW w:w="1548"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R$ 222 mi</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Giro de Estoque 12m</w:t>
            </w:r>
          </w:p>
        </w:tc>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Quantas vezes o estoque "girou" em 12 meses</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Consumo 12m (R$) ÷ Estoque médio 12m</w:t>
            </w:r>
          </w:p>
        </w:tc>
        <w:tc>
          <w:tcPr>
            <w:tcW w:w="1548"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0,18</w:t>
            </w:r>
          </w:p>
        </w:tc>
      </w:tr>
      <w:tr>
        <w:trPr>
          <w:cantSplit/>
        </w:trPr>
        <w:tc>
          <w:tcPr>
            <w:tcW w:w="2211"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do Valor na Classe A</w:t>
            </w:r>
          </w:p>
        </w:tc>
        <w:tc>
          <w:tcPr>
            <w:tcW w:w="2654"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Parcela do valor concentrada nos itens A</w:t>
            </w:r>
          </w:p>
        </w:tc>
        <w:tc>
          <w:tcPr>
            <w:tcW w:w="2875"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Valor ABC filtrado para a classe A</w:t>
            </w:r>
          </w:p>
        </w:tc>
        <w:tc>
          <w:tcPr>
            <w:tcW w:w="1548"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80,0%</w:t>
            </w:r>
          </w:p>
        </w:tc>
      </w:tr>
    </w:tbl>
    <w:p>
      <w:pPr>
        <w:spacing w:before="60"/>
        <w:ind w:firstLine="0"/>
      </w:pPr>
      <w:r>
        <w:rPr>
          <w:sz w:val="18"/>
          <w:szCs w:val="18"/>
        </w:rPr>
        <w:t xml:space="preserve">Fonte: elaborado pelos autores (2026).</w:t>
      </w:r>
    </w:p>
    <w:p>
      <w:r>
        <w:t xml:space="preserve">O card de quantidade soma unidades de medida diferentes (unidades, quilos, metros), por isso deve ser lido como um volume geral, e não como um indicador de decisão. O valor em estoque é o principal indicador financeiro da página. O estoque médio e o giro são explicados na página de Indicadores Logísticos. Medidas usadas nos cards:</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Estoque Total =</w:t>
      </w:r>
    </w:p>
    <w:p>
      <w:pPr>
        <w:keepNext/>
        <w:shd w:val="clear" w:color="auto" w:fill="F2F2F2"/>
        <w:spacing w:before="0" w:after="0" w:line="240" w:lineRule="auto"/>
        <w:ind w:left="284" w:firstLine="0"/>
        <w:jc w:val="left"/>
      </w:pPr>
      <w:r>
        <w:rPr>
          <w:rFonts w:ascii="Consolas" w:hAnsi="Consolas" w:cs="Consolas"/>
          <w:sz w:val="17"/>
          <w:szCs w:val="17"/>
        </w:rPr>
        <w:t xml:space="preserve">SUM(RES34_20260824[Saldo Atual])</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Valor Estoque =</w:t>
      </w:r>
    </w:p>
    <w:p>
      <w:pPr>
        <w:keepNext/>
        <w:shd w:val="clear" w:color="auto" w:fill="F2F2F2"/>
        <w:spacing w:before="0" w:after="0" w:line="240" w:lineRule="auto"/>
        <w:ind w:left="284" w:firstLine="0"/>
        <w:jc w:val="left"/>
      </w:pPr>
      <w:r>
        <w:rPr>
          <w:rFonts w:ascii="Consolas" w:hAnsi="Consolas" w:cs="Consolas"/>
          <w:sz w:val="17"/>
          <w:szCs w:val="17"/>
        </w:rPr>
        <w:t xml:space="preserve">SUM(RES34_20260824[Valor Total])</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Materiais em Estoque =</w:t>
      </w:r>
    </w:p>
    <w:p>
      <w:pPr>
        <w:keepNext/>
        <w:shd w:val="clear" w:color="auto" w:fill="F2F2F2"/>
        <w:spacing w:before="0" w:after="0" w:line="240" w:lineRule="auto"/>
        <w:ind w:left="284" w:firstLine="0"/>
        <w:jc w:val="left"/>
      </w:pPr>
      <w:r>
        <w:rPr>
          <w:rFonts w:ascii="Consolas" w:hAnsi="Consolas" w:cs="Consolas"/>
          <w:sz w:val="17"/>
          <w:szCs w:val="17"/>
        </w:rPr>
        <w:t xml:space="preserve">CALCULATE ( DISTINCTCOUNT ( RES34_20260824[Cód. Red.] ), RES34_20260824[Saldo Atual] &gt; 0 )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 Valor ABC =</w:t>
      </w:r>
    </w:p>
    <w:p>
      <w:pPr>
        <w:keepNext/>
        <w:shd w:val="clear" w:color="auto" w:fill="F2F2F2"/>
        <w:spacing w:before="0" w:after="0" w:line="240" w:lineRule="auto"/>
        <w:ind w:left="284" w:firstLine="0"/>
        <w:jc w:val="left"/>
      </w:pPr>
      <w:r>
        <w:rPr>
          <w:rFonts w:ascii="Consolas" w:hAnsi="Consolas" w:cs="Consolas"/>
          <w:sz w:val="17"/>
          <w:szCs w:val="17"/>
        </w:rPr>
        <w:t xml:space="preserve">DIVIDE ( [Valor Estoque], CALCULATE ( [Valor Estoque], ALL ( PROD__20260824[Classe ABC] ) )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 Itens ABC =</w:t>
      </w:r>
    </w:p>
    <w:p>
      <w:pPr>
        <w:keepNext/>
        <w:shd w:val="clear" w:color="auto" w:fill="F2F2F2"/>
        <w:spacing w:before="0" w:after="0" w:line="240" w:lineRule="auto"/>
        <w:ind w:left="284" w:firstLine="0"/>
        <w:jc w:val="left"/>
      </w:pPr>
      <w:r>
        <w:rPr>
          <w:rFonts w:ascii="Consolas" w:hAnsi="Consolas" w:cs="Consolas"/>
          <w:sz w:val="17"/>
          <w:szCs w:val="17"/>
        </w:rPr>
        <w:t xml:space="preserve">DIVIDE ( [Materiais em Estoque], CALCULATE ( [Materiais em Estoque], ALL ( PROD__20260824[Classe ABC] ) )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 Valor na Classe A =</w:t>
      </w:r>
    </w:p>
    <w:p>
      <w:pPr>
        <w:keepNext/>
        <w:shd w:val="clear" w:color="auto" w:fill="F2F2F2"/>
        <w:spacing w:before="0" w:after="0" w:line="240" w:lineRule="auto"/>
        <w:ind w:left="284" w:firstLine="0"/>
        <w:jc w:val="left"/>
      </w:pPr>
      <w:r>
        <w:rPr>
          <w:rFonts w:ascii="Consolas" w:hAnsi="Consolas" w:cs="Consolas"/>
          <w:sz w:val="17"/>
          <w:szCs w:val="17"/>
        </w:rPr>
        <w:t xml:space="preserve">CALCULATE ( [% Valor ABC], PROD__20260824[Classe ABC] = "A" )</w:t>
      </w:r>
    </w:p>
    <w:p>
      <w:pPr>
        <w:spacing w:before="0" w:after="60"/>
      </w:pPr>
    </w:p>
    <w:p>
      <w:r>
        <w:rPr>
          <w:b/>
        </w:rPr>
        <w:t xml:space="preserve">Gráfico Curva ABC – Quantidade de Itens x Valor:</w:t>
      </w:r>
      <w:r>
        <w:t xml:space="preserve"> compara, para cada classe, a porcentagem de itens (azul) com a porcentagem do valor (vermelho). O resultado confirma o princípio de Pareto: a classe A reúne 547 materiais (6,0% dos itens) e 80,0% do valor; a classe B, 1.429 materiais (15,6%) e 15,0% do valor; e a classe C, 7.196 materiais (78,5%) e apenas 5,0% do valor.</w:t>
      </w:r>
    </w:p>
    <w:p>
      <w:r>
        <w:rPr>
          <w:b/>
        </w:rPr>
        <w:t xml:space="preserve">Gráfico Estoque por Armazém (R$):</w:t>
      </w:r>
      <w:r>
        <w:t xml:space="preserve"> mostra o valor em estoque em cada um dos 25 almoxarifados. Os maiores são GERAL – LAPA (R$ 83,5 mi), PRINCIPAL – ALTINO (R$ 40,9 mi) e VIA PERMANENTE LAPA (R$ 34,6 mi). Ao clicar em uma barra, os demais visuais da página passam a mostrar apenas aquele almoxarifado.</w:t>
      </w:r>
    </w:p>
    <w:p>
      <w:r>
        <w:rPr>
          <w:b/>
        </w:rPr>
        <w:t xml:space="preserve">Gráfico Top 10 Materiais em Valor:</w:t>
      </w:r>
      <w:r>
        <w:t xml:space="preserve"> lista os dez materiais com maior valor em estoque, usando um filtro Top N no visual. O primeiro é o dormente de madeira de primeira classe, com cerca de R$ 14,6 mi, seguido pela roda ferroviária das séries 7000/7500/9500, com R$ 7,1 mi.</w:t>
      </w:r>
    </w:p>
    <w:p>
      <w:pPr>
        <w:pStyle w:val="Heading2"/>
      </w:pPr>
      <w:r>
        <w:t xml:space="preserve">Página 2 – Indicadores Logísticos</w:t>
      </w:r>
    </w:p>
    <w:p>
      <w:r>
        <w:t xml:space="preserve">Esta página reúne os três indicadores apontados pela CPTM como os mais importantes (ruptura, cobertura e giro) e os indicadores complementares de excesso e de materiais sem consumo (Figura 2). O saldo vem da RES47, que é a posição do estoque em 24/08/2026, e o consumo vem da RES82, considerando os últimos 12 meses (25/08/2025 a 24/08/2026).</w:t>
      </w:r>
    </w:p>
    <w:p>
      <w:pPr>
        <w:pBdr>
          <w:top w:val="single" w:sz="6" w:space="8" w:color="A6A6A6"/>
          <w:left w:val="single" w:sz="6" w:space="8" w:color="A6A6A6"/>
          <w:bottom w:val="single" w:sz="6" w:space="8" w:color="A6A6A6"/>
          <w:right w:val="single" w:sz="6" w:space="8" w:color="A6A6A6"/>
        </w:pBdr>
        <w:spacing w:before="240" w:after="240"/>
        <w:ind w:firstLine="0"/>
        <w:jc w:val="center"/>
      </w:pPr>
      <w:r>
        <w:rPr>
          <w:i/>
          <w:color w:val="808080"/>
        </w:rPr>
        <w:t xml:space="preserve">[Inserir aqui o print da página: Indicadores Logísticos]</w:t>
      </w:r>
    </w:p>
    <w:p>
      <w:pPr>
        <w:pStyle w:val="Caption"/>
        <w:keepNext/>
      </w:pPr>
      <w:r>
        <w:t xml:space="preserve">Figura </w:t>
      </w:r>
      <w:r>
        <w:fldChar w:fldCharType="begin"/>
      </w:r>
      <w:r>
        <w:instrText xml:space="preserve"> SEQ Figura \* ARABIC </w:instrText>
      </w:r>
      <w:r>
        <w:fldChar w:fldCharType="separate"/>
      </w:r>
      <w:r>
        <w:rPr>
          <w:noProof/>
        </w:rPr>
        <w:t>2</w:t>
      </w:r>
      <w:r>
        <w:fldChar w:fldCharType="end"/>
      </w:r>
      <w:r>
        <w:t xml:space="preserve"> – Página Indicadores Logísticos</w:t>
      </w:r>
    </w:p>
    <w:p>
      <w:pPr>
        <w:ind w:firstLine="0"/>
        <w:jc w:val="center"/>
      </w:pPr>
      <w:r>
        <w:rPr>
          <w:sz w:val="18"/>
          <w:szCs w:val="18"/>
        </w:rPr>
        <w:t xml:space="preserve">Fonte: elaborado pelos autores no Power BI (2026).</w:t>
      </w:r>
    </w:p>
    <w:p>
      <w:pPr>
        <w:keepNext/>
        <w:spacing w:before="160"/>
        <w:ind w:firstLine="0"/>
      </w:pPr>
      <w:r>
        <w:rPr>
          <w:b/>
          <w:color w:val="1F3864"/>
        </w:rPr>
        <w:t xml:space="preserve">Consumo e cobertura</w:t>
      </w:r>
    </w:p>
    <w:p>
      <w:r>
        <w:t xml:space="preserve">O consumo considera somente a categoria "Consumo efetivo" da classificação de movimentações. A data de referência foi fixada em 24/08/2026 para que os resultados não mudem conforme o dia em que o painel é aberto.</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Data Base Estoque =</w:t>
      </w:r>
    </w:p>
    <w:p>
      <w:pPr>
        <w:keepNext/>
        <w:shd w:val="clear" w:color="auto" w:fill="F2F2F2"/>
        <w:spacing w:before="0" w:after="0" w:line="240" w:lineRule="auto"/>
        <w:ind w:left="284" w:firstLine="0"/>
        <w:jc w:val="left"/>
      </w:pPr>
      <w:r>
        <w:rPr>
          <w:rFonts w:ascii="Consolas" w:hAnsi="Consolas" w:cs="Consolas"/>
          <w:sz w:val="17"/>
          <w:szCs w:val="17"/>
        </w:rPr>
        <w:t xml:space="preserve">DATE ( 2026, 8, 24 )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Consumo 12m (R$) =</w:t>
      </w:r>
    </w:p>
    <w:p>
      <w:pPr>
        <w:keepNext/>
        <w:shd w:val="clear" w:color="auto" w:fill="F2F2F2"/>
        <w:spacing w:before="0" w:after="0" w:line="240" w:lineRule="auto"/>
        <w:ind w:left="284" w:firstLine="0"/>
        <w:jc w:val="left"/>
      </w:pPr>
      <w:r>
        <w:rPr>
          <w:rFonts w:ascii="Consolas" w:hAnsi="Consolas" w:cs="Consolas"/>
          <w:sz w:val="17"/>
          <w:szCs w:val="17"/>
        </w:rPr>
        <w:t xml:space="preserve">VAR ref = [Data Base Estoque]</w:t>
      </w:r>
    </w:p>
    <w:p>
      <w:pPr>
        <w:keepNext/>
        <w:shd w:val="clear" w:color="auto" w:fill="F2F2F2"/>
        <w:spacing w:before="0" w:after="0" w:line="240" w:lineRule="auto"/>
        <w:ind w:left="284" w:firstLine="0"/>
        <w:jc w:val="left"/>
      </w:pPr>
      <w:r>
        <w:rPr>
          <w:rFonts w:ascii="Consolas" w:hAnsi="Consolas" w:cs="Consolas"/>
          <w:sz w:val="17"/>
          <w:szCs w:val="17"/>
        </w:rPr>
        <w:t xml:space="preserve">RETURN</w:t>
      </w:r>
    </w:p>
    <w:p>
      <w:pPr>
        <w:keepNext/>
        <w:shd w:val="clear" w:color="auto" w:fill="F2F2F2"/>
        <w:spacing w:before="0" w:after="0" w:line="240" w:lineRule="auto"/>
        <w:ind w:left="524" w:firstLine="0"/>
        <w:jc w:val="left"/>
      </w:pPr>
      <w:r>
        <w:rPr>
          <w:rFonts w:ascii="Consolas" w:hAnsi="Consolas" w:cs="Consolas"/>
          <w:sz w:val="17"/>
          <w:szCs w:val="17"/>
        </w:rPr>
        <w:t xml:space="preserve">CALCULATE (</w:t>
      </w:r>
    </w:p>
    <w:p>
      <w:pPr>
        <w:keepNext/>
        <w:shd w:val="clear" w:color="auto" w:fill="F2F2F2"/>
        <w:spacing w:before="0" w:after="0" w:line="240" w:lineRule="auto"/>
        <w:ind w:left="764" w:firstLine="0"/>
        <w:jc w:val="left"/>
      </w:pPr>
      <w:r>
        <w:rPr>
          <w:rFonts w:ascii="Consolas" w:hAnsi="Consolas" w:cs="Consolas"/>
          <w:sz w:val="17"/>
          <w:szCs w:val="17"/>
        </w:rPr>
        <w:t xml:space="preserve">SUM ( RES82_20260825[Valor Total] ),</w:t>
      </w:r>
    </w:p>
    <w:p>
      <w:pPr>
        <w:keepNext/>
        <w:shd w:val="clear" w:color="auto" w:fill="F2F2F2"/>
        <w:spacing w:before="0" w:after="0" w:line="240" w:lineRule="auto"/>
        <w:ind w:left="764" w:firstLine="0"/>
        <w:jc w:val="left"/>
      </w:pPr>
      <w:r>
        <w:rPr>
          <w:rFonts w:ascii="Consolas" w:hAnsi="Consolas" w:cs="Consolas"/>
          <w:sz w:val="17"/>
          <w:szCs w:val="17"/>
        </w:rPr>
        <w:t xml:space="preserve">'Tipo de Movimentação'[Categoria] = "Consumo efetivo",</w:t>
      </w:r>
    </w:p>
    <w:p>
      <w:pPr>
        <w:keepNext/>
        <w:shd w:val="clear" w:color="auto" w:fill="F2F2F2"/>
        <w:spacing w:before="0" w:after="0" w:line="240" w:lineRule="auto"/>
        <w:ind w:left="764" w:firstLine="0"/>
        <w:jc w:val="left"/>
      </w:pPr>
      <w:r>
        <w:rPr>
          <w:rFonts w:ascii="Consolas" w:hAnsi="Consolas" w:cs="Consolas"/>
          <w:sz w:val="17"/>
          <w:szCs w:val="17"/>
        </w:rPr>
        <w:t xml:space="preserve">REMOVEFILTERS ( dCalendario ),</w:t>
      </w:r>
    </w:p>
    <w:p>
      <w:pPr>
        <w:keepNext/>
        <w:shd w:val="clear" w:color="auto" w:fill="F2F2F2"/>
        <w:spacing w:before="0" w:after="0" w:line="240" w:lineRule="auto"/>
        <w:ind w:left="764" w:firstLine="0"/>
        <w:jc w:val="left"/>
      </w:pPr>
      <w:r>
        <w:rPr>
          <w:rFonts w:ascii="Consolas" w:hAnsi="Consolas" w:cs="Consolas"/>
          <w:sz w:val="17"/>
          <w:szCs w:val="17"/>
        </w:rPr>
        <w:t xml:space="preserve">RES82_20260825[Entrada] &gt; EDATE ( ref, -12 ),</w:t>
      </w:r>
    </w:p>
    <w:p>
      <w:pPr>
        <w:keepNext/>
        <w:shd w:val="clear" w:color="auto" w:fill="F2F2F2"/>
        <w:spacing w:before="0" w:after="0" w:line="240" w:lineRule="auto"/>
        <w:ind w:left="764" w:firstLine="0"/>
        <w:jc w:val="left"/>
      </w:pPr>
      <w:r>
        <w:rPr>
          <w:rFonts w:ascii="Consolas" w:hAnsi="Consolas" w:cs="Consolas"/>
          <w:sz w:val="17"/>
          <w:szCs w:val="17"/>
        </w:rPr>
        <w:t xml:space="preserve">RES82_20260825[Entrada] &lt;= ref</w:t>
      </w:r>
    </w:p>
    <w:p>
      <w:pPr>
        <w:keepNext/>
        <w:shd w:val="clear" w:color="auto" w:fill="F2F2F2"/>
        <w:spacing w:before="0" w:after="0" w:line="240" w:lineRule="auto"/>
        <w:ind w:left="524" w:firstLine="0"/>
        <w:jc w:val="left"/>
      </w:pPr>
      <w:r>
        <w:rPr>
          <w:rFonts w:ascii="Consolas" w:hAnsi="Consolas" w:cs="Consolas"/>
          <w:sz w:val="17"/>
          <w:szCs w:val="17"/>
        </w:rPr>
        <w:t xml:space="preserve">)</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Consumo Médio Mensal 12m =</w:t>
      </w:r>
    </w:p>
    <w:p>
      <w:pPr>
        <w:keepNext/>
        <w:shd w:val="clear" w:color="auto" w:fill="F2F2F2"/>
        <w:spacing w:before="0" w:after="0" w:line="240" w:lineRule="auto"/>
        <w:ind w:left="284" w:firstLine="0"/>
        <w:jc w:val="left"/>
      </w:pPr>
      <w:r>
        <w:rPr>
          <w:rFonts w:ascii="Consolas" w:hAnsi="Consolas" w:cs="Consolas"/>
          <w:sz w:val="17"/>
          <w:szCs w:val="17"/>
        </w:rPr>
        <w:t xml:space="preserve">DIVIDE ( [Consumo 12m (Qtd)], 12 )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Cobertura Material (meses) =</w:t>
      </w:r>
    </w:p>
    <w:p>
      <w:pPr>
        <w:keepNext/>
        <w:shd w:val="clear" w:color="auto" w:fill="F2F2F2"/>
        <w:spacing w:before="0" w:after="0" w:line="240" w:lineRule="auto"/>
        <w:ind w:left="284" w:firstLine="0"/>
        <w:jc w:val="left"/>
      </w:pPr>
      <w:r>
        <w:rPr>
          <w:rFonts w:ascii="Consolas" w:hAnsi="Consolas" w:cs="Consolas"/>
          <w:sz w:val="17"/>
          <w:szCs w:val="17"/>
        </w:rPr>
        <w:t xml:space="preserve">DIVIDE ( [Saldo Qtd (RES47)], [Consumo Médio Mensal 12m]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Cobertura Estoque (meses) =</w:t>
      </w:r>
    </w:p>
    <w:p>
      <w:pPr>
        <w:keepNext/>
        <w:shd w:val="clear" w:color="auto" w:fill="F2F2F2"/>
        <w:spacing w:before="0" w:after="0" w:line="240" w:lineRule="auto"/>
        <w:ind w:left="284" w:firstLine="0"/>
        <w:jc w:val="left"/>
      </w:pPr>
      <w:r>
        <w:rPr>
          <w:rFonts w:ascii="Consolas" w:hAnsi="Consolas" w:cs="Consolas"/>
          <w:sz w:val="17"/>
          <w:szCs w:val="17"/>
        </w:rPr>
        <w:t xml:space="preserve">DIVIDE ( [Valor Estoque (RES47)], DIVIDE ( [Consumo 12m (R$)], 12 ) )</w:t>
      </w:r>
    </w:p>
    <w:p>
      <w:pPr>
        <w:spacing w:before="0" w:after="60"/>
      </w:pPr>
    </w:p>
    <w:p>
      <w:r>
        <w:t xml:space="preserve">A cobertura segue a fórmula passada pela CPTM: saldo atual dividido pelo consumo médio mensal. Por material, ela é calculada em quantidade. No card do total, é calculada em valor (R$), porque não faz sentido somar quantidades de unidades diferentes.</w:t>
      </w:r>
    </w:p>
    <w:p>
      <w:pPr>
        <w:keepNext/>
        <w:spacing w:before="160"/>
        <w:ind w:firstLine="0"/>
      </w:pPr>
      <w:r>
        <w:rPr>
          <w:b/>
          <w:color w:val="1F3864"/>
        </w:rPr>
        <w:t xml:space="preserve">Estoque médio e giro</w:t>
      </w:r>
    </w:p>
    <w:p>
      <w:r>
        <w:t xml:space="preserve">A CPTM orientou que o estoque médio não fosse calculado a partir de uma única fotografia do saldo. Como todas as posições de estoque recebidas são de agosto de 2026, o estoque de cada mês anterior foi reconstruído de trás para frente: estoque no fim do mês = saldo em 24/08/2026 menos as movimentações líquidas registradas depois daquele mês. O estoque médio é a média das 13 posições de ago/2025 a ago/2026, e o giro é o consumo dos 12 meses dividido por esse estoque médio.</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Estoque Médio 12m (R$) =</w:t>
      </w:r>
    </w:p>
    <w:p>
      <w:pPr>
        <w:keepNext/>
        <w:shd w:val="clear" w:color="auto" w:fill="F2F2F2"/>
        <w:spacing w:before="0" w:after="0" w:line="240" w:lineRule="auto"/>
        <w:ind w:left="284" w:firstLine="0"/>
        <w:jc w:val="left"/>
      </w:pPr>
      <w:r>
        <w:rPr>
          <w:rFonts w:ascii="Consolas" w:hAnsi="Consolas" w:cs="Consolas"/>
          <w:sz w:val="17"/>
          <w:szCs w:val="17"/>
        </w:rPr>
        <w:t xml:space="preserve">VAR ref = [Data Base Estoque]</w:t>
      </w:r>
    </w:p>
    <w:p>
      <w:pPr>
        <w:keepNext/>
        <w:shd w:val="clear" w:color="auto" w:fill="F2F2F2"/>
        <w:spacing w:before="0" w:after="0" w:line="240" w:lineRule="auto"/>
        <w:ind w:left="284" w:firstLine="0"/>
        <w:jc w:val="left"/>
      </w:pPr>
      <w:r>
        <w:rPr>
          <w:rFonts w:ascii="Consolas" w:hAnsi="Consolas" w:cs="Consolas"/>
          <w:sz w:val="17"/>
          <w:szCs w:val="17"/>
        </w:rPr>
        <w:t xml:space="preserve">VAR atual = [Valor Estoque (RES47)]</w:t>
      </w:r>
    </w:p>
    <w:p>
      <w:pPr>
        <w:keepNext/>
        <w:shd w:val="clear" w:color="auto" w:fill="F2F2F2"/>
        <w:spacing w:before="0" w:after="0" w:line="240" w:lineRule="auto"/>
        <w:ind w:left="284" w:firstLine="0"/>
        <w:jc w:val="left"/>
      </w:pPr>
      <w:r>
        <w:rPr>
          <w:rFonts w:ascii="Consolas" w:hAnsi="Consolas" w:cs="Consolas"/>
          <w:sz w:val="17"/>
          <w:szCs w:val="17"/>
        </w:rPr>
        <w:t xml:space="preserve">RETURN</w:t>
      </w:r>
    </w:p>
    <w:p>
      <w:pPr>
        <w:keepNext/>
        <w:shd w:val="clear" w:color="auto" w:fill="F2F2F2"/>
        <w:spacing w:before="0" w:after="0" w:line="240" w:lineRule="auto"/>
        <w:ind w:left="524" w:firstLine="0"/>
        <w:jc w:val="left"/>
      </w:pPr>
      <w:r>
        <w:rPr>
          <w:rFonts w:ascii="Consolas" w:hAnsi="Consolas" w:cs="Consolas"/>
          <w:sz w:val="17"/>
          <w:szCs w:val="17"/>
        </w:rPr>
        <w:t xml:space="preserve">AVERAGEX (</w:t>
      </w:r>
    </w:p>
    <w:p>
      <w:pPr>
        <w:keepNext/>
        <w:shd w:val="clear" w:color="auto" w:fill="F2F2F2"/>
        <w:spacing w:before="0" w:after="0" w:line="240" w:lineRule="auto"/>
        <w:ind w:left="764" w:firstLine="0"/>
        <w:jc w:val="left"/>
      </w:pPr>
      <w:r>
        <w:rPr>
          <w:rFonts w:ascii="Consolas" w:hAnsi="Consolas" w:cs="Consolas"/>
          <w:sz w:val="17"/>
          <w:szCs w:val="17"/>
        </w:rPr>
        <w:t xml:space="preserve">GENERATESERIES ( 0, 12, 1 ),</w:t>
      </w:r>
    </w:p>
    <w:p>
      <w:pPr>
        <w:keepNext/>
        <w:shd w:val="clear" w:color="auto" w:fill="F2F2F2"/>
        <w:spacing w:before="0" w:after="0" w:line="240" w:lineRule="auto"/>
        <w:ind w:left="764" w:firstLine="0"/>
        <w:jc w:val="left"/>
      </w:pPr>
      <w:r>
        <w:rPr>
          <w:rFonts w:ascii="Consolas" w:hAnsi="Consolas" w:cs="Consolas"/>
          <w:sz w:val="17"/>
          <w:szCs w:val="17"/>
        </w:rPr>
        <w:t xml:space="preserve">VAR d = IF ( [Value] = 12, ref, EOMONTH ( ref, [Value] - 12 ) )</w:t>
      </w:r>
    </w:p>
    <w:p>
      <w:pPr>
        <w:keepNext/>
        <w:shd w:val="clear" w:color="auto" w:fill="F2F2F2"/>
        <w:spacing w:before="0" w:after="0" w:line="240" w:lineRule="auto"/>
        <w:ind w:left="764" w:firstLine="0"/>
        <w:jc w:val="left"/>
      </w:pPr>
      <w:r>
        <w:rPr>
          <w:rFonts w:ascii="Consolas" w:hAnsi="Consolas" w:cs="Consolas"/>
          <w:sz w:val="17"/>
          <w:szCs w:val="17"/>
        </w:rPr>
        <w:t xml:space="preserve">RETURN</w:t>
      </w:r>
    </w:p>
    <w:p>
      <w:pPr>
        <w:keepNext/>
        <w:shd w:val="clear" w:color="auto" w:fill="F2F2F2"/>
        <w:spacing w:before="0" w:after="0" w:line="240" w:lineRule="auto"/>
        <w:ind w:left="1004" w:firstLine="0"/>
        <w:jc w:val="left"/>
      </w:pPr>
      <w:r>
        <w:rPr>
          <w:rFonts w:ascii="Consolas" w:hAnsi="Consolas" w:cs="Consolas"/>
          <w:sz w:val="17"/>
          <w:szCs w:val="17"/>
        </w:rPr>
        <w:t xml:space="preserve">atual</w:t>
      </w:r>
    </w:p>
    <w:p>
      <w:pPr>
        <w:keepNext/>
        <w:shd w:val="clear" w:color="auto" w:fill="F2F2F2"/>
        <w:spacing w:before="0" w:after="0" w:line="240" w:lineRule="auto"/>
        <w:ind w:left="1244" w:firstLine="0"/>
        <w:jc w:val="left"/>
      </w:pPr>
      <w:r>
        <w:rPr>
          <w:rFonts w:ascii="Consolas" w:hAnsi="Consolas" w:cs="Consolas"/>
          <w:sz w:val="17"/>
          <w:szCs w:val="17"/>
        </w:rPr>
        <w:t xml:space="preserve">- CALCULATE (</w:t>
      </w:r>
    </w:p>
    <w:p>
      <w:pPr>
        <w:keepNext/>
        <w:shd w:val="clear" w:color="auto" w:fill="F2F2F2"/>
        <w:spacing w:before="0" w:after="0" w:line="240" w:lineRule="auto"/>
        <w:ind w:left="1484" w:firstLine="0"/>
        <w:jc w:val="left"/>
      </w:pPr>
      <w:r>
        <w:rPr>
          <w:rFonts w:ascii="Consolas" w:hAnsi="Consolas" w:cs="Consolas"/>
          <w:sz w:val="17"/>
          <w:szCs w:val="17"/>
        </w:rPr>
        <w:t xml:space="preserve">SUM ( RES82_20260825[Valor Líquido] ),</w:t>
      </w:r>
    </w:p>
    <w:p>
      <w:pPr>
        <w:keepNext/>
        <w:shd w:val="clear" w:color="auto" w:fill="F2F2F2"/>
        <w:spacing w:before="0" w:after="0" w:line="240" w:lineRule="auto"/>
        <w:ind w:left="1484" w:firstLine="0"/>
        <w:jc w:val="left"/>
      </w:pPr>
      <w:r>
        <w:rPr>
          <w:rFonts w:ascii="Consolas" w:hAnsi="Consolas" w:cs="Consolas"/>
          <w:sz w:val="17"/>
          <w:szCs w:val="17"/>
        </w:rPr>
        <w:t xml:space="preserve">REMOVEFILTERS ( dCalendario ),</w:t>
      </w:r>
    </w:p>
    <w:p>
      <w:pPr>
        <w:keepNext/>
        <w:shd w:val="clear" w:color="auto" w:fill="F2F2F2"/>
        <w:spacing w:before="0" w:after="0" w:line="240" w:lineRule="auto"/>
        <w:ind w:left="1484" w:firstLine="0"/>
        <w:jc w:val="left"/>
      </w:pPr>
      <w:r>
        <w:rPr>
          <w:rFonts w:ascii="Consolas" w:hAnsi="Consolas" w:cs="Consolas"/>
          <w:sz w:val="17"/>
          <w:szCs w:val="17"/>
        </w:rPr>
        <w:t xml:space="preserve">RES82_20260825[Entrada] &gt; d,</w:t>
      </w:r>
    </w:p>
    <w:p>
      <w:pPr>
        <w:keepNext/>
        <w:shd w:val="clear" w:color="auto" w:fill="F2F2F2"/>
        <w:spacing w:before="0" w:after="0" w:line="240" w:lineRule="auto"/>
        <w:ind w:left="1484" w:firstLine="0"/>
        <w:jc w:val="left"/>
      </w:pPr>
      <w:r>
        <w:rPr>
          <w:rFonts w:ascii="Consolas" w:hAnsi="Consolas" w:cs="Consolas"/>
          <w:sz w:val="17"/>
          <w:szCs w:val="17"/>
        </w:rPr>
        <w:t xml:space="preserve">RES82_20260825[Entrada] &lt;= ref</w:t>
      </w:r>
    </w:p>
    <w:p>
      <w:pPr>
        <w:keepNext/>
        <w:shd w:val="clear" w:color="auto" w:fill="F2F2F2"/>
        <w:spacing w:before="0" w:after="0" w:line="240" w:lineRule="auto"/>
        <w:ind w:left="1244" w:firstLine="0"/>
        <w:jc w:val="left"/>
      </w:pPr>
      <w:r>
        <w:rPr>
          <w:rFonts w:ascii="Consolas" w:hAnsi="Consolas" w:cs="Consolas"/>
          <w:sz w:val="17"/>
          <w:szCs w:val="17"/>
        </w:rPr>
        <w:t xml:space="preserve">)</w:t>
      </w:r>
    </w:p>
    <w:p>
      <w:pPr>
        <w:keepNext/>
        <w:shd w:val="clear" w:color="auto" w:fill="F2F2F2"/>
        <w:spacing w:before="0" w:after="0" w:line="240" w:lineRule="auto"/>
        <w:ind w:left="524" w:firstLine="0"/>
        <w:jc w:val="left"/>
      </w:pPr>
      <w:r>
        <w:rPr>
          <w:rFonts w:ascii="Consolas" w:hAnsi="Consolas" w:cs="Consolas"/>
          <w:sz w:val="17"/>
          <w:szCs w:val="17"/>
        </w:rPr>
        <w:t xml:space="preserve">)</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Giro de Estoque =</w:t>
      </w:r>
    </w:p>
    <w:p>
      <w:pPr>
        <w:keepNext/>
        <w:shd w:val="clear" w:color="auto" w:fill="F2F2F2"/>
        <w:spacing w:before="0" w:after="0" w:line="240" w:lineRule="auto"/>
        <w:ind w:left="284" w:firstLine="0"/>
        <w:jc w:val="left"/>
      </w:pPr>
      <w:r>
        <w:rPr>
          <w:rFonts w:ascii="Consolas" w:hAnsi="Consolas" w:cs="Consolas"/>
          <w:sz w:val="17"/>
          <w:szCs w:val="17"/>
        </w:rPr>
        <w:t xml:space="preserve">DIVIDE ( [Consumo 12m (R$)], [Estoque Médio 12m (R$)]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Estoque Fim do Mês (R$) =</w:t>
      </w:r>
    </w:p>
    <w:p>
      <w:pPr>
        <w:keepNext/>
        <w:shd w:val="clear" w:color="auto" w:fill="F2F2F2"/>
        <w:spacing w:before="0" w:after="0" w:line="240" w:lineRule="auto"/>
        <w:ind w:left="284" w:firstLine="0"/>
        <w:jc w:val="left"/>
      </w:pPr>
      <w:r>
        <w:rPr>
          <w:rFonts w:ascii="Consolas" w:hAnsi="Consolas" w:cs="Consolas"/>
          <w:sz w:val="17"/>
          <w:szCs w:val="17"/>
        </w:rPr>
        <w:t xml:space="preserve">VAR ref = [Data Base Estoque]</w:t>
      </w:r>
    </w:p>
    <w:p>
      <w:pPr>
        <w:keepNext/>
        <w:shd w:val="clear" w:color="auto" w:fill="F2F2F2"/>
        <w:spacing w:before="0" w:after="0" w:line="240" w:lineRule="auto"/>
        <w:ind w:left="284" w:firstLine="0"/>
        <w:jc w:val="left"/>
      </w:pPr>
      <w:r>
        <w:rPr>
          <w:rFonts w:ascii="Consolas" w:hAnsi="Consolas" w:cs="Consolas"/>
          <w:sz w:val="17"/>
          <w:szCs w:val="17"/>
        </w:rPr>
        <w:t xml:space="preserve">VAR fimMes = MAX ( dCalendario[Date] )</w:t>
      </w:r>
    </w:p>
    <w:p>
      <w:pPr>
        <w:keepNext/>
        <w:shd w:val="clear" w:color="auto" w:fill="F2F2F2"/>
        <w:spacing w:before="0" w:after="0" w:line="240" w:lineRule="auto"/>
        <w:ind w:left="284" w:firstLine="0"/>
        <w:jc w:val="left"/>
      </w:pPr>
      <w:r>
        <w:rPr>
          <w:rFonts w:ascii="Consolas" w:hAnsi="Consolas" w:cs="Consolas"/>
          <w:sz w:val="17"/>
          <w:szCs w:val="17"/>
        </w:rPr>
        <w:t xml:space="preserve">VAR iniMes = MIN ( dCalendario[Date] )</w:t>
      </w:r>
    </w:p>
    <w:p>
      <w:pPr>
        <w:keepNext/>
        <w:shd w:val="clear" w:color="auto" w:fill="F2F2F2"/>
        <w:spacing w:before="0" w:after="0" w:line="240" w:lineRule="auto"/>
        <w:ind w:left="284" w:firstLine="0"/>
        <w:jc w:val="left"/>
      </w:pPr>
      <w:r>
        <w:rPr>
          <w:rFonts w:ascii="Consolas" w:hAnsi="Consolas" w:cs="Consolas"/>
          <w:sz w:val="17"/>
          <w:szCs w:val="17"/>
        </w:rPr>
        <w:t xml:space="preserve">VAR d = MIN ( fimMes, ref )</w:t>
      </w:r>
    </w:p>
    <w:p>
      <w:pPr>
        <w:keepNext/>
        <w:shd w:val="clear" w:color="auto" w:fill="F2F2F2"/>
        <w:spacing w:before="0" w:after="0" w:line="240" w:lineRule="auto"/>
        <w:ind w:left="284" w:firstLine="0"/>
        <w:jc w:val="left"/>
      </w:pPr>
      <w:r>
        <w:rPr>
          <w:rFonts w:ascii="Consolas" w:hAnsi="Consolas" w:cs="Consolas"/>
          <w:sz w:val="17"/>
          <w:szCs w:val="17"/>
        </w:rPr>
        <w:t xml:space="preserve">RETURN</w:t>
      </w:r>
    </w:p>
    <w:p>
      <w:pPr>
        <w:keepNext/>
        <w:shd w:val="clear" w:color="auto" w:fill="F2F2F2"/>
        <w:spacing w:before="0" w:after="0" w:line="240" w:lineRule="auto"/>
        <w:ind w:left="524" w:firstLine="0"/>
        <w:jc w:val="left"/>
      </w:pPr>
      <w:r>
        <w:rPr>
          <w:rFonts w:ascii="Consolas" w:hAnsi="Consolas" w:cs="Consolas"/>
          <w:sz w:val="17"/>
          <w:szCs w:val="17"/>
        </w:rPr>
        <w:t xml:space="preserve">IF (</w:t>
      </w:r>
    </w:p>
    <w:p>
      <w:pPr>
        <w:keepNext/>
        <w:shd w:val="clear" w:color="auto" w:fill="F2F2F2"/>
        <w:spacing w:before="0" w:after="0" w:line="240" w:lineRule="auto"/>
        <w:ind w:left="764" w:firstLine="0"/>
        <w:jc w:val="left"/>
      </w:pPr>
      <w:r>
        <w:rPr>
          <w:rFonts w:ascii="Consolas" w:hAnsi="Consolas" w:cs="Consolas"/>
          <w:sz w:val="17"/>
          <w:szCs w:val="17"/>
        </w:rPr>
        <w:t xml:space="preserve">fimMes &gt;= EOMONTH ( ref, -12 ) &amp;&amp; iniMes &lt;= ref,</w:t>
      </w:r>
    </w:p>
    <w:p>
      <w:pPr>
        <w:keepNext/>
        <w:shd w:val="clear" w:color="auto" w:fill="F2F2F2"/>
        <w:spacing w:before="0" w:after="0" w:line="240" w:lineRule="auto"/>
        <w:ind w:left="764" w:firstLine="0"/>
        <w:jc w:val="left"/>
      </w:pPr>
      <w:r>
        <w:rPr>
          <w:rFonts w:ascii="Consolas" w:hAnsi="Consolas" w:cs="Consolas"/>
          <w:sz w:val="17"/>
          <w:szCs w:val="17"/>
        </w:rPr>
        <w:t xml:space="preserve">[Valor Estoque (RES47)]</w:t>
      </w:r>
    </w:p>
    <w:p>
      <w:pPr>
        <w:keepNext/>
        <w:shd w:val="clear" w:color="auto" w:fill="F2F2F2"/>
        <w:spacing w:before="0" w:after="0" w:line="240" w:lineRule="auto"/>
        <w:ind w:left="1004" w:firstLine="0"/>
        <w:jc w:val="left"/>
      </w:pPr>
      <w:r>
        <w:rPr>
          <w:rFonts w:ascii="Consolas" w:hAnsi="Consolas" w:cs="Consolas"/>
          <w:sz w:val="17"/>
          <w:szCs w:val="17"/>
        </w:rPr>
        <w:t xml:space="preserve">- CALCULATE (</w:t>
      </w:r>
    </w:p>
    <w:p>
      <w:pPr>
        <w:keepNext/>
        <w:shd w:val="clear" w:color="auto" w:fill="F2F2F2"/>
        <w:spacing w:before="0" w:after="0" w:line="240" w:lineRule="auto"/>
        <w:ind w:left="1244" w:firstLine="0"/>
        <w:jc w:val="left"/>
      </w:pPr>
      <w:r>
        <w:rPr>
          <w:rFonts w:ascii="Consolas" w:hAnsi="Consolas" w:cs="Consolas"/>
          <w:sz w:val="17"/>
          <w:szCs w:val="17"/>
        </w:rPr>
        <w:t xml:space="preserve">SUM ( RES82_20260825[Valor Líquido] ),</w:t>
      </w:r>
    </w:p>
    <w:p>
      <w:pPr>
        <w:keepNext/>
        <w:shd w:val="clear" w:color="auto" w:fill="F2F2F2"/>
        <w:spacing w:before="0" w:after="0" w:line="240" w:lineRule="auto"/>
        <w:ind w:left="1244" w:firstLine="0"/>
        <w:jc w:val="left"/>
      </w:pPr>
      <w:r>
        <w:rPr>
          <w:rFonts w:ascii="Consolas" w:hAnsi="Consolas" w:cs="Consolas"/>
          <w:sz w:val="17"/>
          <w:szCs w:val="17"/>
        </w:rPr>
        <w:t xml:space="preserve">REMOVEFILTERS ( dCalendario ),</w:t>
      </w:r>
    </w:p>
    <w:p>
      <w:pPr>
        <w:keepNext/>
        <w:shd w:val="clear" w:color="auto" w:fill="F2F2F2"/>
        <w:spacing w:before="0" w:after="0" w:line="240" w:lineRule="auto"/>
        <w:ind w:left="1244" w:firstLine="0"/>
        <w:jc w:val="left"/>
      </w:pPr>
      <w:r>
        <w:rPr>
          <w:rFonts w:ascii="Consolas" w:hAnsi="Consolas" w:cs="Consolas"/>
          <w:sz w:val="17"/>
          <w:szCs w:val="17"/>
        </w:rPr>
        <w:t xml:space="preserve">RES82_20260825[Entrada] &gt; d,</w:t>
      </w:r>
    </w:p>
    <w:p>
      <w:pPr>
        <w:keepNext/>
        <w:shd w:val="clear" w:color="auto" w:fill="F2F2F2"/>
        <w:spacing w:before="0" w:after="0" w:line="240" w:lineRule="auto"/>
        <w:ind w:left="1244" w:firstLine="0"/>
        <w:jc w:val="left"/>
      </w:pPr>
      <w:r>
        <w:rPr>
          <w:rFonts w:ascii="Consolas" w:hAnsi="Consolas" w:cs="Consolas"/>
          <w:sz w:val="17"/>
          <w:szCs w:val="17"/>
        </w:rPr>
        <w:t xml:space="preserve">RES82_20260825[Entrada] &lt;= ref</w:t>
      </w:r>
    </w:p>
    <w:p>
      <w:pPr>
        <w:keepNext/>
        <w:shd w:val="clear" w:color="auto" w:fill="F2F2F2"/>
        <w:spacing w:before="0" w:after="0" w:line="240" w:lineRule="auto"/>
        <w:ind w:left="1004" w:firstLine="0"/>
        <w:jc w:val="left"/>
      </w:pPr>
      <w:r>
        <w:rPr>
          <w:rFonts w:ascii="Consolas" w:hAnsi="Consolas" w:cs="Consolas"/>
          <w:sz w:val="17"/>
          <w:szCs w:val="17"/>
        </w:rPr>
        <w:t xml:space="preserve">)</w:t>
      </w:r>
    </w:p>
    <w:p>
      <w:pPr>
        <w:keepNext/>
        <w:shd w:val="clear" w:color="auto" w:fill="F2F2F2"/>
        <w:spacing w:before="0" w:after="0" w:line="240" w:lineRule="auto"/>
        <w:ind w:left="524" w:firstLine="0"/>
        <w:jc w:val="left"/>
      </w:pPr>
      <w:r>
        <w:rPr>
          <w:rFonts w:ascii="Consolas" w:hAnsi="Consolas" w:cs="Consolas"/>
          <w:sz w:val="17"/>
          <w:szCs w:val="17"/>
        </w:rPr>
        <w:t xml:space="preserve">)</w:t>
      </w:r>
    </w:p>
    <w:p>
      <w:pPr>
        <w:spacing w:before="0" w:after="60"/>
      </w:pPr>
    </w:p>
    <w:p>
      <w:pPr>
        <w:keepNext/>
        <w:spacing w:before="160"/>
        <w:ind w:firstLine="0"/>
      </w:pPr>
      <w:r>
        <w:rPr>
          <w:b/>
          <w:color w:val="1F3864"/>
        </w:rPr>
        <w:t xml:space="preserve">Situação de cada material</w:t>
      </w:r>
    </w:p>
    <w:p>
      <w:r>
        <w:t xml:space="preserve">A medida Status Estoque classifica cada material em uma situação, de acordo com as definições da CPTM. Os limites de risco e de excesso são escolhidos pelo usuário nos seletores da página (padrão de 3 e 24 meses), atendendo à recomendação de que esses limites sejam parametrizáveis:</w:t>
      </w:r>
    </w:p>
    <w:p>
      <w:pPr>
        <w:ind w:left="567" w:hanging="283" w:firstLine="0"/>
      </w:pPr>
      <w:r>
        <w:t xml:space="preserve">• </w:t>
      </w:r>
      <w:r>
        <w:rPr>
          <w:b/>
        </w:rPr>
        <w:t xml:space="preserve">Ruptura:</w:t>
      </w:r>
      <w:r>
        <w:t xml:space="preserve"> saldo igual a zero e consumo nos últimos 12 meses;</w:t>
      </w:r>
    </w:p>
    <w:p>
      <w:pPr>
        <w:ind w:left="567" w:hanging="283" w:firstLine="0"/>
      </w:pPr>
      <w:r>
        <w:t xml:space="preserve">• </w:t>
      </w:r>
      <w:r>
        <w:rPr>
          <w:b/>
        </w:rPr>
        <w:t xml:space="preserve">Risco de ruptura:</w:t>
      </w:r>
      <w:r>
        <w:t xml:space="preserve"> tem consumo e a cobertura está abaixo do limite de risco;</w:t>
      </w:r>
    </w:p>
    <w:p>
      <w:pPr>
        <w:ind w:left="567" w:hanging="283" w:firstLine="0"/>
      </w:pPr>
      <w:r>
        <w:t xml:space="preserve">• </w:t>
      </w:r>
      <w:r>
        <w:rPr>
          <w:b/>
        </w:rPr>
        <w:t xml:space="preserve">Excesso:</w:t>
      </w:r>
      <w:r>
        <w:t xml:space="preserve"> tem consumo e a cobertura está acima do limite de excesso;</w:t>
      </w:r>
    </w:p>
    <w:p>
      <w:pPr>
        <w:ind w:left="567" w:hanging="283" w:firstLine="0"/>
      </w:pPr>
      <w:r>
        <w:t xml:space="preserve">• </w:t>
      </w:r>
      <w:r>
        <w:rPr>
          <w:b/>
        </w:rPr>
        <w:t xml:space="preserve">Adequado:</w:t>
      </w:r>
      <w:r>
        <w:t xml:space="preserve"> tem consumo e a cobertura está entre os dois limites;</w:t>
      </w:r>
    </w:p>
    <w:p>
      <w:pPr>
        <w:ind w:left="567" w:hanging="283" w:firstLine="0"/>
      </w:pPr>
      <w:r>
        <w:t xml:space="preserve">• </w:t>
      </w:r>
      <w:r>
        <w:rPr>
          <w:b/>
        </w:rPr>
        <w:t xml:space="preserve">Sem consumo 12m:</w:t>
      </w:r>
      <w:r>
        <w:t xml:space="preserve"> tem saldo, mas não teve consumo nos últimos 12 meses.</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Limite Risco (meses) =</w:t>
      </w:r>
    </w:p>
    <w:p>
      <w:pPr>
        <w:keepNext/>
        <w:shd w:val="clear" w:color="auto" w:fill="F2F2F2"/>
        <w:spacing w:before="0" w:after="0" w:line="240" w:lineRule="auto"/>
        <w:ind w:left="284" w:firstLine="0"/>
        <w:jc w:val="left"/>
      </w:pPr>
      <w:r>
        <w:rPr>
          <w:rFonts w:ascii="Consolas" w:hAnsi="Consolas" w:cs="Consolas"/>
          <w:sz w:val="17"/>
          <w:szCs w:val="17"/>
        </w:rPr>
        <w:t xml:space="preserve">SELECTEDVALUE ( 'Parâmetro Risco'[Risco (meses)], 3 )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Status Estoque =</w:t>
      </w:r>
    </w:p>
    <w:p>
      <w:pPr>
        <w:keepNext/>
        <w:shd w:val="clear" w:color="auto" w:fill="F2F2F2"/>
        <w:spacing w:before="0" w:after="0" w:line="240" w:lineRule="auto"/>
        <w:ind w:left="284" w:firstLine="0"/>
        <w:jc w:val="left"/>
      </w:pPr>
      <w:r>
        <w:rPr>
          <w:rFonts w:ascii="Consolas" w:hAnsi="Consolas" w:cs="Consolas"/>
          <w:sz w:val="17"/>
          <w:szCs w:val="17"/>
        </w:rPr>
        <w:t xml:space="preserve">VAR s = COALESCE ( [Saldo Qtd (RES47)], 0 )</w:t>
      </w:r>
    </w:p>
    <w:p>
      <w:pPr>
        <w:keepNext/>
        <w:shd w:val="clear" w:color="auto" w:fill="F2F2F2"/>
        <w:spacing w:before="0" w:after="0" w:line="240" w:lineRule="auto"/>
        <w:ind w:left="284" w:firstLine="0"/>
        <w:jc w:val="left"/>
      </w:pPr>
      <w:r>
        <w:rPr>
          <w:rFonts w:ascii="Consolas" w:hAnsi="Consolas" w:cs="Consolas"/>
          <w:sz w:val="17"/>
          <w:szCs w:val="17"/>
        </w:rPr>
        <w:t xml:space="preserve">VAR c = COALESCE ( [Consumo Médio Mensal 12m], 0 )</w:t>
      </w:r>
    </w:p>
    <w:p>
      <w:pPr>
        <w:keepNext/>
        <w:shd w:val="clear" w:color="auto" w:fill="F2F2F2"/>
        <w:spacing w:before="0" w:after="0" w:line="240" w:lineRule="auto"/>
        <w:ind w:left="284" w:firstLine="0"/>
        <w:jc w:val="left"/>
      </w:pPr>
      <w:r>
        <w:rPr>
          <w:rFonts w:ascii="Consolas" w:hAnsi="Consolas" w:cs="Consolas"/>
          <w:sz w:val="17"/>
          <w:szCs w:val="17"/>
        </w:rPr>
        <w:t xml:space="preserve">VAR cob = DIVIDE ( s, c )</w:t>
      </w:r>
    </w:p>
    <w:p>
      <w:pPr>
        <w:keepNext/>
        <w:shd w:val="clear" w:color="auto" w:fill="F2F2F2"/>
        <w:spacing w:before="0" w:after="0" w:line="240" w:lineRule="auto"/>
        <w:ind w:left="284" w:firstLine="0"/>
        <w:jc w:val="left"/>
      </w:pPr>
      <w:r>
        <w:rPr>
          <w:rFonts w:ascii="Consolas" w:hAnsi="Consolas" w:cs="Consolas"/>
          <w:sz w:val="17"/>
          <w:szCs w:val="17"/>
        </w:rPr>
        <w:t xml:space="preserve">RETURN</w:t>
      </w:r>
    </w:p>
    <w:p>
      <w:pPr>
        <w:keepNext/>
        <w:shd w:val="clear" w:color="auto" w:fill="F2F2F2"/>
        <w:spacing w:before="0" w:after="0" w:line="240" w:lineRule="auto"/>
        <w:ind w:left="524" w:firstLine="0"/>
        <w:jc w:val="left"/>
      </w:pPr>
      <w:r>
        <w:rPr>
          <w:rFonts w:ascii="Consolas" w:hAnsi="Consolas" w:cs="Consolas"/>
          <w:sz w:val="17"/>
          <w:szCs w:val="17"/>
        </w:rPr>
        <w:t xml:space="preserve">SWITCH (</w:t>
      </w:r>
    </w:p>
    <w:p>
      <w:pPr>
        <w:keepNext/>
        <w:shd w:val="clear" w:color="auto" w:fill="F2F2F2"/>
        <w:spacing w:before="0" w:after="0" w:line="240" w:lineRule="auto"/>
        <w:ind w:left="764" w:firstLine="0"/>
        <w:jc w:val="left"/>
      </w:pPr>
      <w:r>
        <w:rPr>
          <w:rFonts w:ascii="Consolas" w:hAnsi="Consolas" w:cs="Consolas"/>
          <w:sz w:val="17"/>
          <w:szCs w:val="17"/>
        </w:rPr>
        <w:t xml:space="preserve">TRUE (),</w:t>
      </w:r>
    </w:p>
    <w:p>
      <w:pPr>
        <w:keepNext/>
        <w:shd w:val="clear" w:color="auto" w:fill="F2F2F2"/>
        <w:spacing w:before="0" w:after="0" w:line="240" w:lineRule="auto"/>
        <w:ind w:left="764" w:firstLine="0"/>
        <w:jc w:val="left"/>
      </w:pPr>
      <w:r>
        <w:rPr>
          <w:rFonts w:ascii="Consolas" w:hAnsi="Consolas" w:cs="Consolas"/>
          <w:sz w:val="17"/>
          <w:szCs w:val="17"/>
        </w:rPr>
        <w:t xml:space="preserve">c &gt; 0 &amp;&amp; s &lt;= 0, "Ruptura",</w:t>
      </w:r>
    </w:p>
    <w:p>
      <w:pPr>
        <w:keepNext/>
        <w:shd w:val="clear" w:color="auto" w:fill="F2F2F2"/>
        <w:spacing w:before="0" w:after="0" w:line="240" w:lineRule="auto"/>
        <w:ind w:left="764" w:firstLine="0"/>
        <w:jc w:val="left"/>
      </w:pPr>
      <w:r>
        <w:rPr>
          <w:rFonts w:ascii="Consolas" w:hAnsi="Consolas" w:cs="Consolas"/>
          <w:sz w:val="17"/>
          <w:szCs w:val="17"/>
        </w:rPr>
        <w:t xml:space="preserve">c &gt; 0 &amp;&amp; cob &lt; [Limite Risco (meses)], "Risco de ruptura",</w:t>
      </w:r>
    </w:p>
    <w:p>
      <w:pPr>
        <w:keepNext/>
        <w:shd w:val="clear" w:color="auto" w:fill="F2F2F2"/>
        <w:spacing w:before="0" w:after="0" w:line="240" w:lineRule="auto"/>
        <w:ind w:left="764" w:firstLine="0"/>
        <w:jc w:val="left"/>
      </w:pPr>
      <w:r>
        <w:rPr>
          <w:rFonts w:ascii="Consolas" w:hAnsi="Consolas" w:cs="Consolas"/>
          <w:sz w:val="17"/>
          <w:szCs w:val="17"/>
        </w:rPr>
        <w:t xml:space="preserve">c &gt; 0 &amp;&amp; cob &gt; [Limite Excesso (meses)], "Excesso",</w:t>
      </w:r>
    </w:p>
    <w:p>
      <w:pPr>
        <w:keepNext/>
        <w:shd w:val="clear" w:color="auto" w:fill="F2F2F2"/>
        <w:spacing w:before="0" w:after="0" w:line="240" w:lineRule="auto"/>
        <w:ind w:left="764" w:firstLine="0"/>
        <w:jc w:val="left"/>
      </w:pPr>
      <w:r>
        <w:rPr>
          <w:rFonts w:ascii="Consolas" w:hAnsi="Consolas" w:cs="Consolas"/>
          <w:sz w:val="17"/>
          <w:szCs w:val="17"/>
        </w:rPr>
        <w:t xml:space="preserve">c &gt; 0, "Adequado",</w:t>
      </w:r>
    </w:p>
    <w:p>
      <w:pPr>
        <w:keepNext/>
        <w:shd w:val="clear" w:color="auto" w:fill="F2F2F2"/>
        <w:spacing w:before="0" w:after="0" w:line="240" w:lineRule="auto"/>
        <w:ind w:left="764" w:firstLine="0"/>
        <w:jc w:val="left"/>
      </w:pPr>
      <w:r>
        <w:rPr>
          <w:rFonts w:ascii="Consolas" w:hAnsi="Consolas" w:cs="Consolas"/>
          <w:sz w:val="17"/>
          <w:szCs w:val="17"/>
        </w:rPr>
        <w:t xml:space="preserve">s &gt; 0, "Sem consumo 12m",</w:t>
      </w:r>
    </w:p>
    <w:p>
      <w:pPr>
        <w:keepNext/>
        <w:shd w:val="clear" w:color="auto" w:fill="F2F2F2"/>
        <w:spacing w:before="0" w:after="0" w:line="240" w:lineRule="auto"/>
        <w:ind w:left="764" w:firstLine="0"/>
        <w:jc w:val="left"/>
      </w:pPr>
      <w:r>
        <w:rPr>
          <w:rFonts w:ascii="Consolas" w:hAnsi="Consolas" w:cs="Consolas"/>
          <w:sz w:val="17"/>
          <w:szCs w:val="17"/>
        </w:rPr>
        <w:t xml:space="preserve">BLANK ()</w:t>
      </w:r>
    </w:p>
    <w:p>
      <w:pPr>
        <w:keepNext/>
        <w:shd w:val="clear" w:color="auto" w:fill="F2F2F2"/>
        <w:spacing w:before="0" w:after="0" w:line="240" w:lineRule="auto"/>
        <w:ind w:left="524" w:firstLine="0"/>
        <w:jc w:val="left"/>
      </w:pPr>
      <w:r>
        <w:rPr>
          <w:rFonts w:ascii="Consolas" w:hAnsi="Consolas" w:cs="Consolas"/>
          <w:sz w:val="17"/>
          <w:szCs w:val="17"/>
        </w:rPr>
        <w:t xml:space="preserve">)</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Materiais no Status =</w:t>
      </w:r>
    </w:p>
    <w:p>
      <w:pPr>
        <w:keepNext/>
        <w:shd w:val="clear" w:color="auto" w:fill="F2F2F2"/>
        <w:spacing w:before="0" w:after="0" w:line="240" w:lineRule="auto"/>
        <w:ind w:left="284" w:firstLine="0"/>
        <w:jc w:val="left"/>
      </w:pPr>
      <w:r>
        <w:rPr>
          <w:rFonts w:ascii="Consolas" w:hAnsi="Consolas" w:cs="Consolas"/>
          <w:sz w:val="17"/>
          <w:szCs w:val="17"/>
        </w:rPr>
        <w:t xml:space="preserve">VAR st = SELECTEDVALUE ( dStatus[Status] )</w:t>
      </w:r>
    </w:p>
    <w:p>
      <w:pPr>
        <w:keepNext/>
        <w:shd w:val="clear" w:color="auto" w:fill="F2F2F2"/>
        <w:spacing w:before="0" w:after="0" w:line="240" w:lineRule="auto"/>
        <w:ind w:left="284" w:firstLine="0"/>
        <w:jc w:val="left"/>
      </w:pPr>
      <w:r>
        <w:rPr>
          <w:rFonts w:ascii="Consolas" w:hAnsi="Consolas" w:cs="Consolas"/>
          <w:sz w:val="17"/>
          <w:szCs w:val="17"/>
        </w:rPr>
        <w:t xml:space="preserve">RETURN</w:t>
      </w:r>
    </w:p>
    <w:p>
      <w:pPr>
        <w:keepNext/>
        <w:shd w:val="clear" w:color="auto" w:fill="F2F2F2"/>
        <w:spacing w:before="0" w:after="0" w:line="240" w:lineRule="auto"/>
        <w:ind w:left="524" w:firstLine="0"/>
        <w:jc w:val="left"/>
      </w:pPr>
      <w:r>
        <w:rPr>
          <w:rFonts w:ascii="Consolas" w:hAnsi="Consolas" w:cs="Consolas"/>
          <w:sz w:val="17"/>
          <w:szCs w:val="17"/>
        </w:rPr>
        <w:t xml:space="preserve">IF (</w:t>
      </w:r>
    </w:p>
    <w:p>
      <w:pPr>
        <w:keepNext/>
        <w:shd w:val="clear" w:color="auto" w:fill="F2F2F2"/>
        <w:spacing w:before="0" w:after="0" w:line="240" w:lineRule="auto"/>
        <w:ind w:left="764" w:firstLine="0"/>
        <w:jc w:val="left"/>
      </w:pPr>
      <w:r>
        <w:rPr>
          <w:rFonts w:ascii="Consolas" w:hAnsi="Consolas" w:cs="Consolas"/>
          <w:sz w:val="17"/>
          <w:szCs w:val="17"/>
        </w:rPr>
        <w:t xml:space="preserve">NOT ISBLANK ( st ),</w:t>
      </w:r>
    </w:p>
    <w:p>
      <w:pPr>
        <w:keepNext/>
        <w:shd w:val="clear" w:color="auto" w:fill="F2F2F2"/>
        <w:spacing w:before="0" w:after="0" w:line="240" w:lineRule="auto"/>
        <w:ind w:left="764" w:firstLine="0"/>
        <w:jc w:val="left"/>
      </w:pPr>
      <w:r>
        <w:rPr>
          <w:rFonts w:ascii="Consolas" w:hAnsi="Consolas" w:cs="Consolas"/>
          <w:sz w:val="17"/>
          <w:szCs w:val="17"/>
        </w:rPr>
        <w:t xml:space="preserve">COUNTROWS ( FILTER ( VALUES ( PROD__20260824[Alternativo] ), [Status Estoque] = st ) )</w:t>
      </w:r>
    </w:p>
    <w:p>
      <w:pPr>
        <w:keepNext/>
        <w:shd w:val="clear" w:color="auto" w:fill="F2F2F2"/>
        <w:spacing w:before="0" w:after="0" w:line="240" w:lineRule="auto"/>
        <w:ind w:left="524" w:firstLine="0"/>
        <w:jc w:val="left"/>
      </w:pPr>
      <w:r>
        <w:rPr>
          <w:rFonts w:ascii="Consolas" w:hAnsi="Consolas" w:cs="Consolas"/>
          <w:sz w:val="17"/>
          <w:szCs w:val="17"/>
        </w:rPr>
        <w:t xml:space="preserve">)</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Materiais em Ruptura =</w:t>
      </w:r>
    </w:p>
    <w:p>
      <w:pPr>
        <w:keepNext/>
        <w:shd w:val="clear" w:color="auto" w:fill="F2F2F2"/>
        <w:spacing w:before="0" w:after="0" w:line="240" w:lineRule="auto"/>
        <w:ind w:left="284" w:firstLine="0"/>
        <w:jc w:val="left"/>
      </w:pPr>
      <w:r>
        <w:rPr>
          <w:rFonts w:ascii="Consolas" w:hAnsi="Consolas" w:cs="Consolas"/>
          <w:sz w:val="17"/>
          <w:szCs w:val="17"/>
        </w:rPr>
        <w:t xml:space="preserve">CALCULATE ( [Materiais no Status], dStatus[Status] = "Ruptura" )</w:t>
      </w:r>
    </w:p>
    <w:p>
      <w:pPr>
        <w:spacing w:before="0" w:after="60"/>
      </w:pPr>
    </w:p>
    <w:p>
      <w:pPr>
        <w:pStyle w:val="Caption"/>
        <w:keepNext/>
      </w:pPr>
      <w:r>
        <w:t xml:space="preserve">Tabela </w:t>
      </w:r>
      <w:r>
        <w:fldChar w:fldCharType="begin"/>
      </w:r>
      <w:r>
        <w:instrText xml:space="preserve"> SEQ Tabela \* ARABIC </w:instrText>
      </w:r>
      <w:r>
        <w:fldChar w:fldCharType="separate"/>
      </w:r>
      <w:r>
        <w:rPr>
          <w:noProof/>
        </w:rPr>
        <w:t>7</w:t>
      </w:r>
      <w:r>
        <w:fldChar w:fldCharType="end"/>
      </w:r>
      <w:r>
        <w:t xml:space="preserve"> – Cards da página Indicadores Logísticos</w:t>
      </w:r>
    </w:p>
    <w:tbl>
      <w:tblPr>
        <w:tblW w:w="9288" w:type="dxa"/>
        <w:tblLayout w:type="fixed"/>
        <w:tblLook w:val="04A0" w:firstRow="1" w:lastRow="0" w:firstColumn="1" w:lastColumn="0" w:noHBand="0" w:noVBand="1"/>
      </w:tblPr>
      <w:tblGrid>
        <w:gridCol w:w="2211"/>
        <w:gridCol w:w="2875"/>
        <w:gridCol w:w="2875"/>
        <w:gridCol w:w="1327"/>
      </w:tblGrid>
      <w:tr>
        <w:trPr>
          <w:tblHeader/>
          <w:cantSplit/>
        </w:trPr>
        <w:tc>
          <w:tcPr>
            <w:tcW w:w="2211"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Card</w:t>
            </w:r>
          </w:p>
        </w:tc>
        <w:tc>
          <w:tcPr>
            <w:tcW w:w="2875"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O que mostra</w:t>
            </w:r>
          </w:p>
        </w:tc>
        <w:tc>
          <w:tcPr>
            <w:tcW w:w="2875"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Cálculo</w:t>
            </w:r>
          </w:p>
        </w:tc>
        <w:tc>
          <w:tcPr>
            <w:tcW w:w="1327"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Valor</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em Ruptura</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sem saldo que tiveram consumo no último ano</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de materiais com Status = Ruptura</w:t>
            </w:r>
          </w:p>
        </w:tc>
        <w:tc>
          <w:tcPr>
            <w:tcW w:w="132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560</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Risco de Ruptura</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com saldo para menos meses que o limite</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com Status = Risco de ruptura</w:t>
            </w:r>
          </w:p>
        </w:tc>
        <w:tc>
          <w:tcPr>
            <w:tcW w:w="132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69</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Cobertura do Estoque (meses)</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Por quantos meses o estoque atende o consumo médio</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Valor RES47 ÷ (Consumo 12m R$ ÷ 12)</w:t>
            </w:r>
          </w:p>
        </w:tc>
        <w:tc>
          <w:tcPr>
            <w:tcW w:w="132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57,6</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Giro 12 meses (vezes)</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Velocidade de renovação do estoque</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Consumo 12m (R$) ÷ Estoque médio 12m</w:t>
            </w:r>
          </w:p>
        </w:tc>
        <w:tc>
          <w:tcPr>
            <w:tcW w:w="132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0,18</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em Excesso</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com saldo para mais meses que o limite</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com Status = Excesso</w:t>
            </w:r>
          </w:p>
        </w:tc>
        <w:tc>
          <w:tcPr>
            <w:tcW w:w="132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1.226</w:t>
            </w:r>
          </w:p>
        </w:tc>
      </w:tr>
      <w:tr>
        <w:trPr>
          <w:cantSplit/>
        </w:trPr>
        <w:tc>
          <w:tcPr>
            <w:tcW w:w="2211"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Sem Consumo há 12 meses</w:t>
            </w:r>
          </w:p>
        </w:tc>
        <w:tc>
          <w:tcPr>
            <w:tcW w:w="2875"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com saldo e sem consumo no último ano</w:t>
            </w:r>
          </w:p>
        </w:tc>
        <w:tc>
          <w:tcPr>
            <w:tcW w:w="2875"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com Status = Sem consumo 12m</w:t>
            </w:r>
          </w:p>
        </w:tc>
        <w:tc>
          <w:tcPr>
            <w:tcW w:w="1327"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7.628</w:t>
            </w:r>
          </w:p>
        </w:tc>
      </w:tr>
    </w:tbl>
    <w:p>
      <w:pPr>
        <w:spacing w:before="60"/>
        <w:ind w:firstLine="0"/>
      </w:pPr>
      <w:r>
        <w:rPr>
          <w:sz w:val="18"/>
          <w:szCs w:val="18"/>
        </w:rPr>
        <w:t xml:space="preserve">Fonte: elaborado pelos autores (2026).</w:t>
      </w:r>
    </w:p>
    <w:p>
      <w:r>
        <w:t xml:space="preserve">Os valores de risco e excesso usam os limites padrão e mudam quando o usuário escolhe outros limites. A página também tem:</w:t>
      </w:r>
    </w:p>
    <w:p>
      <w:pPr>
        <w:ind w:left="567" w:hanging="283" w:firstLine="0"/>
      </w:pPr>
      <w:r>
        <w:t xml:space="preserve">• </w:t>
      </w:r>
      <w:r>
        <w:rPr>
          <w:b/>
        </w:rPr>
        <w:t xml:space="preserve">Materiais por Situação de Estoque:</w:t>
      </w:r>
      <w:r>
        <w:t xml:space="preserve"> barras com a quantidade de materiais em cada situação, cada uma com a sua cor (vermelho para ruptura, laranja para risco, verde para adequado, azul para excesso e cinza para sem consumo);</w:t>
      </w:r>
    </w:p>
    <w:p>
      <w:pPr>
        <w:ind w:left="567" w:hanging="283" w:firstLine="0"/>
      </w:pPr>
      <w:r>
        <w:t xml:space="preserve">• </w:t>
      </w:r>
      <w:r>
        <w:rPr>
          <w:b/>
        </w:rPr>
        <w:t xml:space="preserve">Tempo sem Consumo:</w:t>
      </w:r>
      <w:r>
        <w:t xml:space="preserve"> quantidade de materiais em cada faixa de tempo desde o último consumo: até 12 meses (1.887), 12 a 24 (821), 24 a 36 (647), 36 a 60 (590), mais de 60 meses (2.561) e nunca consumido (2.981);</w:t>
      </w:r>
    </w:p>
    <w:p>
      <w:pPr>
        <w:ind w:left="567" w:hanging="283" w:firstLine="0"/>
      </w:pPr>
      <w:r>
        <w:t xml:space="preserve">• </w:t>
      </w:r>
      <w:r>
        <w:rPr>
          <w:b/>
        </w:rPr>
        <w:t xml:space="preserve">Posição Mensal do Estoque (R$):</w:t>
      </w:r>
      <w:r>
        <w:t xml:space="preserve"> as 13 posições mensais reconstruídas que formam o estoque médio. O aumento de cerca de R$ 72 mi em dezembro de 2025 corresponde à capitalização de sobressalentes dos trens das séries 2500, 8500 e 9500;</w:t>
      </w:r>
    </w:p>
    <w:p>
      <w:pPr>
        <w:ind w:left="567" w:hanging="283" w:firstLine="0"/>
      </w:pPr>
      <w:r>
        <w:t xml:space="preserve">• </w:t>
      </w:r>
      <w:r>
        <w:rPr>
          <w:b/>
        </w:rPr>
        <w:t xml:space="preserve">Priorização de Materiais:</w:t>
      </w:r>
      <w:r>
        <w:t xml:space="preserve"> tabela com código, material, tipo de consumo, saldo, consumo médio mensal, PCA mensal, cobertura, situação (colorida) e prioridade, ordenada da situação mais urgente para a menos urgente;</w:t>
      </w:r>
    </w:p>
    <w:p>
      <w:pPr>
        <w:ind w:left="567" w:hanging="283" w:firstLine="0"/>
      </w:pPr>
      <w:r>
        <w:t xml:space="preserve">• </w:t>
      </w:r>
      <w:r>
        <w:rPr>
          <w:b/>
        </w:rPr>
        <w:t xml:space="preserve">Como calculamos:</w:t>
      </w:r>
      <w:r>
        <w:t xml:space="preserve"> caixa de texto com o resumo das fórmulas usadas na página.</w:t>
      </w:r>
    </w:p>
    <w:p>
      <w:pPr>
        <w:pStyle w:val="Heading2"/>
      </w:pPr>
      <w:r>
        <w:t xml:space="preserve">Página 3 – Giro e Rotatividade</w:t>
      </w:r>
    </w:p>
    <w:p>
      <w:r>
        <w:t xml:space="preserve">Esta página atende ao módulo Indicadores de Giro de Estoque (giro por material, tempo médio de permanência e classificação por rotatividade), à visualização da Curva ABC por criticidade e à questão de sazonalidade levantada pela CPTM (Figura 3).</w:t>
      </w:r>
    </w:p>
    <w:p>
      <w:pPr>
        <w:pBdr>
          <w:top w:val="single" w:sz="6" w:space="8" w:color="A6A6A6"/>
          <w:left w:val="single" w:sz="6" w:space="8" w:color="A6A6A6"/>
          <w:bottom w:val="single" w:sz="6" w:space="8" w:color="A6A6A6"/>
          <w:right w:val="single" w:sz="6" w:space="8" w:color="A6A6A6"/>
        </w:pBdr>
        <w:spacing w:before="240" w:after="240"/>
        <w:ind w:firstLine="0"/>
        <w:jc w:val="center"/>
      </w:pPr>
      <w:r>
        <w:rPr>
          <w:i/>
          <w:color w:val="808080"/>
        </w:rPr>
        <w:t xml:space="preserve">[Inserir aqui o print da página: Giro e Rotatividade]</w:t>
      </w:r>
    </w:p>
    <w:p>
      <w:pPr>
        <w:pStyle w:val="Caption"/>
        <w:keepNext/>
      </w:pPr>
      <w:r>
        <w:t xml:space="preserve">Figura </w:t>
      </w:r>
      <w:r>
        <w:fldChar w:fldCharType="begin"/>
      </w:r>
      <w:r>
        <w:instrText xml:space="preserve"> SEQ Figura \* ARABIC </w:instrText>
      </w:r>
      <w:r>
        <w:fldChar w:fldCharType="separate"/>
      </w:r>
      <w:r>
        <w:rPr>
          <w:noProof/>
        </w:rPr>
        <w:t>3</w:t>
      </w:r>
      <w:r>
        <w:fldChar w:fldCharType="end"/>
      </w:r>
      <w:r>
        <w:t xml:space="preserve"> – Página Giro e Rotatividade</w:t>
      </w:r>
    </w:p>
    <w:p>
      <w:pPr>
        <w:ind w:firstLine="0"/>
        <w:jc w:val="center"/>
      </w:pPr>
      <w:r>
        <w:rPr>
          <w:sz w:val="18"/>
          <w:szCs w:val="18"/>
        </w:rPr>
        <w:t xml:space="preserve">Fonte: elaborado pelos autores no Power BI (2026).</w:t>
      </w:r>
    </w:p>
    <w:p>
      <w:r>
        <w:t xml:space="preserve">Para o giro de cada material, foi usada a fórmula clássica de estoque médio, (estoque inicial + estoque final) ÷ 2. O estoque final é o saldo de 24/08/2026 (RES47) e o estoque inicial é esse saldo menos as movimentações líquidas dos 12 meses (RES82). A fórmula simplificada foi escolhida porque é calculada para milhares de materiais ao mesmo tempo; no total do estoque, o painel continua usando a média das 13 posições mensais. O tempo médio de permanência é o número de dias do período dividido pelo giro.</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Estoque Inicial 12m (Qtd) =</w:t>
      </w:r>
    </w:p>
    <w:p>
      <w:pPr>
        <w:keepNext/>
        <w:shd w:val="clear" w:color="auto" w:fill="F2F2F2"/>
        <w:spacing w:before="0" w:after="0" w:line="240" w:lineRule="auto"/>
        <w:ind w:left="284" w:firstLine="0"/>
        <w:jc w:val="left"/>
      </w:pPr>
      <w:r>
        <w:rPr>
          <w:rFonts w:ascii="Consolas" w:hAnsi="Consolas" w:cs="Consolas"/>
          <w:sz w:val="17"/>
          <w:szCs w:val="17"/>
        </w:rPr>
        <w:t xml:space="preserve">VAR ref = [Data Base Estoque]</w:t>
      </w:r>
    </w:p>
    <w:p>
      <w:pPr>
        <w:keepNext/>
        <w:shd w:val="clear" w:color="auto" w:fill="F2F2F2"/>
        <w:spacing w:before="0" w:after="0" w:line="240" w:lineRule="auto"/>
        <w:ind w:left="284" w:firstLine="0"/>
        <w:jc w:val="left"/>
      </w:pPr>
      <w:r>
        <w:rPr>
          <w:rFonts w:ascii="Consolas" w:hAnsi="Consolas" w:cs="Consolas"/>
          <w:sz w:val="17"/>
          <w:szCs w:val="17"/>
        </w:rPr>
        <w:t xml:space="preserve">VAR movLiquido =</w:t>
      </w:r>
    </w:p>
    <w:p>
      <w:pPr>
        <w:keepNext/>
        <w:shd w:val="clear" w:color="auto" w:fill="F2F2F2"/>
        <w:spacing w:before="0" w:after="0" w:line="240" w:lineRule="auto"/>
        <w:ind w:left="524" w:firstLine="0"/>
        <w:jc w:val="left"/>
      </w:pPr>
      <w:r>
        <w:rPr>
          <w:rFonts w:ascii="Consolas" w:hAnsi="Consolas" w:cs="Consolas"/>
          <w:sz w:val="17"/>
          <w:szCs w:val="17"/>
        </w:rPr>
        <w:t xml:space="preserve">CALCULATE (</w:t>
      </w:r>
    </w:p>
    <w:p>
      <w:pPr>
        <w:keepNext/>
        <w:shd w:val="clear" w:color="auto" w:fill="F2F2F2"/>
        <w:spacing w:before="0" w:after="0" w:line="240" w:lineRule="auto"/>
        <w:ind w:left="764" w:firstLine="0"/>
        <w:jc w:val="left"/>
      </w:pPr>
      <w:r>
        <w:rPr>
          <w:rFonts w:ascii="Consolas" w:hAnsi="Consolas" w:cs="Consolas"/>
          <w:sz w:val="17"/>
          <w:szCs w:val="17"/>
        </w:rPr>
        <w:t xml:space="preserve">SUM ( RES82_20260825[Qtd Líquida] ),</w:t>
      </w:r>
    </w:p>
    <w:p>
      <w:pPr>
        <w:keepNext/>
        <w:shd w:val="clear" w:color="auto" w:fill="F2F2F2"/>
        <w:spacing w:before="0" w:after="0" w:line="240" w:lineRule="auto"/>
        <w:ind w:left="764" w:firstLine="0"/>
        <w:jc w:val="left"/>
      </w:pPr>
      <w:r>
        <w:rPr>
          <w:rFonts w:ascii="Consolas" w:hAnsi="Consolas" w:cs="Consolas"/>
          <w:sz w:val="17"/>
          <w:szCs w:val="17"/>
        </w:rPr>
        <w:t xml:space="preserve">REMOVEFILTERS ( dCalendario ),</w:t>
      </w:r>
    </w:p>
    <w:p>
      <w:pPr>
        <w:keepNext/>
        <w:shd w:val="clear" w:color="auto" w:fill="F2F2F2"/>
        <w:spacing w:before="0" w:after="0" w:line="240" w:lineRule="auto"/>
        <w:ind w:left="764" w:firstLine="0"/>
        <w:jc w:val="left"/>
      </w:pPr>
      <w:r>
        <w:rPr>
          <w:rFonts w:ascii="Consolas" w:hAnsi="Consolas" w:cs="Consolas"/>
          <w:sz w:val="17"/>
          <w:szCs w:val="17"/>
        </w:rPr>
        <w:t xml:space="preserve">RES82_20260825[Entrada] &gt; EDATE ( ref, -12 ),</w:t>
      </w:r>
    </w:p>
    <w:p>
      <w:pPr>
        <w:keepNext/>
        <w:shd w:val="clear" w:color="auto" w:fill="F2F2F2"/>
        <w:spacing w:before="0" w:after="0" w:line="240" w:lineRule="auto"/>
        <w:ind w:left="764" w:firstLine="0"/>
        <w:jc w:val="left"/>
      </w:pPr>
      <w:r>
        <w:rPr>
          <w:rFonts w:ascii="Consolas" w:hAnsi="Consolas" w:cs="Consolas"/>
          <w:sz w:val="17"/>
          <w:szCs w:val="17"/>
        </w:rPr>
        <w:t xml:space="preserve">RES82_20260825[Entrada] &lt;= ref</w:t>
      </w:r>
    </w:p>
    <w:p>
      <w:pPr>
        <w:keepNext/>
        <w:shd w:val="clear" w:color="auto" w:fill="F2F2F2"/>
        <w:spacing w:before="0" w:after="0" w:line="240" w:lineRule="auto"/>
        <w:ind w:left="524" w:firstLine="0"/>
        <w:jc w:val="left"/>
      </w:pPr>
      <w:r>
        <w:rPr>
          <w:rFonts w:ascii="Consolas" w:hAnsi="Consolas" w:cs="Consolas"/>
          <w:sz w:val="17"/>
          <w:szCs w:val="17"/>
        </w:rPr>
        <w:t xml:space="preserve">)</w:t>
      </w:r>
    </w:p>
    <w:p>
      <w:pPr>
        <w:keepNext/>
        <w:shd w:val="clear" w:color="auto" w:fill="F2F2F2"/>
        <w:spacing w:before="0" w:after="0" w:line="240" w:lineRule="auto"/>
        <w:ind w:left="284" w:firstLine="0"/>
        <w:jc w:val="left"/>
      </w:pPr>
      <w:r>
        <w:rPr>
          <w:rFonts w:ascii="Consolas" w:hAnsi="Consolas" w:cs="Consolas"/>
          <w:sz w:val="17"/>
          <w:szCs w:val="17"/>
        </w:rPr>
        <w:t xml:space="preserve">RETURN MAX ( 0, COALESCE ( [Saldo Qtd (RES47)], 0 ) - COALESCE ( movLiquido, 0 )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Estoque Médio Material (Qtd) =</w:t>
      </w:r>
    </w:p>
    <w:p>
      <w:pPr>
        <w:keepNext/>
        <w:shd w:val="clear" w:color="auto" w:fill="F2F2F2"/>
        <w:spacing w:before="0" w:after="0" w:line="240" w:lineRule="auto"/>
        <w:ind w:left="284" w:firstLine="0"/>
        <w:jc w:val="left"/>
      </w:pPr>
      <w:r>
        <w:rPr>
          <w:rFonts w:ascii="Consolas" w:hAnsi="Consolas" w:cs="Consolas"/>
          <w:sz w:val="17"/>
          <w:szCs w:val="17"/>
        </w:rPr>
        <w:t xml:space="preserve">( [Estoque Inicial 12m (Qtd)] + COALESCE ( [Saldo Qtd (RES47)], 0 ) ) / 2</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Giro Material 12m =</w:t>
      </w:r>
    </w:p>
    <w:p>
      <w:pPr>
        <w:keepNext/>
        <w:shd w:val="clear" w:color="auto" w:fill="F2F2F2"/>
        <w:spacing w:before="0" w:after="0" w:line="240" w:lineRule="auto"/>
        <w:ind w:left="284" w:firstLine="0"/>
        <w:jc w:val="left"/>
      </w:pPr>
      <w:r>
        <w:rPr>
          <w:rFonts w:ascii="Consolas" w:hAnsi="Consolas" w:cs="Consolas"/>
          <w:sz w:val="17"/>
          <w:szCs w:val="17"/>
        </w:rPr>
        <w:t xml:space="preserve">DIVIDE ( [Consumo 12m (Qtd)], [Estoque Médio Material (Qtd)]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Permanência Material (dias) =</w:t>
      </w:r>
    </w:p>
    <w:p>
      <w:pPr>
        <w:keepNext/>
        <w:shd w:val="clear" w:color="auto" w:fill="F2F2F2"/>
        <w:spacing w:before="0" w:after="0" w:line="240" w:lineRule="auto"/>
        <w:ind w:left="284" w:firstLine="0"/>
        <w:jc w:val="left"/>
      </w:pPr>
      <w:r>
        <w:rPr>
          <w:rFonts w:ascii="Consolas" w:hAnsi="Consolas" w:cs="Consolas"/>
          <w:sz w:val="17"/>
          <w:szCs w:val="17"/>
        </w:rPr>
        <w:t xml:space="preserve">DIVIDE ( 365, [Giro Material 12m]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Tempo Médio de Permanência (dias) =</w:t>
      </w:r>
    </w:p>
    <w:p>
      <w:pPr>
        <w:keepNext/>
        <w:shd w:val="clear" w:color="auto" w:fill="F2F2F2"/>
        <w:spacing w:before="0" w:after="0" w:line="240" w:lineRule="auto"/>
        <w:ind w:left="284" w:firstLine="0"/>
        <w:jc w:val="left"/>
      </w:pPr>
      <w:r>
        <w:rPr>
          <w:rFonts w:ascii="Consolas" w:hAnsi="Consolas" w:cs="Consolas"/>
          <w:sz w:val="17"/>
          <w:szCs w:val="17"/>
        </w:rPr>
        <w:t xml:space="preserve">DIVIDE ( 365, [Giro de Estoque]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Classe Rotatividade =</w:t>
      </w:r>
    </w:p>
    <w:p>
      <w:pPr>
        <w:keepNext/>
        <w:shd w:val="clear" w:color="auto" w:fill="F2F2F2"/>
        <w:spacing w:before="0" w:after="0" w:line="240" w:lineRule="auto"/>
        <w:ind w:left="284" w:firstLine="0"/>
        <w:jc w:val="left"/>
      </w:pPr>
      <w:r>
        <w:rPr>
          <w:rFonts w:ascii="Consolas" w:hAnsi="Consolas" w:cs="Consolas"/>
          <w:sz w:val="17"/>
          <w:szCs w:val="17"/>
        </w:rPr>
        <w:t xml:space="preserve">VAR c = COALESCE ( [Consumo 12m (Qtd)], 0 )</w:t>
      </w:r>
    </w:p>
    <w:p>
      <w:pPr>
        <w:keepNext/>
        <w:shd w:val="clear" w:color="auto" w:fill="F2F2F2"/>
        <w:spacing w:before="0" w:after="0" w:line="240" w:lineRule="auto"/>
        <w:ind w:left="284" w:firstLine="0"/>
        <w:jc w:val="left"/>
      </w:pPr>
      <w:r>
        <w:rPr>
          <w:rFonts w:ascii="Consolas" w:hAnsi="Consolas" w:cs="Consolas"/>
          <w:sz w:val="17"/>
          <w:szCs w:val="17"/>
        </w:rPr>
        <w:t xml:space="preserve">VAR s = COALESCE ( [Saldo Qtd (RES47)], 0 )</w:t>
      </w:r>
    </w:p>
    <w:p>
      <w:pPr>
        <w:keepNext/>
        <w:shd w:val="clear" w:color="auto" w:fill="F2F2F2"/>
        <w:spacing w:before="0" w:after="0" w:line="240" w:lineRule="auto"/>
        <w:ind w:left="284" w:firstLine="0"/>
        <w:jc w:val="left"/>
      </w:pPr>
      <w:r>
        <w:rPr>
          <w:rFonts w:ascii="Consolas" w:hAnsi="Consolas" w:cs="Consolas"/>
          <w:sz w:val="17"/>
          <w:szCs w:val="17"/>
        </w:rPr>
        <w:t xml:space="preserve">VAR g = [Giro Material 12m]</w:t>
      </w:r>
    </w:p>
    <w:p>
      <w:pPr>
        <w:keepNext/>
        <w:shd w:val="clear" w:color="auto" w:fill="F2F2F2"/>
        <w:spacing w:before="0" w:after="0" w:line="240" w:lineRule="auto"/>
        <w:ind w:left="284" w:firstLine="0"/>
        <w:jc w:val="left"/>
      </w:pPr>
      <w:r>
        <w:rPr>
          <w:rFonts w:ascii="Consolas" w:hAnsi="Consolas" w:cs="Consolas"/>
          <w:sz w:val="17"/>
          <w:szCs w:val="17"/>
        </w:rPr>
        <w:t xml:space="preserve">RETURN</w:t>
      </w:r>
    </w:p>
    <w:p>
      <w:pPr>
        <w:keepNext/>
        <w:shd w:val="clear" w:color="auto" w:fill="F2F2F2"/>
        <w:spacing w:before="0" w:after="0" w:line="240" w:lineRule="auto"/>
        <w:ind w:left="524" w:firstLine="0"/>
        <w:jc w:val="left"/>
      </w:pPr>
      <w:r>
        <w:rPr>
          <w:rFonts w:ascii="Consolas" w:hAnsi="Consolas" w:cs="Consolas"/>
          <w:sz w:val="17"/>
          <w:szCs w:val="17"/>
        </w:rPr>
        <w:t xml:space="preserve">SWITCH (</w:t>
      </w:r>
    </w:p>
    <w:p>
      <w:pPr>
        <w:keepNext/>
        <w:shd w:val="clear" w:color="auto" w:fill="F2F2F2"/>
        <w:spacing w:before="0" w:after="0" w:line="240" w:lineRule="auto"/>
        <w:ind w:left="764" w:firstLine="0"/>
        <w:jc w:val="left"/>
      </w:pPr>
      <w:r>
        <w:rPr>
          <w:rFonts w:ascii="Consolas" w:hAnsi="Consolas" w:cs="Consolas"/>
          <w:sz w:val="17"/>
          <w:szCs w:val="17"/>
        </w:rPr>
        <w:t xml:space="preserve">TRUE (),</w:t>
      </w:r>
    </w:p>
    <w:p>
      <w:pPr>
        <w:keepNext/>
        <w:shd w:val="clear" w:color="auto" w:fill="F2F2F2"/>
        <w:spacing w:before="0" w:after="0" w:line="240" w:lineRule="auto"/>
        <w:ind w:left="764" w:firstLine="0"/>
        <w:jc w:val="left"/>
      </w:pPr>
      <w:r>
        <w:rPr>
          <w:rFonts w:ascii="Consolas" w:hAnsi="Consolas" w:cs="Consolas"/>
          <w:sz w:val="17"/>
          <w:szCs w:val="17"/>
        </w:rPr>
        <w:t xml:space="preserve">c &gt; 0 &amp;&amp; ( ISBLANK ( g ) || g &gt;= 4 ), "Alta (giro ≥ 4)",</w:t>
      </w:r>
    </w:p>
    <w:p>
      <w:pPr>
        <w:keepNext/>
        <w:shd w:val="clear" w:color="auto" w:fill="F2F2F2"/>
        <w:spacing w:before="0" w:after="0" w:line="240" w:lineRule="auto"/>
        <w:ind w:left="764" w:firstLine="0"/>
        <w:jc w:val="left"/>
      </w:pPr>
      <w:r>
        <w:rPr>
          <w:rFonts w:ascii="Consolas" w:hAnsi="Consolas" w:cs="Consolas"/>
          <w:sz w:val="17"/>
          <w:szCs w:val="17"/>
        </w:rPr>
        <w:t xml:space="preserve">c &gt; 0 &amp;&amp; g &gt;= 1, "Média (giro de 1 a 4)",</w:t>
      </w:r>
    </w:p>
    <w:p>
      <w:pPr>
        <w:keepNext/>
        <w:shd w:val="clear" w:color="auto" w:fill="F2F2F2"/>
        <w:spacing w:before="0" w:after="0" w:line="240" w:lineRule="auto"/>
        <w:ind w:left="764" w:firstLine="0"/>
        <w:jc w:val="left"/>
      </w:pPr>
      <w:r>
        <w:rPr>
          <w:rFonts w:ascii="Consolas" w:hAnsi="Consolas" w:cs="Consolas"/>
          <w:sz w:val="17"/>
          <w:szCs w:val="17"/>
        </w:rPr>
        <w:t xml:space="preserve">c &gt; 0, "Baixa (giro &lt; 1)",</w:t>
      </w:r>
    </w:p>
    <w:p>
      <w:pPr>
        <w:keepNext/>
        <w:shd w:val="clear" w:color="auto" w:fill="F2F2F2"/>
        <w:spacing w:before="0" w:after="0" w:line="240" w:lineRule="auto"/>
        <w:ind w:left="764" w:firstLine="0"/>
        <w:jc w:val="left"/>
      </w:pPr>
      <w:r>
        <w:rPr>
          <w:rFonts w:ascii="Consolas" w:hAnsi="Consolas" w:cs="Consolas"/>
          <w:sz w:val="17"/>
          <w:szCs w:val="17"/>
        </w:rPr>
        <w:t xml:space="preserve">s &gt; 0, "Sem giro (sem consumo)",</w:t>
      </w:r>
    </w:p>
    <w:p>
      <w:pPr>
        <w:keepNext/>
        <w:shd w:val="clear" w:color="auto" w:fill="F2F2F2"/>
        <w:spacing w:before="0" w:after="0" w:line="240" w:lineRule="auto"/>
        <w:ind w:left="764" w:firstLine="0"/>
        <w:jc w:val="left"/>
      </w:pPr>
      <w:r>
        <w:rPr>
          <w:rFonts w:ascii="Consolas" w:hAnsi="Consolas" w:cs="Consolas"/>
          <w:sz w:val="17"/>
          <w:szCs w:val="17"/>
        </w:rPr>
        <w:t xml:space="preserve">BLANK ()</w:t>
      </w:r>
    </w:p>
    <w:p>
      <w:pPr>
        <w:keepNext/>
        <w:shd w:val="clear" w:color="auto" w:fill="F2F2F2"/>
        <w:spacing w:before="0" w:after="0" w:line="240" w:lineRule="auto"/>
        <w:ind w:left="524" w:firstLine="0"/>
        <w:jc w:val="left"/>
      </w:pPr>
      <w:r>
        <w:rPr>
          <w:rFonts w:ascii="Consolas" w:hAnsi="Consolas" w:cs="Consolas"/>
          <w:sz w:val="17"/>
          <w:szCs w:val="17"/>
        </w:rPr>
        <w:t xml:space="preserve">)</w:t>
      </w:r>
    </w:p>
    <w:p>
      <w:pPr>
        <w:spacing w:before="0" w:after="60"/>
      </w:pPr>
    </w:p>
    <w:p>
      <w:pPr>
        <w:pStyle w:val="Caption"/>
        <w:keepNext/>
      </w:pPr>
      <w:r>
        <w:t xml:space="preserve">Tabela </w:t>
      </w:r>
      <w:r>
        <w:fldChar w:fldCharType="begin"/>
      </w:r>
      <w:r>
        <w:instrText xml:space="preserve"> SEQ Tabela \* ARABIC </w:instrText>
      </w:r>
      <w:r>
        <w:fldChar w:fldCharType="separate"/>
      </w:r>
      <w:r>
        <w:rPr>
          <w:noProof/>
        </w:rPr>
        <w:t>8</w:t>
      </w:r>
      <w:r>
        <w:fldChar w:fldCharType="end"/>
      </w:r>
      <w:r>
        <w:t xml:space="preserve"> – Cards da página Giro e Rotatividade</w:t>
      </w:r>
    </w:p>
    <w:tbl>
      <w:tblPr>
        <w:tblW w:w="9288" w:type="dxa"/>
        <w:tblLayout w:type="fixed"/>
        <w:tblLook w:val="04A0" w:firstRow="1" w:lastRow="0" w:firstColumn="1" w:lastColumn="0" w:noHBand="0" w:noVBand="1"/>
      </w:tblPr>
      <w:tblGrid>
        <w:gridCol w:w="2322"/>
        <w:gridCol w:w="2875"/>
        <w:gridCol w:w="2875"/>
        <w:gridCol w:w="1216"/>
      </w:tblGrid>
      <w:tr>
        <w:trPr>
          <w:tblHeader/>
          <w:cantSplit/>
        </w:trPr>
        <w:tc>
          <w:tcPr>
            <w:tcW w:w="2322"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Card</w:t>
            </w:r>
          </w:p>
        </w:tc>
        <w:tc>
          <w:tcPr>
            <w:tcW w:w="2875"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O que mostra</w:t>
            </w:r>
          </w:p>
        </w:tc>
        <w:tc>
          <w:tcPr>
            <w:tcW w:w="2875"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Cálculo</w:t>
            </w:r>
          </w:p>
        </w:tc>
        <w:tc>
          <w:tcPr>
            <w:tcW w:w="1216"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Valor</w:t>
            </w:r>
          </w:p>
        </w:tc>
      </w:tr>
      <w:tr>
        <w:trPr>
          <w:cantSplit/>
        </w:trPr>
        <w:tc>
          <w:tcPr>
            <w:tcW w:w="232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Giro 12 meses (vezes)</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Giro do estoque total</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Consumo 12m (R$) ÷ Estoque médio 12m (R$)</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0,18</w:t>
            </w:r>
          </w:p>
        </w:tc>
      </w:tr>
      <w:tr>
        <w:trPr>
          <w:cantSplit/>
        </w:trPr>
        <w:tc>
          <w:tcPr>
            <w:tcW w:w="232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Tempo Médio de Permanência (dias)</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Quantos dias, em média, o material fica no estoque</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365 ÷ giro</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2.000 dias</w:t>
            </w:r>
          </w:p>
        </w:tc>
      </w:tr>
      <w:tr>
        <w:trPr>
          <w:cantSplit/>
        </w:trPr>
        <w:tc>
          <w:tcPr>
            <w:tcW w:w="232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Alta Rotatividade (giro ≥ 4)</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renovados pelo menos a cada 3 meses</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com Classe Rotatividade = Alta</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198</w:t>
            </w:r>
          </w:p>
        </w:tc>
      </w:tr>
      <w:tr>
        <w:trPr>
          <w:cantSplit/>
        </w:trPr>
        <w:tc>
          <w:tcPr>
            <w:tcW w:w="232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Média Rotatividade (1 a 4)</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renovados entre 1 e 4 vezes por ano</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com Classe Rotatividade = Média</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544</w:t>
            </w:r>
          </w:p>
        </w:tc>
      </w:tr>
      <w:tr>
        <w:trPr>
          <w:cantSplit/>
        </w:trPr>
        <w:tc>
          <w:tcPr>
            <w:tcW w:w="232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Baixa Rotatividade (&lt; 1)</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que levam mais de um ano para girar</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com Classe Rotatividade = Baixa</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1.677</w:t>
            </w:r>
          </w:p>
        </w:tc>
      </w:tr>
      <w:tr>
        <w:trPr>
          <w:cantSplit/>
        </w:trPr>
        <w:tc>
          <w:tcPr>
            <w:tcW w:w="2322"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Sem Giro (sem consumo 12m)</w:t>
            </w:r>
          </w:p>
        </w:tc>
        <w:tc>
          <w:tcPr>
            <w:tcW w:w="2875"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com saldo e nenhum consumo no ano</w:t>
            </w:r>
          </w:p>
        </w:tc>
        <w:tc>
          <w:tcPr>
            <w:tcW w:w="2875"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com Classe Rotatividade = Sem giro</w:t>
            </w:r>
          </w:p>
        </w:tc>
        <w:tc>
          <w:tcPr>
            <w:tcW w:w="1216"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7.628</w:t>
            </w:r>
          </w:p>
        </w:tc>
      </w:tr>
    </w:tbl>
    <w:p>
      <w:pPr>
        <w:spacing w:before="60"/>
        <w:ind w:firstLine="0"/>
      </w:pPr>
      <w:r>
        <w:rPr>
          <w:sz w:val="18"/>
          <w:szCs w:val="18"/>
        </w:rPr>
        <w:t xml:space="preserve">Fonte: elaborado pelos autores (2026).</w:t>
      </w:r>
    </w:p>
    <w:p>
      <w:pPr>
        <w:ind w:left="567" w:hanging="283" w:firstLine="0"/>
      </w:pPr>
      <w:r>
        <w:t xml:space="preserve">• </w:t>
      </w:r>
      <w:r>
        <w:rPr>
          <w:b/>
        </w:rPr>
        <w:t xml:space="preserve">Materiais por Classe de Rotatividade:</w:t>
      </w:r>
      <w:r>
        <w:t xml:space="preserve"> barras coloridas com a quantidade de materiais em cada classe (verde para alta, azul para média, laranja para baixa e vermelho para sem giro);</w:t>
      </w:r>
    </w:p>
    <w:p>
      <w:pPr>
        <w:ind w:left="567" w:hanging="283" w:firstLine="0"/>
      </w:pPr>
      <w:r>
        <w:t xml:space="preserve">• </w:t>
      </w:r>
      <w:r>
        <w:rPr>
          <w:b/>
        </w:rPr>
        <w:t xml:space="preserve">Sazonalidade – Consumo Médio por Mês:</w:t>
      </w:r>
      <w:r>
        <w:t xml:space="preserve"> média do consumo efetivo de cada mês do ano entre 2021 e 2025 (2026 ficou de fora por estar incompleto). O mês de maior consumo é agosto (≈ R$ 7,7 mi, índice 1,32, ou seja, 32% acima da média), e os de menor consumo são dezembro (índice 0,75), novembro (0,80) e janeiro (0,82). O índice aparece ao passar o mouse sobre a coluna;</w:t>
      </w:r>
    </w:p>
    <w:p>
      <w:pPr>
        <w:ind w:left="567" w:hanging="283" w:firstLine="0"/>
      </w:pPr>
      <w:r>
        <w:t xml:space="preserve">• </w:t>
      </w:r>
      <w:r>
        <w:rPr>
          <w:b/>
        </w:rPr>
        <w:t xml:space="preserve">Curva ABC × Criticidade:</w:t>
      </w:r>
      <w:r>
        <w:t xml:space="preserve"> matriz com a quantidade de materiais e o valor em estoque por classe ABC (linhas) e tipo de consumo (colunas). Ela mostra que dos 898 materiais críticos com saldo (Essenciais e Estratégicos), apenas 50 são classe A, o que confirma a orientação da CPTM de não confundir relevância financeira com criticidade;</w:t>
      </w:r>
    </w:p>
    <w:p>
      <w:pPr>
        <w:ind w:left="567" w:hanging="283" w:firstLine="0"/>
      </w:pPr>
      <w:r>
        <w:t xml:space="preserve">• </w:t>
      </w:r>
      <w:r>
        <w:rPr>
          <w:b/>
        </w:rPr>
        <w:t xml:space="preserve">Giro por Material:</w:t>
      </w:r>
      <w:r>
        <w:t xml:space="preserve"> tabela com consumo de 12 meses, estoque médio, giro, tempo de permanência e classe de rotatividade (colorida) de cada material, ordenada pelo maior consumo.</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Consumo Médio por Mês do Ano (R$) =</w:t>
      </w:r>
    </w:p>
    <w:p>
      <w:pPr>
        <w:keepNext/>
        <w:shd w:val="clear" w:color="auto" w:fill="F2F2F2"/>
        <w:spacing w:before="0" w:after="0" w:line="240" w:lineRule="auto"/>
        <w:ind w:left="284" w:firstLine="0"/>
        <w:jc w:val="left"/>
      </w:pPr>
      <w:r>
        <w:rPr>
          <w:rFonts w:ascii="Consolas" w:hAnsi="Consolas" w:cs="Consolas"/>
          <w:sz w:val="17"/>
          <w:szCs w:val="17"/>
        </w:rPr>
        <w:t xml:space="preserve">CALCULATE (</w:t>
      </w:r>
    </w:p>
    <w:p>
      <w:pPr>
        <w:keepNext/>
        <w:shd w:val="clear" w:color="auto" w:fill="F2F2F2"/>
        <w:spacing w:before="0" w:after="0" w:line="240" w:lineRule="auto"/>
        <w:ind w:left="524" w:firstLine="0"/>
        <w:jc w:val="left"/>
      </w:pPr>
      <w:r>
        <w:rPr>
          <w:rFonts w:ascii="Consolas" w:hAnsi="Consolas" w:cs="Consolas"/>
          <w:sz w:val="17"/>
          <w:szCs w:val="17"/>
        </w:rPr>
        <w:t xml:space="preserve">AVERAGEX ( VALUES ( dCalendario[Ano] ), [Consumo Efetivo (R$)] ),</w:t>
      </w:r>
    </w:p>
    <w:p>
      <w:pPr>
        <w:keepNext/>
        <w:shd w:val="clear" w:color="auto" w:fill="F2F2F2"/>
        <w:spacing w:before="0" w:after="0" w:line="240" w:lineRule="auto"/>
        <w:ind w:left="524" w:firstLine="0"/>
        <w:jc w:val="left"/>
      </w:pPr>
      <w:r>
        <w:rPr>
          <w:rFonts w:ascii="Consolas" w:hAnsi="Consolas" w:cs="Consolas"/>
          <w:sz w:val="17"/>
          <w:szCs w:val="17"/>
        </w:rPr>
        <w:t xml:space="preserve">dCalendario[Ano] &gt;= 2021,</w:t>
      </w:r>
    </w:p>
    <w:p>
      <w:pPr>
        <w:keepNext/>
        <w:shd w:val="clear" w:color="auto" w:fill="F2F2F2"/>
        <w:spacing w:before="0" w:after="0" w:line="240" w:lineRule="auto"/>
        <w:ind w:left="524" w:firstLine="0"/>
        <w:jc w:val="left"/>
      </w:pPr>
      <w:r>
        <w:rPr>
          <w:rFonts w:ascii="Consolas" w:hAnsi="Consolas" w:cs="Consolas"/>
          <w:sz w:val="17"/>
          <w:szCs w:val="17"/>
        </w:rPr>
        <w:t xml:space="preserve">dCalendario[Ano] &lt;= 2025</w:t>
      </w:r>
    </w:p>
    <w:p>
      <w:pPr>
        <w:keepNext/>
        <w:shd w:val="clear" w:color="auto" w:fill="F2F2F2"/>
        <w:spacing w:before="0" w:after="0" w:line="240" w:lineRule="auto"/>
        <w:ind w:left="284" w:firstLine="0"/>
        <w:jc w:val="left"/>
      </w:pPr>
      <w:r>
        <w:rPr>
          <w:rFonts w:ascii="Consolas" w:hAnsi="Consolas" w:cs="Consolas"/>
          <w:sz w:val="17"/>
          <w:szCs w:val="17"/>
        </w:rPr>
        <w:t xml:space="preserve">)</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Índice de Sazonalidade =</w:t>
      </w:r>
    </w:p>
    <w:p>
      <w:pPr>
        <w:keepNext/>
        <w:shd w:val="clear" w:color="auto" w:fill="F2F2F2"/>
        <w:spacing w:before="0" w:after="0" w:line="240" w:lineRule="auto"/>
        <w:ind w:left="284" w:firstLine="0"/>
        <w:jc w:val="left"/>
      </w:pPr>
      <w:r>
        <w:rPr>
          <w:rFonts w:ascii="Consolas" w:hAnsi="Consolas" w:cs="Consolas"/>
          <w:sz w:val="17"/>
          <w:szCs w:val="17"/>
        </w:rPr>
        <w:t xml:space="preserve">VAR mes = [Consumo Médio por Mês do Ano (R$)]</w:t>
      </w:r>
    </w:p>
    <w:p>
      <w:pPr>
        <w:keepNext/>
        <w:shd w:val="clear" w:color="auto" w:fill="F2F2F2"/>
        <w:spacing w:before="0" w:after="0" w:line="240" w:lineRule="auto"/>
        <w:ind w:left="284" w:firstLine="0"/>
        <w:jc w:val="left"/>
      </w:pPr>
      <w:r>
        <w:rPr>
          <w:rFonts w:ascii="Consolas" w:hAnsi="Consolas" w:cs="Consolas"/>
          <w:sz w:val="17"/>
          <w:szCs w:val="17"/>
        </w:rPr>
        <w:t xml:space="preserve">VAR media = CALCULATE ( AVERAGEX ( VALUES ( dCalendario[Mês Num] ), [Consumo Médio por Mês do Ano (R$)] ), REMOVEFILTERS ( dCalendario[Mês do Ano], dCalendario[Mês Num] ) )</w:t>
      </w:r>
    </w:p>
    <w:p>
      <w:pPr>
        <w:keepNext/>
        <w:shd w:val="clear" w:color="auto" w:fill="F2F2F2"/>
        <w:spacing w:before="0" w:after="0" w:line="240" w:lineRule="auto"/>
        <w:ind w:left="284" w:firstLine="0"/>
        <w:jc w:val="left"/>
      </w:pPr>
      <w:r>
        <w:rPr>
          <w:rFonts w:ascii="Consolas" w:hAnsi="Consolas" w:cs="Consolas"/>
          <w:sz w:val="17"/>
          <w:szCs w:val="17"/>
        </w:rPr>
        <w:t xml:space="preserve">RETURN DIVIDE ( mes, media )</w:t>
      </w:r>
    </w:p>
    <w:p>
      <w:pPr>
        <w:spacing w:before="0" w:after="60"/>
      </w:pPr>
    </w:p>
    <w:p>
      <w:pPr>
        <w:pStyle w:val="Heading2"/>
      </w:pPr>
      <w:r>
        <w:t xml:space="preserve">Página 4 – Consumo e Aderência</w:t>
      </w:r>
    </w:p>
    <w:p>
      <w:r>
        <w:t xml:space="preserve">Esta página atende ao pedido de análise do histórico de entradas, saídas e consumo, da evolução do estoque e da comparação entre a PCA e o consumo realizado (Figura 4).</w:t>
      </w:r>
    </w:p>
    <w:p>
      <w:pPr>
        <w:pBdr>
          <w:top w:val="single" w:sz="6" w:space="8" w:color="A6A6A6"/>
          <w:left w:val="single" w:sz="6" w:space="8" w:color="A6A6A6"/>
          <w:bottom w:val="single" w:sz="6" w:space="8" w:color="A6A6A6"/>
          <w:right w:val="single" w:sz="6" w:space="8" w:color="A6A6A6"/>
        </w:pBdr>
        <w:spacing w:before="240" w:after="240"/>
        <w:ind w:firstLine="0"/>
        <w:jc w:val="center"/>
      </w:pPr>
      <w:r>
        <w:rPr>
          <w:i/>
          <w:color w:val="808080"/>
        </w:rPr>
        <w:t xml:space="preserve">[Inserir aqui o print da página: Consumo e Aderência]</w:t>
      </w:r>
    </w:p>
    <w:p>
      <w:pPr>
        <w:pStyle w:val="Caption"/>
        <w:keepNext/>
      </w:pPr>
      <w:r>
        <w:t xml:space="preserve">Figura </w:t>
      </w:r>
      <w:r>
        <w:fldChar w:fldCharType="begin"/>
      </w:r>
      <w:r>
        <w:instrText xml:space="preserve"> SEQ Figura \* ARABIC </w:instrText>
      </w:r>
      <w:r>
        <w:fldChar w:fldCharType="separate"/>
      </w:r>
      <w:r>
        <w:rPr>
          <w:noProof/>
        </w:rPr>
        <w:t>4</w:t>
      </w:r>
      <w:r>
        <w:fldChar w:fldCharType="end"/>
      </w:r>
      <w:r>
        <w:t xml:space="preserve"> – Página Consumo e Aderência</w:t>
      </w:r>
    </w:p>
    <w:p>
      <w:pPr>
        <w:ind w:firstLine="0"/>
        <w:jc w:val="center"/>
      </w:pPr>
      <w:r>
        <w:rPr>
          <w:sz w:val="18"/>
          <w:szCs w:val="18"/>
        </w:rPr>
        <w:t xml:space="preserve">Fonte: elaborado pelos autores no Power BI (2026).</w:t>
      </w:r>
    </w:p>
    <w:p>
      <w:r>
        <w:t xml:space="preserve">A PCA anual segue a regra explicada pela CPTM: o valor da coluna K da RES43 (PCA mensal, ou "fatia") multiplicado por 12. A aderência é o consumo efetivo dos últimos 12 meses dividido pela PCA anual, e o material é classificado como aderente quando o consumo fica entre 80% e 120% do previsto.</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PCA Anual (RES43) =</w:t>
      </w:r>
    </w:p>
    <w:p>
      <w:pPr>
        <w:keepNext/>
        <w:shd w:val="clear" w:color="auto" w:fill="F2F2F2"/>
        <w:spacing w:before="0" w:after="0" w:line="240" w:lineRule="auto"/>
        <w:ind w:left="284" w:firstLine="0"/>
        <w:jc w:val="left"/>
      </w:pPr>
      <w:r>
        <w:rPr>
          <w:rFonts w:ascii="Consolas" w:hAnsi="Consolas" w:cs="Consolas"/>
          <w:sz w:val="17"/>
          <w:szCs w:val="17"/>
        </w:rPr>
        <w:t xml:space="preserve">[PCA Mensal] * 12</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Aderência PCA (%) =</w:t>
      </w:r>
    </w:p>
    <w:p>
      <w:pPr>
        <w:keepNext/>
        <w:shd w:val="clear" w:color="auto" w:fill="F2F2F2"/>
        <w:spacing w:before="0" w:after="0" w:line="240" w:lineRule="auto"/>
        <w:ind w:left="284" w:firstLine="0"/>
        <w:jc w:val="left"/>
      </w:pPr>
      <w:r>
        <w:rPr>
          <w:rFonts w:ascii="Consolas" w:hAnsi="Consolas" w:cs="Consolas"/>
          <w:sz w:val="17"/>
          <w:szCs w:val="17"/>
        </w:rPr>
        <w:t xml:space="preserve">DIVIDE ( [Consumo 12m (Qtd)], [PCA Anual (RES43)]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Classe Aderência =</w:t>
      </w:r>
    </w:p>
    <w:p>
      <w:pPr>
        <w:keepNext/>
        <w:shd w:val="clear" w:color="auto" w:fill="F2F2F2"/>
        <w:spacing w:before="0" w:after="0" w:line="240" w:lineRule="auto"/>
        <w:ind w:left="284" w:firstLine="0"/>
        <w:jc w:val="left"/>
      </w:pPr>
      <w:r>
        <w:rPr>
          <w:rFonts w:ascii="Consolas" w:hAnsi="Consolas" w:cs="Consolas"/>
          <w:sz w:val="17"/>
          <w:szCs w:val="17"/>
        </w:rPr>
        <w:t xml:space="preserve">VAR p = [PCA Anual (RES43)]</w:t>
      </w:r>
    </w:p>
    <w:p>
      <w:pPr>
        <w:keepNext/>
        <w:shd w:val="clear" w:color="auto" w:fill="F2F2F2"/>
        <w:spacing w:before="0" w:after="0" w:line="240" w:lineRule="auto"/>
        <w:ind w:left="284" w:firstLine="0"/>
        <w:jc w:val="left"/>
      </w:pPr>
      <w:r>
        <w:rPr>
          <w:rFonts w:ascii="Consolas" w:hAnsi="Consolas" w:cs="Consolas"/>
          <w:sz w:val="17"/>
          <w:szCs w:val="17"/>
        </w:rPr>
        <w:t xml:space="preserve">VAR c = COALESCE ( [Consumo 12m (Qtd)], 0 )</w:t>
      </w:r>
    </w:p>
    <w:p>
      <w:pPr>
        <w:keepNext/>
        <w:shd w:val="clear" w:color="auto" w:fill="F2F2F2"/>
        <w:spacing w:before="0" w:after="0" w:line="240" w:lineRule="auto"/>
        <w:ind w:left="284" w:firstLine="0"/>
        <w:jc w:val="left"/>
      </w:pPr>
      <w:r>
        <w:rPr>
          <w:rFonts w:ascii="Consolas" w:hAnsi="Consolas" w:cs="Consolas"/>
          <w:sz w:val="17"/>
          <w:szCs w:val="17"/>
        </w:rPr>
        <w:t xml:space="preserve">RETURN</w:t>
      </w:r>
    </w:p>
    <w:p>
      <w:pPr>
        <w:keepNext/>
        <w:shd w:val="clear" w:color="auto" w:fill="F2F2F2"/>
        <w:spacing w:before="0" w:after="0" w:line="240" w:lineRule="auto"/>
        <w:ind w:left="524" w:firstLine="0"/>
        <w:jc w:val="left"/>
      </w:pPr>
      <w:r>
        <w:rPr>
          <w:rFonts w:ascii="Consolas" w:hAnsi="Consolas" w:cs="Consolas"/>
          <w:sz w:val="17"/>
          <w:szCs w:val="17"/>
        </w:rPr>
        <w:t xml:space="preserve">IF (</w:t>
      </w:r>
    </w:p>
    <w:p>
      <w:pPr>
        <w:keepNext/>
        <w:shd w:val="clear" w:color="auto" w:fill="F2F2F2"/>
        <w:spacing w:before="0" w:after="0" w:line="240" w:lineRule="auto"/>
        <w:ind w:left="764" w:firstLine="0"/>
        <w:jc w:val="left"/>
      </w:pPr>
      <w:r>
        <w:rPr>
          <w:rFonts w:ascii="Consolas" w:hAnsi="Consolas" w:cs="Consolas"/>
          <w:sz w:val="17"/>
          <w:szCs w:val="17"/>
        </w:rPr>
        <w:t xml:space="preserve">NOT ISBLANK ( p ),</w:t>
      </w:r>
    </w:p>
    <w:p>
      <w:pPr>
        <w:keepNext/>
        <w:shd w:val="clear" w:color="auto" w:fill="F2F2F2"/>
        <w:spacing w:before="0" w:after="0" w:line="240" w:lineRule="auto"/>
        <w:ind w:left="764" w:firstLine="0"/>
        <w:jc w:val="left"/>
      </w:pPr>
      <w:r>
        <w:rPr>
          <w:rFonts w:ascii="Consolas" w:hAnsi="Consolas" w:cs="Consolas"/>
          <w:sz w:val="17"/>
          <w:szCs w:val="17"/>
        </w:rPr>
        <w:t xml:space="preserve">SWITCH (</w:t>
      </w:r>
    </w:p>
    <w:p>
      <w:pPr>
        <w:keepNext/>
        <w:shd w:val="clear" w:color="auto" w:fill="F2F2F2"/>
        <w:spacing w:before="0" w:after="0" w:line="240" w:lineRule="auto"/>
        <w:ind w:left="1004" w:firstLine="0"/>
        <w:jc w:val="left"/>
      </w:pPr>
      <w:r>
        <w:rPr>
          <w:rFonts w:ascii="Consolas" w:hAnsi="Consolas" w:cs="Consolas"/>
          <w:sz w:val="17"/>
          <w:szCs w:val="17"/>
        </w:rPr>
        <w:t xml:space="preserve">TRUE (),</w:t>
      </w:r>
    </w:p>
    <w:p>
      <w:pPr>
        <w:keepNext/>
        <w:shd w:val="clear" w:color="auto" w:fill="F2F2F2"/>
        <w:spacing w:before="0" w:after="0" w:line="240" w:lineRule="auto"/>
        <w:ind w:left="1004" w:firstLine="0"/>
        <w:jc w:val="left"/>
      </w:pPr>
      <w:r>
        <w:rPr>
          <w:rFonts w:ascii="Consolas" w:hAnsi="Consolas" w:cs="Consolas"/>
          <w:sz w:val="17"/>
          <w:szCs w:val="17"/>
        </w:rPr>
        <w:t xml:space="preserve">p &lt;= 0 &amp;&amp; c &gt; 0, "Consumo sem PCA",</w:t>
      </w:r>
    </w:p>
    <w:p>
      <w:pPr>
        <w:keepNext/>
        <w:shd w:val="clear" w:color="auto" w:fill="F2F2F2"/>
        <w:spacing w:before="0" w:after="0" w:line="240" w:lineRule="auto"/>
        <w:ind w:left="1004" w:firstLine="0"/>
        <w:jc w:val="left"/>
      </w:pPr>
      <w:r>
        <w:rPr>
          <w:rFonts w:ascii="Consolas" w:hAnsi="Consolas" w:cs="Consolas"/>
          <w:sz w:val="17"/>
          <w:szCs w:val="17"/>
        </w:rPr>
        <w:t xml:space="preserve">p &lt;= 0, BLANK (),</w:t>
      </w:r>
    </w:p>
    <w:p>
      <w:pPr>
        <w:keepNext/>
        <w:shd w:val="clear" w:color="auto" w:fill="F2F2F2"/>
        <w:spacing w:before="0" w:after="0" w:line="240" w:lineRule="auto"/>
        <w:ind w:left="1004" w:firstLine="0"/>
        <w:jc w:val="left"/>
      </w:pPr>
      <w:r>
        <w:rPr>
          <w:rFonts w:ascii="Consolas" w:hAnsi="Consolas" w:cs="Consolas"/>
          <w:sz w:val="17"/>
          <w:szCs w:val="17"/>
        </w:rPr>
        <w:t xml:space="preserve">c = 0, "Sem consumo",</w:t>
      </w:r>
    </w:p>
    <w:p>
      <w:pPr>
        <w:keepNext/>
        <w:shd w:val="clear" w:color="auto" w:fill="F2F2F2"/>
        <w:spacing w:before="0" w:after="0" w:line="240" w:lineRule="auto"/>
        <w:ind w:left="1004" w:firstLine="0"/>
        <w:jc w:val="left"/>
      </w:pPr>
      <w:r>
        <w:rPr>
          <w:rFonts w:ascii="Consolas" w:hAnsi="Consolas" w:cs="Consolas"/>
          <w:sz w:val="17"/>
          <w:szCs w:val="17"/>
        </w:rPr>
        <w:t xml:space="preserve">c / p &lt; 0.8, "Abaixo do planejado",</w:t>
      </w:r>
    </w:p>
    <w:p>
      <w:pPr>
        <w:keepNext/>
        <w:shd w:val="clear" w:color="auto" w:fill="F2F2F2"/>
        <w:spacing w:before="0" w:after="0" w:line="240" w:lineRule="auto"/>
        <w:ind w:left="1004" w:firstLine="0"/>
        <w:jc w:val="left"/>
      </w:pPr>
      <w:r>
        <w:rPr>
          <w:rFonts w:ascii="Consolas" w:hAnsi="Consolas" w:cs="Consolas"/>
          <w:sz w:val="17"/>
          <w:szCs w:val="17"/>
        </w:rPr>
        <w:t xml:space="preserve">c / p &lt;= 1.2, "Aderente",</w:t>
      </w:r>
    </w:p>
    <w:p>
      <w:pPr>
        <w:keepNext/>
        <w:shd w:val="clear" w:color="auto" w:fill="F2F2F2"/>
        <w:spacing w:before="0" w:after="0" w:line="240" w:lineRule="auto"/>
        <w:ind w:left="1004" w:firstLine="0"/>
        <w:jc w:val="left"/>
      </w:pPr>
      <w:r>
        <w:rPr>
          <w:rFonts w:ascii="Consolas" w:hAnsi="Consolas" w:cs="Consolas"/>
          <w:sz w:val="17"/>
          <w:szCs w:val="17"/>
        </w:rPr>
        <w:t xml:space="preserve">"Acima do planejado"</w:t>
      </w:r>
    </w:p>
    <w:p>
      <w:pPr>
        <w:keepNext/>
        <w:shd w:val="clear" w:color="auto" w:fill="F2F2F2"/>
        <w:spacing w:before="0" w:after="0" w:line="240" w:lineRule="auto"/>
        <w:ind w:left="764" w:firstLine="0"/>
        <w:jc w:val="left"/>
      </w:pPr>
      <w:r>
        <w:rPr>
          <w:rFonts w:ascii="Consolas" w:hAnsi="Consolas" w:cs="Consolas"/>
          <w:sz w:val="17"/>
          <w:szCs w:val="17"/>
        </w:rPr>
        <w:t xml:space="preserve">)</w:t>
      </w:r>
    </w:p>
    <w:p>
      <w:pPr>
        <w:keepNext/>
        <w:shd w:val="clear" w:color="auto" w:fill="F2F2F2"/>
        <w:spacing w:before="0" w:after="0" w:line="240" w:lineRule="auto"/>
        <w:ind w:left="524" w:firstLine="0"/>
        <w:jc w:val="left"/>
      </w:pPr>
      <w:r>
        <w:rPr>
          <w:rFonts w:ascii="Consolas" w:hAnsi="Consolas" w:cs="Consolas"/>
          <w:sz w:val="17"/>
          <w:szCs w:val="17"/>
        </w:rPr>
        <w:t xml:space="preserve">)</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 Materiais Aderentes =</w:t>
      </w:r>
    </w:p>
    <w:p>
      <w:pPr>
        <w:keepNext/>
        <w:shd w:val="clear" w:color="auto" w:fill="F2F2F2"/>
        <w:spacing w:before="0" w:after="0" w:line="240" w:lineRule="auto"/>
        <w:ind w:left="284" w:firstLine="0"/>
        <w:jc w:val="left"/>
      </w:pPr>
      <w:r>
        <w:rPr>
          <w:rFonts w:ascii="Consolas" w:hAnsi="Consolas" w:cs="Consolas"/>
          <w:sz w:val="17"/>
          <w:szCs w:val="17"/>
        </w:rPr>
        <w:t xml:space="preserve">DIVIDE ( [Materiais Aderentes], [Materiais com PCA]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Entradas por Compra (R$) =</w:t>
      </w:r>
    </w:p>
    <w:p>
      <w:pPr>
        <w:keepNext/>
        <w:shd w:val="clear" w:color="auto" w:fill="F2F2F2"/>
        <w:spacing w:before="0" w:after="0" w:line="240" w:lineRule="auto"/>
        <w:ind w:left="284" w:firstLine="0"/>
        <w:jc w:val="left"/>
      </w:pPr>
      <w:r>
        <w:rPr>
          <w:rFonts w:ascii="Consolas" w:hAnsi="Consolas" w:cs="Consolas"/>
          <w:sz w:val="17"/>
          <w:szCs w:val="17"/>
        </w:rPr>
        <w:t xml:space="preserve">CALCULATE ( SUM ( RES82_20260825[Valor Total] ), 'Tipo de Movimentação'[Categoria] = "Entrada por compra"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Posição do Estoque (R$) =</w:t>
      </w:r>
    </w:p>
    <w:p>
      <w:pPr>
        <w:keepNext/>
        <w:shd w:val="clear" w:color="auto" w:fill="F2F2F2"/>
        <w:spacing w:before="0" w:after="0" w:line="240" w:lineRule="auto"/>
        <w:ind w:left="284" w:firstLine="0"/>
        <w:jc w:val="left"/>
      </w:pPr>
      <w:r>
        <w:rPr>
          <w:rFonts w:ascii="Consolas" w:hAnsi="Consolas" w:cs="Consolas"/>
          <w:sz w:val="17"/>
          <w:szCs w:val="17"/>
        </w:rPr>
        <w:t xml:space="preserve">VAR ref = [Data Base Estoque]</w:t>
      </w:r>
    </w:p>
    <w:p>
      <w:pPr>
        <w:keepNext/>
        <w:shd w:val="clear" w:color="auto" w:fill="F2F2F2"/>
        <w:spacing w:before="0" w:after="0" w:line="240" w:lineRule="auto"/>
        <w:ind w:left="284" w:firstLine="0"/>
        <w:jc w:val="left"/>
      </w:pPr>
      <w:r>
        <w:rPr>
          <w:rFonts w:ascii="Consolas" w:hAnsi="Consolas" w:cs="Consolas"/>
          <w:sz w:val="17"/>
          <w:szCs w:val="17"/>
        </w:rPr>
        <w:t xml:space="preserve">VAR fimMes = MAX ( dCalendario[Date] )</w:t>
      </w:r>
    </w:p>
    <w:p>
      <w:pPr>
        <w:keepNext/>
        <w:shd w:val="clear" w:color="auto" w:fill="F2F2F2"/>
        <w:spacing w:before="0" w:after="0" w:line="240" w:lineRule="auto"/>
        <w:ind w:left="284" w:firstLine="0"/>
        <w:jc w:val="left"/>
      </w:pPr>
      <w:r>
        <w:rPr>
          <w:rFonts w:ascii="Consolas" w:hAnsi="Consolas" w:cs="Consolas"/>
          <w:sz w:val="17"/>
          <w:szCs w:val="17"/>
        </w:rPr>
        <w:t xml:space="preserve">VAR iniMes = MIN ( dCalendario[Date] )</w:t>
      </w:r>
    </w:p>
    <w:p>
      <w:pPr>
        <w:keepNext/>
        <w:shd w:val="clear" w:color="auto" w:fill="F2F2F2"/>
        <w:spacing w:before="0" w:after="0" w:line="240" w:lineRule="auto"/>
        <w:ind w:left="284" w:firstLine="0"/>
        <w:jc w:val="left"/>
      </w:pPr>
      <w:r>
        <w:rPr>
          <w:rFonts w:ascii="Consolas" w:hAnsi="Consolas" w:cs="Consolas"/>
          <w:sz w:val="17"/>
          <w:szCs w:val="17"/>
        </w:rPr>
        <w:t xml:space="preserve">VAR d = MIN ( fimMes, ref )</w:t>
      </w:r>
    </w:p>
    <w:p>
      <w:pPr>
        <w:keepNext/>
        <w:shd w:val="clear" w:color="auto" w:fill="F2F2F2"/>
        <w:spacing w:before="0" w:after="0" w:line="240" w:lineRule="auto"/>
        <w:ind w:left="284" w:firstLine="0"/>
        <w:jc w:val="left"/>
      </w:pPr>
      <w:r>
        <w:rPr>
          <w:rFonts w:ascii="Consolas" w:hAnsi="Consolas" w:cs="Consolas"/>
          <w:sz w:val="17"/>
          <w:szCs w:val="17"/>
        </w:rPr>
        <w:t xml:space="preserve">RETURN</w:t>
      </w:r>
    </w:p>
    <w:p>
      <w:pPr>
        <w:keepNext/>
        <w:shd w:val="clear" w:color="auto" w:fill="F2F2F2"/>
        <w:spacing w:before="0" w:after="0" w:line="240" w:lineRule="auto"/>
        <w:ind w:left="524" w:firstLine="0"/>
        <w:jc w:val="left"/>
      </w:pPr>
      <w:r>
        <w:rPr>
          <w:rFonts w:ascii="Consolas" w:hAnsi="Consolas" w:cs="Consolas"/>
          <w:sz w:val="17"/>
          <w:szCs w:val="17"/>
        </w:rPr>
        <w:t xml:space="preserve">IF (</w:t>
      </w:r>
    </w:p>
    <w:p>
      <w:pPr>
        <w:keepNext/>
        <w:shd w:val="clear" w:color="auto" w:fill="F2F2F2"/>
        <w:spacing w:before="0" w:after="0" w:line="240" w:lineRule="auto"/>
        <w:ind w:left="764" w:firstLine="0"/>
        <w:jc w:val="left"/>
      </w:pPr>
      <w:r>
        <w:rPr>
          <w:rFonts w:ascii="Consolas" w:hAnsi="Consolas" w:cs="Consolas"/>
          <w:sz w:val="17"/>
          <w:szCs w:val="17"/>
        </w:rPr>
        <w:t xml:space="preserve">iniMes &lt;= ref &amp;&amp; fimMes &gt;= DATE ( 2021, 1, 31 ),</w:t>
      </w:r>
    </w:p>
    <w:p>
      <w:pPr>
        <w:keepNext/>
        <w:shd w:val="clear" w:color="auto" w:fill="F2F2F2"/>
        <w:spacing w:before="0" w:after="0" w:line="240" w:lineRule="auto"/>
        <w:ind w:left="764" w:firstLine="0"/>
        <w:jc w:val="left"/>
      </w:pPr>
      <w:r>
        <w:rPr>
          <w:rFonts w:ascii="Consolas" w:hAnsi="Consolas" w:cs="Consolas"/>
          <w:sz w:val="17"/>
          <w:szCs w:val="17"/>
        </w:rPr>
        <w:t xml:space="preserve">[Valor Estoque (RES47)]</w:t>
      </w:r>
    </w:p>
    <w:p>
      <w:pPr>
        <w:keepNext/>
        <w:shd w:val="clear" w:color="auto" w:fill="F2F2F2"/>
        <w:spacing w:before="0" w:after="0" w:line="240" w:lineRule="auto"/>
        <w:ind w:left="1004" w:firstLine="0"/>
        <w:jc w:val="left"/>
      </w:pPr>
      <w:r>
        <w:rPr>
          <w:rFonts w:ascii="Consolas" w:hAnsi="Consolas" w:cs="Consolas"/>
          <w:sz w:val="17"/>
          <w:szCs w:val="17"/>
        </w:rPr>
        <w:t xml:space="preserve">- CALCULATE (</w:t>
      </w:r>
    </w:p>
    <w:p>
      <w:pPr>
        <w:keepNext/>
        <w:shd w:val="clear" w:color="auto" w:fill="F2F2F2"/>
        <w:spacing w:before="0" w:after="0" w:line="240" w:lineRule="auto"/>
        <w:ind w:left="1244" w:firstLine="0"/>
        <w:jc w:val="left"/>
      </w:pPr>
      <w:r>
        <w:rPr>
          <w:rFonts w:ascii="Consolas" w:hAnsi="Consolas" w:cs="Consolas"/>
          <w:sz w:val="17"/>
          <w:szCs w:val="17"/>
        </w:rPr>
        <w:t xml:space="preserve">SUM ( RES82_20260825[Valor Líquido] ),</w:t>
      </w:r>
    </w:p>
    <w:p>
      <w:pPr>
        <w:keepNext/>
        <w:shd w:val="clear" w:color="auto" w:fill="F2F2F2"/>
        <w:spacing w:before="0" w:after="0" w:line="240" w:lineRule="auto"/>
        <w:ind w:left="1244" w:firstLine="0"/>
        <w:jc w:val="left"/>
      </w:pPr>
      <w:r>
        <w:rPr>
          <w:rFonts w:ascii="Consolas" w:hAnsi="Consolas" w:cs="Consolas"/>
          <w:sz w:val="17"/>
          <w:szCs w:val="17"/>
        </w:rPr>
        <w:t xml:space="preserve">REMOVEFILTERS ( dCalendario ),</w:t>
      </w:r>
    </w:p>
    <w:p>
      <w:pPr>
        <w:keepNext/>
        <w:shd w:val="clear" w:color="auto" w:fill="F2F2F2"/>
        <w:spacing w:before="0" w:after="0" w:line="240" w:lineRule="auto"/>
        <w:ind w:left="1244" w:firstLine="0"/>
        <w:jc w:val="left"/>
      </w:pPr>
      <w:r>
        <w:rPr>
          <w:rFonts w:ascii="Consolas" w:hAnsi="Consolas" w:cs="Consolas"/>
          <w:sz w:val="17"/>
          <w:szCs w:val="17"/>
        </w:rPr>
        <w:t xml:space="preserve">RES82_20260825[Entrada] &gt; d,</w:t>
      </w:r>
    </w:p>
    <w:p>
      <w:pPr>
        <w:keepNext/>
        <w:shd w:val="clear" w:color="auto" w:fill="F2F2F2"/>
        <w:spacing w:before="0" w:after="0" w:line="240" w:lineRule="auto"/>
        <w:ind w:left="1244" w:firstLine="0"/>
        <w:jc w:val="left"/>
      </w:pPr>
      <w:r>
        <w:rPr>
          <w:rFonts w:ascii="Consolas" w:hAnsi="Consolas" w:cs="Consolas"/>
          <w:sz w:val="17"/>
          <w:szCs w:val="17"/>
        </w:rPr>
        <w:t xml:space="preserve">RES82_20260825[Entrada] &lt;= ref</w:t>
      </w:r>
    </w:p>
    <w:p>
      <w:pPr>
        <w:keepNext/>
        <w:shd w:val="clear" w:color="auto" w:fill="F2F2F2"/>
        <w:spacing w:before="0" w:after="0" w:line="240" w:lineRule="auto"/>
        <w:ind w:left="1004" w:firstLine="0"/>
        <w:jc w:val="left"/>
      </w:pPr>
      <w:r>
        <w:rPr>
          <w:rFonts w:ascii="Consolas" w:hAnsi="Consolas" w:cs="Consolas"/>
          <w:sz w:val="17"/>
          <w:szCs w:val="17"/>
        </w:rPr>
        <w:t xml:space="preserve">)</w:t>
      </w:r>
    </w:p>
    <w:p>
      <w:pPr>
        <w:keepNext/>
        <w:shd w:val="clear" w:color="auto" w:fill="F2F2F2"/>
        <w:spacing w:before="0" w:after="0" w:line="240" w:lineRule="auto"/>
        <w:ind w:left="524" w:firstLine="0"/>
        <w:jc w:val="left"/>
      </w:pPr>
      <w:r>
        <w:rPr>
          <w:rFonts w:ascii="Consolas" w:hAnsi="Consolas" w:cs="Consolas"/>
          <w:sz w:val="17"/>
          <w:szCs w:val="17"/>
        </w:rPr>
        <w:t xml:space="preserve">)</w:t>
      </w:r>
    </w:p>
    <w:p>
      <w:pPr>
        <w:spacing w:before="0" w:after="60"/>
      </w:pPr>
    </w:p>
    <w:p>
      <w:pPr>
        <w:pStyle w:val="Caption"/>
        <w:keepNext/>
      </w:pPr>
      <w:r>
        <w:t xml:space="preserve">Tabela </w:t>
      </w:r>
      <w:r>
        <w:fldChar w:fldCharType="begin"/>
      </w:r>
      <w:r>
        <w:instrText xml:space="preserve"> SEQ Tabela \* ARABIC </w:instrText>
      </w:r>
      <w:r>
        <w:fldChar w:fldCharType="separate"/>
      </w:r>
      <w:r>
        <w:rPr>
          <w:noProof/>
        </w:rPr>
        <w:t>9</w:t>
      </w:r>
      <w:r>
        <w:fldChar w:fldCharType="end"/>
      </w:r>
      <w:r>
        <w:t xml:space="preserve"> – Cards da página Consumo e Aderência</w:t>
      </w:r>
    </w:p>
    <w:tbl>
      <w:tblPr>
        <w:tblW w:w="9288" w:type="dxa"/>
        <w:tblLayout w:type="fixed"/>
        <w:tblLook w:val="04A0" w:firstRow="1" w:lastRow="0" w:firstColumn="1" w:lastColumn="0" w:noHBand="0" w:noVBand="1"/>
      </w:tblPr>
      <w:tblGrid>
        <w:gridCol w:w="2211"/>
        <w:gridCol w:w="2875"/>
        <w:gridCol w:w="2875"/>
        <w:gridCol w:w="1327"/>
      </w:tblGrid>
      <w:tr>
        <w:trPr>
          <w:tblHeader/>
          <w:cantSplit/>
        </w:trPr>
        <w:tc>
          <w:tcPr>
            <w:tcW w:w="2211"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Card</w:t>
            </w:r>
          </w:p>
        </w:tc>
        <w:tc>
          <w:tcPr>
            <w:tcW w:w="2875"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O que mostra</w:t>
            </w:r>
          </w:p>
        </w:tc>
        <w:tc>
          <w:tcPr>
            <w:tcW w:w="2875"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Cálculo</w:t>
            </w:r>
          </w:p>
        </w:tc>
        <w:tc>
          <w:tcPr>
            <w:tcW w:w="1327"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Valor</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Consumo Efetivo 12m (R$)</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Valor consumido pelas áreas no último ano</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Soma do valor da categoria Consumo efetivo</w:t>
            </w:r>
          </w:p>
        </w:tc>
        <w:tc>
          <w:tcPr>
            <w:tcW w:w="132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R$ 40,9 mi</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Compras Recebidas 12m (R$)</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Valor que entrou no estoque por compra</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Soma do valor da categoria Entrada por compra</w:t>
            </w:r>
          </w:p>
        </w:tc>
        <w:tc>
          <w:tcPr>
            <w:tcW w:w="132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R$ 21,3 mi</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com PCA (RES43)</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com previsão de consumo</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com PCA anual &gt; 0</w:t>
            </w:r>
          </w:p>
        </w:tc>
        <w:tc>
          <w:tcPr>
            <w:tcW w:w="132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680</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Aderentes ao PCA</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Parcela dos materiais com consumo próximo ao previsto</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Aderentes ÷ Materiais com PCA</w:t>
            </w:r>
          </w:p>
        </w:tc>
        <w:tc>
          <w:tcPr>
            <w:tcW w:w="132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10,7%</w:t>
            </w:r>
          </w:p>
        </w:tc>
      </w:tr>
      <w:tr>
        <w:trPr>
          <w:cantSplit/>
        </w:trPr>
        <w:tc>
          <w:tcPr>
            <w:tcW w:w="2211"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Consumo Acima do PCA</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que consumiram mais de 120% do previsto</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com classe Acima do planejado</w:t>
            </w:r>
          </w:p>
        </w:tc>
        <w:tc>
          <w:tcPr>
            <w:tcW w:w="1327"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17</w:t>
            </w:r>
          </w:p>
        </w:tc>
      </w:tr>
      <w:tr>
        <w:trPr>
          <w:cantSplit/>
        </w:trPr>
        <w:tc>
          <w:tcPr>
            <w:tcW w:w="2211"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Consumo Abaixo do PCA</w:t>
            </w:r>
          </w:p>
        </w:tc>
        <w:tc>
          <w:tcPr>
            <w:tcW w:w="2875"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que consumiram menos de 80% do previsto</w:t>
            </w:r>
          </w:p>
        </w:tc>
        <w:tc>
          <w:tcPr>
            <w:tcW w:w="2875"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com classe Abaixo do planejado</w:t>
            </w:r>
          </w:p>
        </w:tc>
        <w:tc>
          <w:tcPr>
            <w:tcW w:w="1327"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328</w:t>
            </w:r>
          </w:p>
        </w:tc>
      </w:tr>
    </w:tbl>
    <w:p>
      <w:pPr>
        <w:spacing w:before="60"/>
        <w:ind w:firstLine="0"/>
      </w:pPr>
      <w:r>
        <w:rPr>
          <w:sz w:val="18"/>
          <w:szCs w:val="18"/>
        </w:rPr>
        <w:t xml:space="preserve">Fonte: elaborado pelos autores (2026).</w:t>
      </w:r>
    </w:p>
    <w:p>
      <w:pPr>
        <w:ind w:left="567" w:hanging="283" w:firstLine="0"/>
      </w:pPr>
      <w:r>
        <w:t xml:space="preserve">• </w:t>
      </w:r>
      <w:r>
        <w:rPr>
          <w:b/>
        </w:rPr>
        <w:t xml:space="preserve">Histórico Mensal: Entradas por Compra × Consumo Efetivo:</w:t>
      </w:r>
      <w:r>
        <w:t xml:space="preserve"> linhas mensais desde janeiro de 2021, com filtro de ano;</w:t>
      </w:r>
    </w:p>
    <w:p>
      <w:pPr>
        <w:ind w:left="567" w:hanging="283" w:firstLine="0"/>
      </w:pPr>
      <w:r>
        <w:t xml:space="preserve">• </w:t>
      </w:r>
      <w:r>
        <w:rPr>
          <w:b/>
        </w:rPr>
        <w:t xml:space="preserve">Evolução do Estoque desde 2021:</w:t>
      </w:r>
      <w:r>
        <w:t xml:space="preserve"> posição do estoque no fim de cada mês, reconstruída com a mesma lógica do estoque médio;</w:t>
      </w:r>
    </w:p>
    <w:p>
      <w:pPr>
        <w:ind w:left="567" w:hanging="283" w:firstLine="0"/>
      </w:pPr>
      <w:r>
        <w:t xml:space="preserve">• </w:t>
      </w:r>
      <w:r>
        <w:rPr>
          <w:b/>
        </w:rPr>
        <w:t xml:space="preserve">Aderência PCA × Consumo:</w:t>
      </w:r>
      <w:r>
        <w:t xml:space="preserve"> quantidade de materiais em cada classe (acima, aderente, abaixo, sem consumo e consumo sem PCA);</w:t>
      </w:r>
    </w:p>
    <w:p>
      <w:pPr>
        <w:ind w:left="567" w:hanging="283" w:firstLine="0"/>
      </w:pPr>
      <w:r>
        <w:t xml:space="preserve">• </w:t>
      </w:r>
      <w:r>
        <w:rPr>
          <w:b/>
        </w:rPr>
        <w:t xml:space="preserve">Para onde foram as saídas (12m):</w:t>
      </w:r>
      <w:r>
        <w:t xml:space="preserve"> valor das saídas por categoria. O consumo efetivo (R$ 40,9 mi, em vermelho) aparece separado das vendas e descartes (R$ 72,3 mi), das transferências externas (R$ 15,7 mi) e das devoluções a fornecedores (R$ 3,0 mi);</w:t>
      </w:r>
    </w:p>
    <w:p>
      <w:pPr>
        <w:ind w:left="567" w:hanging="283" w:firstLine="0"/>
      </w:pPr>
      <w:r>
        <w:t xml:space="preserve">• </w:t>
      </w:r>
      <w:r>
        <w:rPr>
          <w:b/>
        </w:rPr>
        <w:t xml:space="preserve">PCA × Consumo por Material:</w:t>
      </w:r>
      <w:r>
        <w:t xml:space="preserve"> tabela com a PCA anual, o consumo de 12 meses, a aderência e a classificação de cada material da RES43.</w:t>
      </w:r>
    </w:p>
    <w:p>
      <w:r>
        <w:t xml:space="preserve">Dos 680 materiais com PCA, 328 consumiram menos de 80% do previsto e 262 não tiveram consumo nos últimos 12 meses. Como a RES43 usa a PCA para calcular a necessidade de compra dos itens Normais e Estratégicos, uma previsão acima do consumo real pode aumentar as compras e o estoque sem necessidade.</w:t>
      </w:r>
    </w:p>
    <w:p>
      <w:pPr>
        <w:pStyle w:val="Heading2"/>
      </w:pPr>
      <w:r>
        <w:t xml:space="preserve">Página 5 – Evolução por Material</w:t>
      </w:r>
    </w:p>
    <w:p>
      <w:r>
        <w:t xml:space="preserve">Esta página atende aos itens "gráfico de evolução temporal por item" e "comparativo entre períodos" do módulo Evolução do Estoque (Figura 5). O usuário digita o código ou o nome do material em um campo de busca, e a página mostra o histórico daquele item. Enquanto nenhum material é escolhido, os cards e gráficos ficam vazios de propósito, porque somar quantidades de materiais diferentes misturaria unidades de medida.</w:t>
      </w:r>
    </w:p>
    <w:p>
      <w:pPr>
        <w:pBdr>
          <w:top w:val="single" w:sz="6" w:space="8" w:color="A6A6A6"/>
          <w:left w:val="single" w:sz="6" w:space="8" w:color="A6A6A6"/>
          <w:bottom w:val="single" w:sz="6" w:space="8" w:color="A6A6A6"/>
          <w:right w:val="single" w:sz="6" w:space="8" w:color="A6A6A6"/>
        </w:pBdr>
        <w:spacing w:before="240" w:after="240"/>
        <w:ind w:firstLine="0"/>
        <w:jc w:val="center"/>
      </w:pPr>
      <w:r>
        <w:rPr>
          <w:i/>
          <w:color w:val="808080"/>
        </w:rPr>
        <w:t xml:space="preserve">[Inserir aqui o print da página: Evolução por Material, com um material escolhido no campo de busca]</w:t>
      </w:r>
    </w:p>
    <w:p>
      <w:pPr>
        <w:pStyle w:val="Caption"/>
        <w:keepNext/>
      </w:pPr>
      <w:r>
        <w:t xml:space="preserve">Figura </w:t>
      </w:r>
      <w:r>
        <w:fldChar w:fldCharType="begin"/>
      </w:r>
      <w:r>
        <w:instrText xml:space="preserve"> SEQ Figura \* ARABIC </w:instrText>
      </w:r>
      <w:r>
        <w:fldChar w:fldCharType="separate"/>
      </w:r>
      <w:r>
        <w:rPr>
          <w:noProof/>
        </w:rPr>
        <w:t>5</w:t>
      </w:r>
      <w:r>
        <w:fldChar w:fldCharType="end"/>
      </w:r>
      <w:r>
        <w:t xml:space="preserve"> – Página Evolução por Material (com um material selecionado)</w:t>
      </w:r>
    </w:p>
    <w:p>
      <w:pPr>
        <w:ind w:firstLine="0"/>
        <w:jc w:val="center"/>
      </w:pPr>
      <w:r>
        <w:rPr>
          <w:sz w:val="18"/>
          <w:szCs w:val="18"/>
        </w:rPr>
        <w:t xml:space="preserve">Fonte: elaborado pelos autores no Power BI (2026).</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Material Selecionado =</w:t>
      </w:r>
    </w:p>
    <w:p>
      <w:pPr>
        <w:keepNext/>
        <w:shd w:val="clear" w:color="auto" w:fill="F2F2F2"/>
        <w:spacing w:before="0" w:after="0" w:line="240" w:lineRule="auto"/>
        <w:ind w:left="284" w:firstLine="0"/>
        <w:jc w:val="left"/>
      </w:pPr>
      <w:r>
        <w:rPr>
          <w:rFonts w:ascii="Consolas" w:hAnsi="Consolas" w:cs="Consolas"/>
          <w:sz w:val="17"/>
          <w:szCs w:val="17"/>
        </w:rPr>
        <w:t xml:space="preserve">HASONEVALUE ( PROD__20260824[Alternativo]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Posição do Estoque - Item (Qtd) =</w:t>
      </w:r>
    </w:p>
    <w:p>
      <w:pPr>
        <w:keepNext/>
        <w:shd w:val="clear" w:color="auto" w:fill="F2F2F2"/>
        <w:spacing w:before="0" w:after="0" w:line="240" w:lineRule="auto"/>
        <w:ind w:left="284" w:firstLine="0"/>
        <w:jc w:val="left"/>
      </w:pPr>
      <w:r>
        <w:rPr>
          <w:rFonts w:ascii="Consolas" w:hAnsi="Consolas" w:cs="Consolas"/>
          <w:sz w:val="17"/>
          <w:szCs w:val="17"/>
        </w:rPr>
        <w:t xml:space="preserve">VAR ref = [Data Base Estoque]</w:t>
      </w:r>
    </w:p>
    <w:p>
      <w:pPr>
        <w:keepNext/>
        <w:shd w:val="clear" w:color="auto" w:fill="F2F2F2"/>
        <w:spacing w:before="0" w:after="0" w:line="240" w:lineRule="auto"/>
        <w:ind w:left="284" w:firstLine="0"/>
        <w:jc w:val="left"/>
      </w:pPr>
      <w:r>
        <w:rPr>
          <w:rFonts w:ascii="Consolas" w:hAnsi="Consolas" w:cs="Consolas"/>
          <w:sz w:val="17"/>
          <w:szCs w:val="17"/>
        </w:rPr>
        <w:t xml:space="preserve">VAR fimMes = MAX ( dCalendario[Date] )</w:t>
      </w:r>
    </w:p>
    <w:p>
      <w:pPr>
        <w:keepNext/>
        <w:shd w:val="clear" w:color="auto" w:fill="F2F2F2"/>
        <w:spacing w:before="0" w:after="0" w:line="240" w:lineRule="auto"/>
        <w:ind w:left="284" w:firstLine="0"/>
        <w:jc w:val="left"/>
      </w:pPr>
      <w:r>
        <w:rPr>
          <w:rFonts w:ascii="Consolas" w:hAnsi="Consolas" w:cs="Consolas"/>
          <w:sz w:val="17"/>
          <w:szCs w:val="17"/>
        </w:rPr>
        <w:t xml:space="preserve">VAR iniMes = MIN ( dCalendario[Date] )</w:t>
      </w:r>
    </w:p>
    <w:p>
      <w:pPr>
        <w:keepNext/>
        <w:shd w:val="clear" w:color="auto" w:fill="F2F2F2"/>
        <w:spacing w:before="0" w:after="0" w:line="240" w:lineRule="auto"/>
        <w:ind w:left="284" w:firstLine="0"/>
        <w:jc w:val="left"/>
      </w:pPr>
      <w:r>
        <w:rPr>
          <w:rFonts w:ascii="Consolas" w:hAnsi="Consolas" w:cs="Consolas"/>
          <w:sz w:val="17"/>
          <w:szCs w:val="17"/>
        </w:rPr>
        <w:t xml:space="preserve">VAR d = MIN ( fimMes, ref )</w:t>
      </w:r>
    </w:p>
    <w:p>
      <w:pPr>
        <w:keepNext/>
        <w:shd w:val="clear" w:color="auto" w:fill="F2F2F2"/>
        <w:spacing w:before="0" w:after="0" w:line="240" w:lineRule="auto"/>
        <w:ind w:left="284" w:firstLine="0"/>
        <w:jc w:val="left"/>
      </w:pPr>
      <w:r>
        <w:rPr>
          <w:rFonts w:ascii="Consolas" w:hAnsi="Consolas" w:cs="Consolas"/>
          <w:sz w:val="17"/>
          <w:szCs w:val="17"/>
        </w:rPr>
        <w:t xml:space="preserve">RETURN</w:t>
      </w:r>
    </w:p>
    <w:p>
      <w:pPr>
        <w:keepNext/>
        <w:shd w:val="clear" w:color="auto" w:fill="F2F2F2"/>
        <w:spacing w:before="0" w:after="0" w:line="240" w:lineRule="auto"/>
        <w:ind w:left="524" w:firstLine="0"/>
        <w:jc w:val="left"/>
      </w:pPr>
      <w:r>
        <w:rPr>
          <w:rFonts w:ascii="Consolas" w:hAnsi="Consolas" w:cs="Consolas"/>
          <w:sz w:val="17"/>
          <w:szCs w:val="17"/>
        </w:rPr>
        <w:t xml:space="preserve">IF (</w:t>
      </w:r>
    </w:p>
    <w:p>
      <w:pPr>
        <w:keepNext/>
        <w:shd w:val="clear" w:color="auto" w:fill="F2F2F2"/>
        <w:spacing w:before="0" w:after="0" w:line="240" w:lineRule="auto"/>
        <w:ind w:left="764" w:firstLine="0"/>
        <w:jc w:val="left"/>
      </w:pPr>
      <w:r>
        <w:rPr>
          <w:rFonts w:ascii="Consolas" w:hAnsi="Consolas" w:cs="Consolas"/>
          <w:sz w:val="17"/>
          <w:szCs w:val="17"/>
        </w:rPr>
        <w:t xml:space="preserve">[Material Selecionado] &amp;&amp; iniMes &lt;= ref &amp;&amp; fimMes &gt;= DATE ( 2021, 1, 31 ),</w:t>
      </w:r>
    </w:p>
    <w:p>
      <w:pPr>
        <w:keepNext/>
        <w:shd w:val="clear" w:color="auto" w:fill="F2F2F2"/>
        <w:spacing w:before="0" w:after="0" w:line="240" w:lineRule="auto"/>
        <w:ind w:left="764" w:firstLine="0"/>
        <w:jc w:val="left"/>
      </w:pPr>
      <w:r>
        <w:rPr>
          <w:rFonts w:ascii="Consolas" w:hAnsi="Consolas" w:cs="Consolas"/>
          <w:sz w:val="17"/>
          <w:szCs w:val="17"/>
        </w:rPr>
        <w:t xml:space="preserve">COALESCE ( [Saldo Qtd (RES47)], 0 )</w:t>
      </w:r>
    </w:p>
    <w:p>
      <w:pPr>
        <w:keepNext/>
        <w:shd w:val="clear" w:color="auto" w:fill="F2F2F2"/>
        <w:spacing w:before="0" w:after="0" w:line="240" w:lineRule="auto"/>
        <w:ind w:left="1004" w:firstLine="0"/>
        <w:jc w:val="left"/>
      </w:pPr>
      <w:r>
        <w:rPr>
          <w:rFonts w:ascii="Consolas" w:hAnsi="Consolas" w:cs="Consolas"/>
          <w:sz w:val="17"/>
          <w:szCs w:val="17"/>
        </w:rPr>
        <w:t xml:space="preserve">- COALESCE (</w:t>
      </w:r>
    </w:p>
    <w:p>
      <w:pPr>
        <w:keepNext/>
        <w:shd w:val="clear" w:color="auto" w:fill="F2F2F2"/>
        <w:spacing w:before="0" w:after="0" w:line="240" w:lineRule="auto"/>
        <w:ind w:left="1244" w:firstLine="0"/>
        <w:jc w:val="left"/>
      </w:pPr>
      <w:r>
        <w:rPr>
          <w:rFonts w:ascii="Consolas" w:hAnsi="Consolas" w:cs="Consolas"/>
          <w:sz w:val="17"/>
          <w:szCs w:val="17"/>
        </w:rPr>
        <w:t xml:space="preserve">CALCULATE (</w:t>
      </w:r>
    </w:p>
    <w:p>
      <w:pPr>
        <w:keepNext/>
        <w:shd w:val="clear" w:color="auto" w:fill="F2F2F2"/>
        <w:spacing w:before="0" w:after="0" w:line="240" w:lineRule="auto"/>
        <w:ind w:left="1484" w:firstLine="0"/>
        <w:jc w:val="left"/>
      </w:pPr>
      <w:r>
        <w:rPr>
          <w:rFonts w:ascii="Consolas" w:hAnsi="Consolas" w:cs="Consolas"/>
          <w:sz w:val="17"/>
          <w:szCs w:val="17"/>
        </w:rPr>
        <w:t xml:space="preserve">SUM ( RES82_20260825[Qtd Líquida] ),</w:t>
      </w:r>
    </w:p>
    <w:p>
      <w:pPr>
        <w:keepNext/>
        <w:shd w:val="clear" w:color="auto" w:fill="F2F2F2"/>
        <w:spacing w:before="0" w:after="0" w:line="240" w:lineRule="auto"/>
        <w:ind w:left="1484" w:firstLine="0"/>
        <w:jc w:val="left"/>
      </w:pPr>
      <w:r>
        <w:rPr>
          <w:rFonts w:ascii="Consolas" w:hAnsi="Consolas" w:cs="Consolas"/>
          <w:sz w:val="17"/>
          <w:szCs w:val="17"/>
        </w:rPr>
        <w:t xml:space="preserve">REMOVEFILTERS ( dCalendario ),</w:t>
      </w:r>
    </w:p>
    <w:p>
      <w:pPr>
        <w:keepNext/>
        <w:shd w:val="clear" w:color="auto" w:fill="F2F2F2"/>
        <w:spacing w:before="0" w:after="0" w:line="240" w:lineRule="auto"/>
        <w:ind w:left="1484" w:firstLine="0"/>
        <w:jc w:val="left"/>
      </w:pPr>
      <w:r>
        <w:rPr>
          <w:rFonts w:ascii="Consolas" w:hAnsi="Consolas" w:cs="Consolas"/>
          <w:sz w:val="17"/>
          <w:szCs w:val="17"/>
        </w:rPr>
        <w:t xml:space="preserve">RES82_20260825[Entrada] &gt; d,</w:t>
      </w:r>
    </w:p>
    <w:p>
      <w:pPr>
        <w:keepNext/>
        <w:shd w:val="clear" w:color="auto" w:fill="F2F2F2"/>
        <w:spacing w:before="0" w:after="0" w:line="240" w:lineRule="auto"/>
        <w:ind w:left="1484" w:firstLine="0"/>
        <w:jc w:val="left"/>
      </w:pPr>
      <w:r>
        <w:rPr>
          <w:rFonts w:ascii="Consolas" w:hAnsi="Consolas" w:cs="Consolas"/>
          <w:sz w:val="17"/>
          <w:szCs w:val="17"/>
        </w:rPr>
        <w:t xml:space="preserve">RES82_20260825[Entrada] &lt;= ref</w:t>
      </w:r>
    </w:p>
    <w:p>
      <w:pPr>
        <w:keepNext/>
        <w:shd w:val="clear" w:color="auto" w:fill="F2F2F2"/>
        <w:spacing w:before="0" w:after="0" w:line="240" w:lineRule="auto"/>
        <w:ind w:left="1244" w:firstLine="0"/>
        <w:jc w:val="left"/>
      </w:pPr>
      <w:r>
        <w:rPr>
          <w:rFonts w:ascii="Consolas" w:hAnsi="Consolas" w:cs="Consolas"/>
          <w:sz w:val="17"/>
          <w:szCs w:val="17"/>
        </w:rPr>
        <w:t xml:space="preserve">),</w:t>
      </w:r>
    </w:p>
    <w:p>
      <w:pPr>
        <w:keepNext/>
        <w:shd w:val="clear" w:color="auto" w:fill="F2F2F2"/>
        <w:spacing w:before="0" w:after="0" w:line="240" w:lineRule="auto"/>
        <w:ind w:left="1244" w:firstLine="0"/>
        <w:jc w:val="left"/>
      </w:pPr>
      <w:r>
        <w:rPr>
          <w:rFonts w:ascii="Consolas" w:hAnsi="Consolas" w:cs="Consolas"/>
          <w:sz w:val="17"/>
          <w:szCs w:val="17"/>
        </w:rPr>
        <w:t xml:space="preserve">0</w:t>
      </w:r>
    </w:p>
    <w:p>
      <w:pPr>
        <w:keepNext/>
        <w:shd w:val="clear" w:color="auto" w:fill="F2F2F2"/>
        <w:spacing w:before="0" w:after="0" w:line="240" w:lineRule="auto"/>
        <w:ind w:left="1004" w:firstLine="0"/>
        <w:jc w:val="left"/>
      </w:pPr>
      <w:r>
        <w:rPr>
          <w:rFonts w:ascii="Consolas" w:hAnsi="Consolas" w:cs="Consolas"/>
          <w:sz w:val="17"/>
          <w:szCs w:val="17"/>
        </w:rPr>
        <w:t xml:space="preserve">)</w:t>
      </w:r>
    </w:p>
    <w:p>
      <w:pPr>
        <w:keepNext/>
        <w:shd w:val="clear" w:color="auto" w:fill="F2F2F2"/>
        <w:spacing w:before="0" w:after="0" w:line="240" w:lineRule="auto"/>
        <w:ind w:left="524" w:firstLine="0"/>
        <w:jc w:val="left"/>
      </w:pPr>
      <w:r>
        <w:rPr>
          <w:rFonts w:ascii="Consolas" w:hAnsi="Consolas" w:cs="Consolas"/>
          <w:sz w:val="17"/>
          <w:szCs w:val="17"/>
        </w:rPr>
        <w:t xml:space="preserve">)</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Consumo 12m Anterior (Qtd) =</w:t>
      </w:r>
    </w:p>
    <w:p>
      <w:pPr>
        <w:keepNext/>
        <w:shd w:val="clear" w:color="auto" w:fill="F2F2F2"/>
        <w:spacing w:before="0" w:after="0" w:line="240" w:lineRule="auto"/>
        <w:ind w:left="284" w:firstLine="0"/>
        <w:jc w:val="left"/>
      </w:pPr>
      <w:r>
        <w:rPr>
          <w:rFonts w:ascii="Consolas" w:hAnsi="Consolas" w:cs="Consolas"/>
          <w:sz w:val="17"/>
          <w:szCs w:val="17"/>
        </w:rPr>
        <w:t xml:space="preserve">VAR ref = [Data Base Estoque]</w:t>
      </w:r>
    </w:p>
    <w:p>
      <w:pPr>
        <w:keepNext/>
        <w:shd w:val="clear" w:color="auto" w:fill="F2F2F2"/>
        <w:spacing w:before="0" w:after="0" w:line="240" w:lineRule="auto"/>
        <w:ind w:left="284" w:firstLine="0"/>
        <w:jc w:val="left"/>
      </w:pPr>
      <w:r>
        <w:rPr>
          <w:rFonts w:ascii="Consolas" w:hAnsi="Consolas" w:cs="Consolas"/>
          <w:sz w:val="17"/>
          <w:szCs w:val="17"/>
        </w:rPr>
        <w:t xml:space="preserve">RETURN</w:t>
      </w:r>
    </w:p>
    <w:p>
      <w:pPr>
        <w:keepNext/>
        <w:shd w:val="clear" w:color="auto" w:fill="F2F2F2"/>
        <w:spacing w:before="0" w:after="0" w:line="240" w:lineRule="auto"/>
        <w:ind w:left="524" w:firstLine="0"/>
        <w:jc w:val="left"/>
      </w:pPr>
      <w:r>
        <w:rPr>
          <w:rFonts w:ascii="Consolas" w:hAnsi="Consolas" w:cs="Consolas"/>
          <w:sz w:val="17"/>
          <w:szCs w:val="17"/>
        </w:rPr>
        <w:t xml:space="preserve">CALCULATE (</w:t>
      </w:r>
    </w:p>
    <w:p>
      <w:pPr>
        <w:keepNext/>
        <w:shd w:val="clear" w:color="auto" w:fill="F2F2F2"/>
        <w:spacing w:before="0" w:after="0" w:line="240" w:lineRule="auto"/>
        <w:ind w:left="764" w:firstLine="0"/>
        <w:jc w:val="left"/>
      </w:pPr>
      <w:r>
        <w:rPr>
          <w:rFonts w:ascii="Consolas" w:hAnsi="Consolas" w:cs="Consolas"/>
          <w:sz w:val="17"/>
          <w:szCs w:val="17"/>
        </w:rPr>
        <w:t xml:space="preserve">SUM ( RES82_20260825[Qtde.] ),</w:t>
      </w:r>
    </w:p>
    <w:p>
      <w:pPr>
        <w:keepNext/>
        <w:shd w:val="clear" w:color="auto" w:fill="F2F2F2"/>
        <w:spacing w:before="0" w:after="0" w:line="240" w:lineRule="auto"/>
        <w:ind w:left="764" w:firstLine="0"/>
        <w:jc w:val="left"/>
      </w:pPr>
      <w:r>
        <w:rPr>
          <w:rFonts w:ascii="Consolas" w:hAnsi="Consolas" w:cs="Consolas"/>
          <w:sz w:val="17"/>
          <w:szCs w:val="17"/>
        </w:rPr>
        <w:t xml:space="preserve">'Tipo de Movimentação'[Categoria] = "Consumo efetivo",</w:t>
      </w:r>
    </w:p>
    <w:p>
      <w:pPr>
        <w:keepNext/>
        <w:shd w:val="clear" w:color="auto" w:fill="F2F2F2"/>
        <w:spacing w:before="0" w:after="0" w:line="240" w:lineRule="auto"/>
        <w:ind w:left="764" w:firstLine="0"/>
        <w:jc w:val="left"/>
      </w:pPr>
      <w:r>
        <w:rPr>
          <w:rFonts w:ascii="Consolas" w:hAnsi="Consolas" w:cs="Consolas"/>
          <w:sz w:val="17"/>
          <w:szCs w:val="17"/>
        </w:rPr>
        <w:t xml:space="preserve">REMOVEFILTERS ( dCalendario ),</w:t>
      </w:r>
    </w:p>
    <w:p>
      <w:pPr>
        <w:keepNext/>
        <w:shd w:val="clear" w:color="auto" w:fill="F2F2F2"/>
        <w:spacing w:before="0" w:after="0" w:line="240" w:lineRule="auto"/>
        <w:ind w:left="764" w:firstLine="0"/>
        <w:jc w:val="left"/>
      </w:pPr>
      <w:r>
        <w:rPr>
          <w:rFonts w:ascii="Consolas" w:hAnsi="Consolas" w:cs="Consolas"/>
          <w:sz w:val="17"/>
          <w:szCs w:val="17"/>
        </w:rPr>
        <w:t xml:space="preserve">RES82_20260825[Entrada] &gt; EDATE ( ref, -24 ),</w:t>
      </w:r>
    </w:p>
    <w:p>
      <w:pPr>
        <w:keepNext/>
        <w:shd w:val="clear" w:color="auto" w:fill="F2F2F2"/>
        <w:spacing w:before="0" w:after="0" w:line="240" w:lineRule="auto"/>
        <w:ind w:left="764" w:firstLine="0"/>
        <w:jc w:val="left"/>
      </w:pPr>
      <w:r>
        <w:rPr>
          <w:rFonts w:ascii="Consolas" w:hAnsi="Consolas" w:cs="Consolas"/>
          <w:sz w:val="17"/>
          <w:szCs w:val="17"/>
        </w:rPr>
        <w:t xml:space="preserve">RES82_20260825[Entrada] &lt;= EDATE ( ref, -12 )</w:t>
      </w:r>
    </w:p>
    <w:p>
      <w:pPr>
        <w:keepNext/>
        <w:shd w:val="clear" w:color="auto" w:fill="F2F2F2"/>
        <w:spacing w:before="0" w:after="0" w:line="240" w:lineRule="auto"/>
        <w:ind w:left="524" w:firstLine="0"/>
        <w:jc w:val="left"/>
      </w:pPr>
      <w:r>
        <w:rPr>
          <w:rFonts w:ascii="Consolas" w:hAnsi="Consolas" w:cs="Consolas"/>
          <w:sz w:val="17"/>
          <w:szCs w:val="17"/>
        </w:rPr>
        <w:t xml:space="preserve">)</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Variação Consumo 12m (%) =</w:t>
      </w:r>
    </w:p>
    <w:p>
      <w:pPr>
        <w:keepNext/>
        <w:shd w:val="clear" w:color="auto" w:fill="F2F2F2"/>
        <w:spacing w:before="0" w:after="0" w:line="240" w:lineRule="auto"/>
        <w:ind w:left="284" w:firstLine="0"/>
        <w:jc w:val="left"/>
      </w:pPr>
      <w:r>
        <w:rPr>
          <w:rFonts w:ascii="Consolas" w:hAnsi="Consolas" w:cs="Consolas"/>
          <w:sz w:val="17"/>
          <w:szCs w:val="17"/>
        </w:rPr>
        <w:t xml:space="preserve">DIVIDE ( [Consumo 12m (Qtd)] - [Consumo 12m Anterior (Qtd)], [Consumo 12m Anterior (Qtd)]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Situação - Item =</w:t>
      </w:r>
    </w:p>
    <w:p>
      <w:pPr>
        <w:keepNext/>
        <w:shd w:val="clear" w:color="auto" w:fill="F2F2F2"/>
        <w:spacing w:before="0" w:after="0" w:line="240" w:lineRule="auto"/>
        <w:ind w:left="284" w:firstLine="0"/>
        <w:jc w:val="left"/>
      </w:pPr>
      <w:r>
        <w:rPr>
          <w:rFonts w:ascii="Consolas" w:hAnsi="Consolas" w:cs="Consolas"/>
          <w:sz w:val="17"/>
          <w:szCs w:val="17"/>
        </w:rPr>
        <w:t xml:space="preserve">IF ( [Material Selecionado], COALESCE ( [Status Estoque], "-" ), "Selecione um material" )</w:t>
      </w:r>
    </w:p>
    <w:p>
      <w:pPr>
        <w:spacing w:before="0" w:after="60"/>
      </w:pPr>
    </w:p>
    <w:p>
      <w:pPr>
        <w:pStyle w:val="Caption"/>
        <w:keepNext/>
      </w:pPr>
      <w:r>
        <w:t xml:space="preserve">Tabela </w:t>
      </w:r>
      <w:r>
        <w:fldChar w:fldCharType="begin"/>
      </w:r>
      <w:r>
        <w:instrText xml:space="preserve"> SEQ Tabela \* ARABIC </w:instrText>
      </w:r>
      <w:r>
        <w:fldChar w:fldCharType="separate"/>
      </w:r>
      <w:r>
        <w:rPr>
          <w:noProof/>
        </w:rPr>
        <w:t>10</w:t>
      </w:r>
      <w:r>
        <w:fldChar w:fldCharType="end"/>
      </w:r>
      <w:r>
        <w:t xml:space="preserve"> – Cards da página Evolução por Material</w:t>
      </w:r>
    </w:p>
    <w:tbl>
      <w:tblPr>
        <w:tblW w:w="9288" w:type="dxa"/>
        <w:tblLayout w:type="fixed"/>
        <w:tblLook w:val="04A0" w:firstRow="1" w:lastRow="0" w:firstColumn="1" w:lastColumn="0" w:noHBand="0" w:noVBand="1"/>
      </w:tblPr>
      <w:tblGrid>
        <w:gridCol w:w="2654"/>
        <w:gridCol w:w="3759"/>
        <w:gridCol w:w="2875"/>
      </w:tblGrid>
      <w:tr>
        <w:trPr>
          <w:tblHeader/>
          <w:cantSplit/>
        </w:trPr>
        <w:tc>
          <w:tcPr>
            <w:tcW w:w="2654"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Card</w:t>
            </w:r>
          </w:p>
        </w:tc>
        <w:tc>
          <w:tcPr>
            <w:tcW w:w="3759"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O que mostra</w:t>
            </w:r>
          </w:p>
        </w:tc>
        <w:tc>
          <w:tcPr>
            <w:tcW w:w="2875"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Cálculo</w:t>
            </w:r>
          </w:p>
        </w:tc>
      </w:tr>
      <w:tr>
        <w:trPr>
          <w:cantSplit/>
        </w:trPr>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Saldo Atual (qtd)</w:t>
            </w:r>
          </w:p>
        </w:tc>
        <w:tc>
          <w:tcPr>
            <w:tcW w:w="375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Quantidade em estoque do material</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Saldo da RES47</w:t>
            </w:r>
          </w:p>
        </w:tc>
      </w:tr>
      <w:tr>
        <w:trPr>
          <w:cantSplit/>
        </w:trPr>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Valor em Estoque (R$)</w:t>
            </w:r>
          </w:p>
        </w:tc>
        <w:tc>
          <w:tcPr>
            <w:tcW w:w="375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Valor em estoque do material</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Valor total da RES47</w:t>
            </w:r>
          </w:p>
        </w:tc>
      </w:tr>
      <w:tr>
        <w:trPr>
          <w:cantSplit/>
        </w:trPr>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Consumo 12 meses</w:t>
            </w:r>
          </w:p>
        </w:tc>
        <w:tc>
          <w:tcPr>
            <w:tcW w:w="375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Consumo efetivo dos últimos 12 meses</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Consumo 12m (Qtd) do material</w:t>
            </w:r>
          </w:p>
        </w:tc>
      </w:tr>
      <w:tr>
        <w:trPr>
          <w:cantSplit/>
        </w:trPr>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Consumo 12 meses anteriores</w:t>
            </w:r>
          </w:p>
        </w:tc>
        <w:tc>
          <w:tcPr>
            <w:tcW w:w="375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Consumo efetivo dos 12 meses anteriores</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Mesma regra, de 25/08/2024 a 24/08/2025</w:t>
            </w:r>
          </w:p>
        </w:tc>
      </w:tr>
      <w:tr>
        <w:trPr>
          <w:cantSplit/>
        </w:trPr>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Variação do Consumo</w:t>
            </w:r>
          </w:p>
        </w:tc>
        <w:tc>
          <w:tcPr>
            <w:tcW w:w="375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Crescimento ou queda do consumo</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(Atual − anterior) ÷ anterior</w:t>
            </w:r>
          </w:p>
        </w:tc>
      </w:tr>
      <w:tr>
        <w:trPr>
          <w:cantSplit/>
        </w:trPr>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Cobertura (meses)</w:t>
            </w:r>
          </w:p>
        </w:tc>
        <w:tc>
          <w:tcPr>
            <w:tcW w:w="3759"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Por quantos meses o saldo atende o consumo</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Saldo ÷ consumo médio mensal</w:t>
            </w:r>
          </w:p>
        </w:tc>
      </w:tr>
      <w:tr>
        <w:trPr>
          <w:cantSplit/>
        </w:trPr>
        <w:tc>
          <w:tcPr>
            <w:tcW w:w="2654"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Situação</w:t>
            </w:r>
          </w:p>
        </w:tc>
        <w:tc>
          <w:tcPr>
            <w:tcW w:w="3759"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Ruptura, risco, adequado, excesso ou sem consumo</w:t>
            </w:r>
          </w:p>
        </w:tc>
        <w:tc>
          <w:tcPr>
            <w:tcW w:w="2875"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Status Estoque do material</w:t>
            </w:r>
          </w:p>
        </w:tc>
      </w:tr>
    </w:tbl>
    <w:p>
      <w:pPr>
        <w:spacing w:before="60"/>
        <w:ind w:firstLine="0"/>
      </w:pPr>
      <w:r>
        <w:rPr>
          <w:sz w:val="18"/>
          <w:szCs w:val="18"/>
        </w:rPr>
        <w:t xml:space="preserve">Fonte: elaborado pelos autores (2026).</w:t>
      </w:r>
    </w:p>
    <w:p>
      <w:pPr>
        <w:ind w:left="567" w:hanging="283" w:firstLine="0"/>
      </w:pPr>
      <w:r>
        <w:t xml:space="preserve">• </w:t>
      </w:r>
      <w:r>
        <w:rPr>
          <w:b/>
        </w:rPr>
        <w:t xml:space="preserve">Saldo do Material Mês a Mês:</w:t>
      </w:r>
      <w:r>
        <w:t xml:space="preserve"> saldo reconstruído no fim de cada mês desde janeiro de 2021;</w:t>
      </w:r>
    </w:p>
    <w:p>
      <w:pPr>
        <w:ind w:left="567" w:hanging="283" w:firstLine="0"/>
      </w:pPr>
      <w:r>
        <w:t xml:space="preserve">• </w:t>
      </w:r>
      <w:r>
        <w:rPr>
          <w:b/>
        </w:rPr>
        <w:t xml:space="preserve">Entradas, Saídas e Consumo por Mês:</w:t>
      </w:r>
      <w:r>
        <w:t xml:space="preserve"> colunas mensais em quantidade, com filtro de ano;</w:t>
      </w:r>
    </w:p>
    <w:p>
      <w:pPr>
        <w:ind w:left="567" w:hanging="283" w:firstLine="0"/>
      </w:pPr>
      <w:r>
        <w:t xml:space="preserve">• </w:t>
      </w:r>
      <w:r>
        <w:rPr>
          <w:b/>
        </w:rPr>
        <w:t xml:space="preserve">Comparativo Anual:</w:t>
      </w:r>
      <w:r>
        <w:t xml:space="preserve"> entradas e consumo efetivo de cada ano, para comparar os períodos;</w:t>
      </w:r>
    </w:p>
    <w:p>
      <w:pPr>
        <w:ind w:left="567" w:hanging="283" w:firstLine="0"/>
      </w:pPr>
      <w:r>
        <w:t xml:space="preserve">• </w:t>
      </w:r>
      <w:r>
        <w:rPr>
          <w:b/>
        </w:rPr>
        <w:t xml:space="preserve">Movimentações do Material (RES82):</w:t>
      </w:r>
      <w:r>
        <w:t xml:space="preserve"> lista de todos os lançamentos do material com data, documento, tipo de movimentação, categoria e quantidade, o que permite rastrear a origem de cada número.</w:t>
      </w:r>
    </w:p>
    <w:p>
      <w:r>
        <w:t xml:space="preserve">Como exemplo, o óleo diesel (Código CPTM 10527) teve 402 requisições nos últimos 12 meses e as botas de segurança (códigos 2106 a 2111) aparecem entre os itens com mais movimentações, o que torna esses materiais bons exemplos para demonstrar a página.</w:t>
      </w:r>
    </w:p>
    <w:p>
      <w:pPr>
        <w:pStyle w:val="Heading2"/>
      </w:pPr>
      <w:r>
        <w:t xml:space="preserve">Página 6 – Reposição</w:t>
      </w:r>
    </w:p>
    <w:p>
      <w:r>
        <w:t xml:space="preserve">Esta página substitui a primeira versão construída sobre a RES43 e responde à questão "há gargalos no processo de reposição?" (Figura 6). A RES43 lista os materiais que atingiram o ponto de reposição segundo os parâmetros explicados pela CPTM: Normal e Estratégico usam a PCA, Essencial usa o consumo histórico, e todos consideram saldo insuficiente para 12 meses e compra para 12 meses. Como a RES43 repete alguns materiais em mais de uma linha, as medidas somam o valor máximo de cada material, para não contar o mesmo item duas vezes.</w:t>
      </w:r>
    </w:p>
    <w:p>
      <w:pPr>
        <w:pBdr>
          <w:top w:val="single" w:sz="6" w:space="8" w:color="A6A6A6"/>
          <w:left w:val="single" w:sz="6" w:space="8" w:color="A6A6A6"/>
          <w:bottom w:val="single" w:sz="6" w:space="8" w:color="A6A6A6"/>
          <w:right w:val="single" w:sz="6" w:space="8" w:color="A6A6A6"/>
        </w:pBdr>
        <w:spacing w:before="240" w:after="240"/>
        <w:ind w:firstLine="0"/>
        <w:jc w:val="center"/>
      </w:pPr>
      <w:r>
        <w:rPr>
          <w:i/>
          <w:color w:val="808080"/>
        </w:rPr>
        <w:t xml:space="preserve">[Inserir aqui o print da página: Reposição]</w:t>
      </w:r>
    </w:p>
    <w:p>
      <w:pPr>
        <w:pStyle w:val="Caption"/>
        <w:keepNext/>
      </w:pPr>
      <w:r>
        <w:t xml:space="preserve">Figura </w:t>
      </w:r>
      <w:r>
        <w:fldChar w:fldCharType="begin"/>
      </w:r>
      <w:r>
        <w:instrText xml:space="preserve"> SEQ Figura \* ARABIC </w:instrText>
      </w:r>
      <w:r>
        <w:fldChar w:fldCharType="separate"/>
      </w:r>
      <w:r>
        <w:rPr>
          <w:noProof/>
        </w:rPr>
        <w:t>6</w:t>
      </w:r>
      <w:r>
        <w:fldChar w:fldCharType="end"/>
      </w:r>
      <w:r>
        <w:t xml:space="preserve"> – Página Reposição</w:t>
      </w:r>
    </w:p>
    <w:p>
      <w:pPr>
        <w:ind w:firstLine="0"/>
        <w:jc w:val="center"/>
      </w:pPr>
      <w:r>
        <w:rPr>
          <w:sz w:val="18"/>
          <w:szCs w:val="18"/>
        </w:rPr>
        <w:t xml:space="preserve">Fonte: elaborado pelos autores no Power BI (2026).</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Quantidade Necessária p/ Compra =</w:t>
      </w:r>
    </w:p>
    <w:p>
      <w:pPr>
        <w:keepNext/>
        <w:shd w:val="clear" w:color="auto" w:fill="F2F2F2"/>
        <w:spacing w:before="0" w:after="0" w:line="240" w:lineRule="auto"/>
        <w:ind w:left="284" w:firstLine="0"/>
        <w:jc w:val="left"/>
      </w:pPr>
      <w:r>
        <w:rPr>
          <w:rFonts w:ascii="Consolas" w:hAnsi="Consolas" w:cs="Consolas"/>
          <w:sz w:val="17"/>
          <w:szCs w:val="17"/>
        </w:rPr>
        <w:t xml:space="preserve">SUMX ( VALUES ( RES43_20260824[CPTM] ), CALCULATE ( MAX ( RES43_20260824[Quantidade Necessária p/ Compra] ) )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Materiais na Etapa =</w:t>
      </w:r>
    </w:p>
    <w:p>
      <w:pPr>
        <w:keepNext/>
        <w:shd w:val="clear" w:color="auto" w:fill="F2F2F2"/>
        <w:spacing w:before="0" w:after="0" w:line="240" w:lineRule="auto"/>
        <w:ind w:left="284" w:firstLine="0"/>
        <w:jc w:val="left"/>
      </w:pPr>
      <w:r>
        <w:rPr>
          <w:rFonts w:ascii="Consolas" w:hAnsi="Consolas" w:cs="Consolas"/>
          <w:sz w:val="17"/>
          <w:szCs w:val="17"/>
        </w:rPr>
        <w:t xml:space="preserve">SWITCH (</w:t>
      </w:r>
    </w:p>
    <w:p>
      <w:pPr>
        <w:keepNext/>
        <w:shd w:val="clear" w:color="auto" w:fill="F2F2F2"/>
        <w:spacing w:before="0" w:after="0" w:line="240" w:lineRule="auto"/>
        <w:ind w:left="524" w:firstLine="0"/>
        <w:jc w:val="left"/>
      </w:pPr>
      <w:r>
        <w:rPr>
          <w:rFonts w:ascii="Consolas" w:hAnsi="Consolas" w:cs="Consolas"/>
          <w:sz w:val="17"/>
          <w:szCs w:val="17"/>
        </w:rPr>
        <w:t xml:space="preserve">SELECTEDVALUE ( dEtapa[Ordem] ),</w:t>
      </w:r>
    </w:p>
    <w:p>
      <w:pPr>
        <w:keepNext/>
        <w:shd w:val="clear" w:color="auto" w:fill="F2F2F2"/>
        <w:spacing w:before="0" w:after="0" w:line="240" w:lineRule="auto"/>
        <w:ind w:left="524" w:firstLine="0"/>
        <w:jc w:val="left"/>
      </w:pPr>
      <w:r>
        <w:rPr>
          <w:rFonts w:ascii="Consolas" w:hAnsi="Consolas" w:cs="Consolas"/>
          <w:sz w:val="17"/>
          <w:szCs w:val="17"/>
        </w:rPr>
        <w:t xml:space="preserve">1, COUNTROWS ( FILTER ( VALUES ( RES43_20260824[CPTM] ), CALCULATE ( MAX ( RES43_20260824[Quantidade Necessária p/ Compra] ) ) &gt; 0 ) ),</w:t>
      </w:r>
    </w:p>
    <w:p>
      <w:pPr>
        <w:keepNext/>
        <w:shd w:val="clear" w:color="auto" w:fill="F2F2F2"/>
        <w:spacing w:before="0" w:after="0" w:line="240" w:lineRule="auto"/>
        <w:ind w:left="524" w:firstLine="0"/>
        <w:jc w:val="left"/>
      </w:pPr>
      <w:r>
        <w:rPr>
          <w:rFonts w:ascii="Consolas" w:hAnsi="Consolas" w:cs="Consolas"/>
          <w:sz w:val="17"/>
          <w:szCs w:val="17"/>
        </w:rPr>
        <w:t xml:space="preserve">2, COUNTROWS ( FILTER ( VALUES ( RES43_20260824[CPTM] ), CALCULATE ( MAX ( RES43_20260824[RMs Aberta] ) ) &gt; 0 ) ),</w:t>
      </w:r>
    </w:p>
    <w:p>
      <w:pPr>
        <w:keepNext/>
        <w:shd w:val="clear" w:color="auto" w:fill="F2F2F2"/>
        <w:spacing w:before="0" w:after="0" w:line="240" w:lineRule="auto"/>
        <w:ind w:left="524" w:firstLine="0"/>
        <w:jc w:val="left"/>
      </w:pPr>
      <w:r>
        <w:rPr>
          <w:rFonts w:ascii="Consolas" w:hAnsi="Consolas" w:cs="Consolas"/>
          <w:sz w:val="17"/>
          <w:szCs w:val="17"/>
        </w:rPr>
        <w:t xml:space="preserve">3, COUNTROWS ( FILTER ( VALUES ( RES43_20260824[CPTM] ), CALCULATE ( MAX ( RES43_20260824[SCs Provisórias] ) ) &gt; 0 ) ),</w:t>
      </w:r>
    </w:p>
    <w:p>
      <w:pPr>
        <w:keepNext/>
        <w:shd w:val="clear" w:color="auto" w:fill="F2F2F2"/>
        <w:spacing w:before="0" w:after="0" w:line="240" w:lineRule="auto"/>
        <w:ind w:left="524" w:firstLine="0"/>
        <w:jc w:val="left"/>
      </w:pPr>
      <w:r>
        <w:rPr>
          <w:rFonts w:ascii="Consolas" w:hAnsi="Consolas" w:cs="Consolas"/>
          <w:sz w:val="17"/>
          <w:szCs w:val="17"/>
        </w:rPr>
        <w:t xml:space="preserve">4, COUNTROWS ( FILTER ( VALUES ( RES43_20260824[CPTM] ), CALCULATE ( MAX ( RES43_20260824[Qtd. Contratada] ) ) &gt; 0 ) ),</w:t>
      </w:r>
    </w:p>
    <w:p>
      <w:pPr>
        <w:keepNext/>
        <w:shd w:val="clear" w:color="auto" w:fill="F2F2F2"/>
        <w:spacing w:before="0" w:after="0" w:line="240" w:lineRule="auto"/>
        <w:ind w:left="524" w:firstLine="0"/>
        <w:jc w:val="left"/>
      </w:pPr>
      <w:r>
        <w:rPr>
          <w:rFonts w:ascii="Consolas" w:hAnsi="Consolas" w:cs="Consolas"/>
          <w:sz w:val="17"/>
          <w:szCs w:val="17"/>
        </w:rPr>
        <w:t xml:space="preserve">5, COUNTROWS ( FILTER ( VALUES ( RES43_20260824[CPTM] ), CALCULATE ( MAX ( RES43_20260824[OFs a Entregar] ) ) &gt; 0 ) )</w:t>
      </w:r>
    </w:p>
    <w:p>
      <w:pPr>
        <w:keepNext/>
        <w:shd w:val="clear" w:color="auto" w:fill="F2F2F2"/>
        <w:spacing w:before="0" w:after="0" w:line="240" w:lineRule="auto"/>
        <w:ind w:left="284" w:firstLine="0"/>
        <w:jc w:val="left"/>
      </w:pPr>
      <w:r>
        <w:rPr>
          <w:rFonts w:ascii="Consolas" w:hAnsi="Consolas" w:cs="Consolas"/>
          <w:sz w:val="17"/>
          <w:szCs w:val="17"/>
        </w:rPr>
        <w:t xml:space="preserve">)</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Etapa do Processo =</w:t>
      </w:r>
    </w:p>
    <w:p>
      <w:pPr>
        <w:keepNext/>
        <w:shd w:val="clear" w:color="auto" w:fill="F2F2F2"/>
        <w:spacing w:before="0" w:after="0" w:line="240" w:lineRule="auto"/>
        <w:ind w:left="284" w:firstLine="0"/>
        <w:jc w:val="left"/>
      </w:pPr>
      <w:r>
        <w:rPr>
          <w:rFonts w:ascii="Consolas" w:hAnsi="Consolas" w:cs="Consolas"/>
          <w:sz w:val="17"/>
          <w:szCs w:val="17"/>
        </w:rPr>
        <w:t xml:space="preserve">VAR rm = CALCULATE ( MAX ( RES43_20260824[RMs Aberta] ) )</w:t>
      </w:r>
    </w:p>
    <w:p>
      <w:pPr>
        <w:keepNext/>
        <w:shd w:val="clear" w:color="auto" w:fill="F2F2F2"/>
        <w:spacing w:before="0" w:after="0" w:line="240" w:lineRule="auto"/>
        <w:ind w:left="284" w:firstLine="0"/>
        <w:jc w:val="left"/>
      </w:pPr>
      <w:r>
        <w:rPr>
          <w:rFonts w:ascii="Consolas" w:hAnsi="Consolas" w:cs="Consolas"/>
          <w:sz w:val="17"/>
          <w:szCs w:val="17"/>
        </w:rPr>
        <w:t xml:space="preserve">VAR sc = CALCULATE ( MAX ( RES43_20260824[SCs Provisórias] ) )</w:t>
      </w:r>
    </w:p>
    <w:p>
      <w:pPr>
        <w:keepNext/>
        <w:shd w:val="clear" w:color="auto" w:fill="F2F2F2"/>
        <w:spacing w:before="0" w:after="0" w:line="240" w:lineRule="auto"/>
        <w:ind w:left="284" w:firstLine="0"/>
        <w:jc w:val="left"/>
      </w:pPr>
      <w:r>
        <w:rPr>
          <w:rFonts w:ascii="Consolas" w:hAnsi="Consolas" w:cs="Consolas"/>
          <w:sz w:val="17"/>
          <w:szCs w:val="17"/>
        </w:rPr>
        <w:t xml:space="preserve">VAR ct = CALCULATE ( MAX ( RES43_20260824[Qtd. Contratada] ) )</w:t>
      </w:r>
    </w:p>
    <w:p>
      <w:pPr>
        <w:keepNext/>
        <w:shd w:val="clear" w:color="auto" w:fill="F2F2F2"/>
        <w:spacing w:before="0" w:after="0" w:line="240" w:lineRule="auto"/>
        <w:ind w:left="284" w:firstLine="0"/>
        <w:jc w:val="left"/>
      </w:pPr>
      <w:r>
        <w:rPr>
          <w:rFonts w:ascii="Consolas" w:hAnsi="Consolas" w:cs="Consolas"/>
          <w:sz w:val="17"/>
          <w:szCs w:val="17"/>
        </w:rPr>
        <w:t xml:space="preserve">VAR ofe = CALCULATE ( MAX ( RES43_20260824[OFs a Entregar] ) )</w:t>
      </w:r>
    </w:p>
    <w:p>
      <w:pPr>
        <w:keepNext/>
        <w:shd w:val="clear" w:color="auto" w:fill="F2F2F2"/>
        <w:spacing w:before="0" w:after="0" w:line="240" w:lineRule="auto"/>
        <w:ind w:left="284" w:firstLine="0"/>
        <w:jc w:val="left"/>
      </w:pPr>
      <w:r>
        <w:rPr>
          <w:rFonts w:ascii="Consolas" w:hAnsi="Consolas" w:cs="Consolas"/>
          <w:sz w:val="17"/>
          <w:szCs w:val="17"/>
        </w:rPr>
        <w:t xml:space="preserve">VAR nec = CALCULATE ( MAX ( RES43_20260824[Quantidade Necessária p/ Compra] ) )</w:t>
      </w:r>
    </w:p>
    <w:p>
      <w:pPr>
        <w:keepNext/>
        <w:shd w:val="clear" w:color="auto" w:fill="F2F2F2"/>
        <w:spacing w:before="0" w:after="0" w:line="240" w:lineRule="auto"/>
        <w:ind w:left="284" w:firstLine="0"/>
        <w:jc w:val="left"/>
      </w:pPr>
      <w:r>
        <w:rPr>
          <w:rFonts w:ascii="Consolas" w:hAnsi="Consolas" w:cs="Consolas"/>
          <w:sz w:val="17"/>
          <w:szCs w:val="17"/>
        </w:rPr>
        <w:t xml:space="preserve">RETURN</w:t>
      </w:r>
    </w:p>
    <w:p>
      <w:pPr>
        <w:keepNext/>
        <w:shd w:val="clear" w:color="auto" w:fill="F2F2F2"/>
        <w:spacing w:before="0" w:after="0" w:line="240" w:lineRule="auto"/>
        <w:ind w:left="524" w:firstLine="0"/>
        <w:jc w:val="left"/>
      </w:pPr>
      <w:r>
        <w:rPr>
          <w:rFonts w:ascii="Consolas" w:hAnsi="Consolas" w:cs="Consolas"/>
          <w:sz w:val="17"/>
          <w:szCs w:val="17"/>
        </w:rPr>
        <w:t xml:space="preserve">SWITCH (</w:t>
      </w:r>
    </w:p>
    <w:p>
      <w:pPr>
        <w:keepNext/>
        <w:shd w:val="clear" w:color="auto" w:fill="F2F2F2"/>
        <w:spacing w:before="0" w:after="0" w:line="240" w:lineRule="auto"/>
        <w:ind w:left="764" w:firstLine="0"/>
        <w:jc w:val="left"/>
      </w:pPr>
      <w:r>
        <w:rPr>
          <w:rFonts w:ascii="Consolas" w:hAnsi="Consolas" w:cs="Consolas"/>
          <w:sz w:val="17"/>
          <w:szCs w:val="17"/>
        </w:rPr>
        <w:t xml:space="preserve">TRUE (),</w:t>
      </w:r>
    </w:p>
    <w:p>
      <w:pPr>
        <w:keepNext/>
        <w:shd w:val="clear" w:color="auto" w:fill="F2F2F2"/>
        <w:spacing w:before="0" w:after="0" w:line="240" w:lineRule="auto"/>
        <w:ind w:left="764" w:firstLine="0"/>
        <w:jc w:val="left"/>
      </w:pPr>
      <w:r>
        <w:rPr>
          <w:rFonts w:ascii="Consolas" w:hAnsi="Consolas" w:cs="Consolas"/>
          <w:sz w:val="17"/>
          <w:szCs w:val="17"/>
        </w:rPr>
        <w:t xml:space="preserve">ofe &gt; 0, "OF a entregar",</w:t>
      </w:r>
    </w:p>
    <w:p>
      <w:pPr>
        <w:keepNext/>
        <w:shd w:val="clear" w:color="auto" w:fill="F2F2F2"/>
        <w:spacing w:before="0" w:after="0" w:line="240" w:lineRule="auto"/>
        <w:ind w:left="764" w:firstLine="0"/>
        <w:jc w:val="left"/>
      </w:pPr>
      <w:r>
        <w:rPr>
          <w:rFonts w:ascii="Consolas" w:hAnsi="Consolas" w:cs="Consolas"/>
          <w:sz w:val="17"/>
          <w:szCs w:val="17"/>
        </w:rPr>
        <w:t xml:space="preserve">ct &gt; 0, "Em contratação",</w:t>
      </w:r>
    </w:p>
    <w:p>
      <w:pPr>
        <w:keepNext/>
        <w:shd w:val="clear" w:color="auto" w:fill="F2F2F2"/>
        <w:spacing w:before="0" w:after="0" w:line="240" w:lineRule="auto"/>
        <w:ind w:left="764" w:firstLine="0"/>
        <w:jc w:val="left"/>
      </w:pPr>
      <w:r>
        <w:rPr>
          <w:rFonts w:ascii="Consolas" w:hAnsi="Consolas" w:cs="Consolas"/>
          <w:sz w:val="17"/>
          <w:szCs w:val="17"/>
        </w:rPr>
        <w:t xml:space="preserve">sc &gt; 0, "SC provisória",</w:t>
      </w:r>
    </w:p>
    <w:p>
      <w:pPr>
        <w:keepNext/>
        <w:shd w:val="clear" w:color="auto" w:fill="F2F2F2"/>
        <w:spacing w:before="0" w:after="0" w:line="240" w:lineRule="auto"/>
        <w:ind w:left="764" w:firstLine="0"/>
        <w:jc w:val="left"/>
      </w:pPr>
      <w:r>
        <w:rPr>
          <w:rFonts w:ascii="Consolas" w:hAnsi="Consolas" w:cs="Consolas"/>
          <w:sz w:val="17"/>
          <w:szCs w:val="17"/>
        </w:rPr>
        <w:t xml:space="preserve">rm &gt; 0, "RM aberta",</w:t>
      </w:r>
    </w:p>
    <w:p>
      <w:pPr>
        <w:keepNext/>
        <w:shd w:val="clear" w:color="auto" w:fill="F2F2F2"/>
        <w:spacing w:before="0" w:after="0" w:line="240" w:lineRule="auto"/>
        <w:ind w:left="764" w:firstLine="0"/>
        <w:jc w:val="left"/>
      </w:pPr>
      <w:r>
        <w:rPr>
          <w:rFonts w:ascii="Consolas" w:hAnsi="Consolas" w:cs="Consolas"/>
          <w:sz w:val="17"/>
          <w:szCs w:val="17"/>
        </w:rPr>
        <w:t xml:space="preserve">nec &gt; 0, "Sem processo iniciado",</w:t>
      </w:r>
    </w:p>
    <w:p>
      <w:pPr>
        <w:keepNext/>
        <w:shd w:val="clear" w:color="auto" w:fill="F2F2F2"/>
        <w:spacing w:before="0" w:after="0" w:line="240" w:lineRule="auto"/>
        <w:ind w:left="764" w:firstLine="0"/>
        <w:jc w:val="left"/>
      </w:pPr>
      <w:r>
        <w:rPr>
          <w:rFonts w:ascii="Consolas" w:hAnsi="Consolas" w:cs="Consolas"/>
          <w:sz w:val="17"/>
          <w:szCs w:val="17"/>
        </w:rPr>
        <w:t xml:space="preserve">BLANK ()</w:t>
      </w:r>
    </w:p>
    <w:p>
      <w:pPr>
        <w:keepNext/>
        <w:shd w:val="clear" w:color="auto" w:fill="F2F2F2"/>
        <w:spacing w:before="0" w:after="0" w:line="240" w:lineRule="auto"/>
        <w:ind w:left="524" w:firstLine="0"/>
        <w:jc w:val="left"/>
      </w:pPr>
      <w:r>
        <w:rPr>
          <w:rFonts w:ascii="Consolas" w:hAnsi="Consolas" w:cs="Consolas"/>
          <w:sz w:val="17"/>
          <w:szCs w:val="17"/>
        </w:rPr>
        <w:t xml:space="preserve">)</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Cobertura com Pedidos (meses) =</w:t>
      </w:r>
    </w:p>
    <w:p>
      <w:pPr>
        <w:keepNext/>
        <w:shd w:val="clear" w:color="auto" w:fill="F2F2F2"/>
        <w:spacing w:before="0" w:after="0" w:line="240" w:lineRule="auto"/>
        <w:ind w:left="284" w:firstLine="0"/>
        <w:jc w:val="left"/>
      </w:pPr>
      <w:r>
        <w:rPr>
          <w:rFonts w:ascii="Consolas" w:hAnsi="Consolas" w:cs="Consolas"/>
          <w:sz w:val="17"/>
          <w:szCs w:val="17"/>
        </w:rPr>
        <w:t xml:space="preserve">VAR saldo = SUMX ( VALUES ( RES43_20260824[CPTM] ), CALCULATE ( MAX ( RES43_20260824[Saldo] ) ) )</w:t>
      </w:r>
    </w:p>
    <w:p>
      <w:pPr>
        <w:keepNext/>
        <w:shd w:val="clear" w:color="auto" w:fill="F2F2F2"/>
        <w:spacing w:before="0" w:after="0" w:line="240" w:lineRule="auto"/>
        <w:ind w:left="284" w:firstLine="0"/>
        <w:jc w:val="left"/>
      </w:pPr>
      <w:r>
        <w:rPr>
          <w:rFonts w:ascii="Consolas" w:hAnsi="Consolas" w:cs="Consolas"/>
          <w:sz w:val="17"/>
          <w:szCs w:val="17"/>
        </w:rPr>
        <w:t xml:space="preserve">VAR pedidos = [OFs a Entregar] + [Contratações em Andamento]</w:t>
      </w:r>
    </w:p>
    <w:p>
      <w:pPr>
        <w:keepNext/>
        <w:shd w:val="clear" w:color="auto" w:fill="F2F2F2"/>
        <w:spacing w:before="0" w:after="0" w:line="240" w:lineRule="auto"/>
        <w:ind w:left="284" w:firstLine="0"/>
        <w:jc w:val="left"/>
      </w:pPr>
      <w:r>
        <w:rPr>
          <w:rFonts w:ascii="Consolas" w:hAnsi="Consolas" w:cs="Consolas"/>
          <w:sz w:val="17"/>
          <w:szCs w:val="17"/>
        </w:rPr>
        <w:t xml:space="preserve">RETURN DIVIDE ( saldo + pedidos, [Consumo Médio Mensal] )</w:t>
      </w:r>
    </w:p>
    <w:p>
      <w:pPr>
        <w:spacing w:before="0" w:after="60"/>
      </w:pPr>
    </w:p>
    <w:p>
      <w:pPr>
        <w:pStyle w:val="Caption"/>
        <w:keepNext/>
      </w:pPr>
      <w:r>
        <w:t xml:space="preserve">Tabela </w:t>
      </w:r>
      <w:r>
        <w:fldChar w:fldCharType="begin"/>
      </w:r>
      <w:r>
        <w:instrText xml:space="preserve"> SEQ Tabela \* ARABIC </w:instrText>
      </w:r>
      <w:r>
        <w:fldChar w:fldCharType="separate"/>
      </w:r>
      <w:r>
        <w:rPr>
          <w:noProof/>
        </w:rPr>
        <w:t>11</w:t>
      </w:r>
      <w:r>
        <w:fldChar w:fldCharType="end"/>
      </w:r>
      <w:r>
        <w:t xml:space="preserve"> – Cards da página Reposição</w:t>
      </w:r>
    </w:p>
    <w:tbl>
      <w:tblPr>
        <w:tblW w:w="9289" w:type="dxa"/>
        <w:tblLayout w:type="fixed"/>
        <w:tblLook w:val="04A0" w:firstRow="1" w:lastRow="0" w:firstColumn="1" w:lastColumn="0" w:noHBand="0" w:noVBand="1"/>
      </w:tblPr>
      <w:tblGrid>
        <w:gridCol w:w="2433"/>
        <w:gridCol w:w="3096"/>
        <w:gridCol w:w="2654"/>
        <w:gridCol w:w="1106"/>
      </w:tblGrid>
      <w:tr>
        <w:trPr>
          <w:tblHeader/>
          <w:cantSplit/>
        </w:trPr>
        <w:tc>
          <w:tcPr>
            <w:tcW w:w="2433"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Card</w:t>
            </w:r>
          </w:p>
        </w:tc>
        <w:tc>
          <w:tcPr>
            <w:tcW w:w="3096"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O que mostra</w:t>
            </w:r>
          </w:p>
        </w:tc>
        <w:tc>
          <w:tcPr>
            <w:tcW w:w="2654"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Cálculo</w:t>
            </w:r>
          </w:p>
        </w:tc>
        <w:tc>
          <w:tcPr>
            <w:tcW w:w="1106"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Valor</w:t>
            </w:r>
          </w:p>
        </w:tc>
      </w:tr>
      <w:tr>
        <w:trPr>
          <w:cantSplit/>
        </w:trPr>
        <w:tc>
          <w:tcPr>
            <w:tcW w:w="243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no Ponto de Reposição</w:t>
            </w:r>
          </w:p>
        </w:tc>
        <w:tc>
          <w:tcPr>
            <w:tcW w:w="309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listados na RES43</w:t>
            </w:r>
          </w:p>
        </w:tc>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DISTINCTCOUNT(RES43[CPTM])</w:t>
            </w:r>
          </w:p>
        </w:tc>
        <w:tc>
          <w:tcPr>
            <w:tcW w:w="110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681</w:t>
            </w:r>
          </w:p>
        </w:tc>
      </w:tr>
      <w:tr>
        <w:trPr>
          <w:cantSplit/>
        </w:trPr>
        <w:tc>
          <w:tcPr>
            <w:tcW w:w="243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Valor Previsto de Compra (R$)</w:t>
            </w:r>
          </w:p>
        </w:tc>
        <w:tc>
          <w:tcPr>
            <w:tcW w:w="309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Valor estimado das compras necessárias</w:t>
            </w:r>
          </w:p>
        </w:tc>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Soma do Previsão $ por material</w:t>
            </w:r>
          </w:p>
        </w:tc>
        <w:tc>
          <w:tcPr>
            <w:tcW w:w="110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R$ 10,6 mi</w:t>
            </w:r>
          </w:p>
        </w:tc>
      </w:tr>
      <w:tr>
        <w:trPr>
          <w:cantSplit/>
        </w:trPr>
        <w:tc>
          <w:tcPr>
            <w:tcW w:w="243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Prioritários</w:t>
            </w:r>
          </w:p>
        </w:tc>
        <w:tc>
          <w:tcPr>
            <w:tcW w:w="309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marcados como prioritários</w:t>
            </w:r>
          </w:p>
        </w:tc>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com Prior. = Sim</w:t>
            </w:r>
          </w:p>
        </w:tc>
        <w:tc>
          <w:tcPr>
            <w:tcW w:w="110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190</w:t>
            </w:r>
          </w:p>
        </w:tc>
      </w:tr>
      <w:tr>
        <w:trPr>
          <w:cantSplit/>
        </w:trPr>
        <w:tc>
          <w:tcPr>
            <w:tcW w:w="243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Sem Processo de Compra Iniciado</w:t>
            </w:r>
          </w:p>
        </w:tc>
        <w:tc>
          <w:tcPr>
            <w:tcW w:w="309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Precisam de compra e não têm RM, SC, contratação nem OF</w:t>
            </w:r>
          </w:p>
        </w:tc>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com Etapa = Sem processo iniciado</w:t>
            </w:r>
          </w:p>
        </w:tc>
        <w:tc>
          <w:tcPr>
            <w:tcW w:w="110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471</w:t>
            </w:r>
          </w:p>
        </w:tc>
      </w:tr>
      <w:tr>
        <w:trPr>
          <w:cantSplit/>
        </w:trPr>
        <w:tc>
          <w:tcPr>
            <w:tcW w:w="2433"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Já em Ruptura</w:t>
            </w:r>
          </w:p>
        </w:tc>
        <w:tc>
          <w:tcPr>
            <w:tcW w:w="309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da lista que já estão sem saldo e com consumo</w:t>
            </w:r>
          </w:p>
        </w:tc>
        <w:tc>
          <w:tcPr>
            <w:tcW w:w="2654"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Status Estoque = Ruptura</w:t>
            </w:r>
          </w:p>
        </w:tc>
        <w:tc>
          <w:tcPr>
            <w:tcW w:w="110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55</w:t>
            </w:r>
          </w:p>
        </w:tc>
      </w:tr>
      <w:tr>
        <w:trPr>
          <w:cantSplit/>
        </w:trPr>
        <w:tc>
          <w:tcPr>
            <w:tcW w:w="2433"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Cobertura com Pedidos (meses)</w:t>
            </w:r>
          </w:p>
        </w:tc>
        <w:tc>
          <w:tcPr>
            <w:tcW w:w="3096"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Cobertura contando o que já está a caminho</w:t>
            </w:r>
          </w:p>
        </w:tc>
        <w:tc>
          <w:tcPr>
            <w:tcW w:w="2654"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(Saldo + OFs + contratado) ÷ consumo médio mensal</w:t>
            </w:r>
          </w:p>
        </w:tc>
        <w:tc>
          <w:tcPr>
            <w:tcW w:w="1106"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37,0</w:t>
            </w:r>
          </w:p>
        </w:tc>
      </w:tr>
    </w:tbl>
    <w:p>
      <w:pPr>
        <w:spacing w:before="60"/>
        <w:ind w:firstLine="0"/>
      </w:pPr>
      <w:r>
        <w:rPr>
          <w:sz w:val="18"/>
          <w:szCs w:val="18"/>
        </w:rPr>
        <w:t xml:space="preserve">Fonte: elaborado pelos autores (2026).</w:t>
      </w:r>
    </w:p>
    <w:p>
      <w:pPr>
        <w:ind w:left="567" w:hanging="283" w:firstLine="0"/>
      </w:pPr>
      <w:r>
        <w:t xml:space="preserve">• </w:t>
      </w:r>
      <w:r>
        <w:rPr>
          <w:b/>
        </w:rPr>
        <w:t xml:space="preserve">Funil do Processo de Compra:</w:t>
      </w:r>
      <w:r>
        <w:t xml:space="preserve"> quantidade de materiais em cada etapa: necessidade de compra (559), RM aberta (40), SC provisória (23), em contratação (35) e OF a entregar (10). O funil mostra que a grande maioria dos materiais que precisam de compra ainda não entrou no processo;</w:t>
      </w:r>
    </w:p>
    <w:p>
      <w:pPr>
        <w:ind w:left="567" w:hanging="283" w:firstLine="0"/>
      </w:pPr>
      <w:r>
        <w:t xml:space="preserve">• </w:t>
      </w:r>
      <w:r>
        <w:rPr>
          <w:b/>
        </w:rPr>
        <w:t xml:space="preserve">Valor Previsto de Compra por Centro de Controle (Top 10):</w:t>
      </w:r>
      <w:r>
        <w:t xml:space="preserve"> onde se concentra o valor das compras necessárias;</w:t>
      </w:r>
    </w:p>
    <w:p>
      <w:pPr>
        <w:ind w:left="567" w:hanging="283" w:firstLine="0"/>
      </w:pPr>
      <w:r>
        <w:t xml:space="preserve">• </w:t>
      </w:r>
      <w:r>
        <w:rPr>
          <w:b/>
        </w:rPr>
        <w:t xml:space="preserve">Materiais para Reposição:</w:t>
      </w:r>
      <w:r>
        <w:t xml:space="preserve"> tabela com saldo, consumo médio, PCA, cobertura atual, cobertura com pedidos, quantidade e valor a comprar e a etapa do processo, colorida (vermelho para sem processo, laranja para RM, cinza para SC, azul para contratação e verde para OF), ordenada pelo maior valor;</w:t>
      </w:r>
    </w:p>
    <w:p>
      <w:pPr>
        <w:ind w:left="567" w:hanging="283" w:firstLine="0"/>
      </w:pPr>
      <w:r>
        <w:t xml:space="preserve">• </w:t>
      </w:r>
      <w:r>
        <w:rPr>
          <w:b/>
        </w:rPr>
        <w:t xml:space="preserve">Filtro de Prioridade:</w:t>
      </w:r>
      <w:r>
        <w:t xml:space="preserve"> permite ver apenas os materiais marcados como prioritários.</w:t>
      </w:r>
    </w:p>
    <w:p>
      <w:pPr>
        <w:pStyle w:val="Heading2"/>
      </w:pPr>
      <w:r>
        <w:t xml:space="preserve">Página 7 – Obsolescência</w:t>
      </w:r>
    </w:p>
    <w:p>
      <w:r>
        <w:t xml:space="preserve">Esta página substitui a primeira versão construída sobre a RES34 e atende ao alerta de estoque parado e ao risco de obsolescência (Figura 7). Ela tem um filtro de almoxarifado com busca, já que a RES34 é a base que traz o saldo por almoxarifado.</w:t>
      </w:r>
    </w:p>
    <w:p>
      <w:pPr>
        <w:pBdr>
          <w:top w:val="single" w:sz="6" w:space="8" w:color="A6A6A6"/>
          <w:left w:val="single" w:sz="6" w:space="8" w:color="A6A6A6"/>
          <w:bottom w:val="single" w:sz="6" w:space="8" w:color="A6A6A6"/>
          <w:right w:val="single" w:sz="6" w:space="8" w:color="A6A6A6"/>
        </w:pBdr>
        <w:spacing w:before="240" w:after="240"/>
        <w:ind w:firstLine="0"/>
        <w:jc w:val="center"/>
      </w:pPr>
      <w:r>
        <w:rPr>
          <w:i/>
          <w:color w:val="808080"/>
        </w:rPr>
        <w:t xml:space="preserve">[Inserir aqui o print da página: Obsolescência]</w:t>
      </w:r>
    </w:p>
    <w:p>
      <w:pPr>
        <w:pStyle w:val="Caption"/>
        <w:keepNext/>
      </w:pPr>
      <w:r>
        <w:t xml:space="preserve">Figura </w:t>
      </w:r>
      <w:r>
        <w:fldChar w:fldCharType="begin"/>
      </w:r>
      <w:r>
        <w:instrText xml:space="preserve"> SEQ Figura \* ARABIC </w:instrText>
      </w:r>
      <w:r>
        <w:fldChar w:fldCharType="separate"/>
      </w:r>
      <w:r>
        <w:rPr>
          <w:noProof/>
        </w:rPr>
        <w:t>7</w:t>
      </w:r>
      <w:r>
        <w:fldChar w:fldCharType="end"/>
      </w:r>
      <w:r>
        <w:t xml:space="preserve"> – Página Obsolescência</w:t>
      </w:r>
    </w:p>
    <w:p>
      <w:pPr>
        <w:ind w:firstLine="0"/>
        <w:jc w:val="center"/>
      </w:pPr>
      <w:r>
        <w:rPr>
          <w:sz w:val="18"/>
          <w:szCs w:val="18"/>
        </w:rPr>
        <w:t xml:space="preserve">Fonte: elaborado pelos autores no Power BI (2026).</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Valor Estoque Obsoleto =</w:t>
      </w:r>
    </w:p>
    <w:p>
      <w:pPr>
        <w:keepNext/>
        <w:shd w:val="clear" w:color="auto" w:fill="F2F2F2"/>
        <w:spacing w:before="0" w:after="0" w:line="240" w:lineRule="auto"/>
        <w:ind w:left="284" w:firstLine="0"/>
        <w:jc w:val="left"/>
      </w:pPr>
      <w:r>
        <w:rPr>
          <w:rFonts w:ascii="Consolas" w:hAnsi="Consolas" w:cs="Consolas"/>
          <w:sz w:val="17"/>
          <w:szCs w:val="17"/>
        </w:rPr>
        <w:t xml:space="preserve">CALCULATE ( SUM ( RES34_20260824[Valor Total] ), RES34_20260824[Status] = "Obsoleto" )</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 Valor Obsoleto sobre Total =</w:t>
      </w:r>
    </w:p>
    <w:p>
      <w:pPr>
        <w:keepNext/>
        <w:shd w:val="clear" w:color="auto" w:fill="F2F2F2"/>
        <w:spacing w:before="0" w:after="0" w:line="240" w:lineRule="auto"/>
        <w:ind w:left="284" w:firstLine="0"/>
        <w:jc w:val="left"/>
      </w:pPr>
      <w:r>
        <w:rPr>
          <w:rFonts w:ascii="Consolas" w:hAnsi="Consolas" w:cs="Consolas"/>
          <w:sz w:val="17"/>
          <w:szCs w:val="17"/>
        </w:rPr>
        <w:t xml:space="preserve">DIVIDE (</w:t>
      </w:r>
    </w:p>
    <w:p>
      <w:pPr>
        <w:keepNext/>
        <w:shd w:val="clear" w:color="auto" w:fill="F2F2F2"/>
        <w:spacing w:before="0" w:after="0" w:line="240" w:lineRule="auto"/>
        <w:ind w:left="524" w:firstLine="0"/>
        <w:jc w:val="left"/>
      </w:pPr>
      <w:r>
        <w:rPr>
          <w:rFonts w:ascii="Consolas" w:hAnsi="Consolas" w:cs="Consolas"/>
          <w:sz w:val="17"/>
          <w:szCs w:val="17"/>
        </w:rPr>
        <w:t xml:space="preserve">[Valor Estoque Obsoleto],</w:t>
      </w:r>
    </w:p>
    <w:p>
      <w:pPr>
        <w:keepNext/>
        <w:shd w:val="clear" w:color="auto" w:fill="F2F2F2"/>
        <w:spacing w:before="0" w:after="0" w:line="240" w:lineRule="auto"/>
        <w:ind w:left="524" w:firstLine="0"/>
        <w:jc w:val="left"/>
      </w:pPr>
      <w:r>
        <w:rPr>
          <w:rFonts w:ascii="Consolas" w:hAnsi="Consolas" w:cs="Consolas"/>
          <w:sz w:val="17"/>
          <w:szCs w:val="17"/>
        </w:rPr>
        <w:t xml:space="preserve">CALCULATE ( SUM ( RES34_20260824[Valor Total] ), ALL ( RES34_20260824[Status] ) )</w:t>
      </w:r>
    </w:p>
    <w:p>
      <w:pPr>
        <w:keepNext/>
        <w:shd w:val="clear" w:color="auto" w:fill="F2F2F2"/>
        <w:spacing w:before="0" w:after="0" w:line="240" w:lineRule="auto"/>
        <w:ind w:left="284" w:firstLine="0"/>
        <w:jc w:val="left"/>
      </w:pPr>
      <w:r>
        <w:rPr>
          <w:rFonts w:ascii="Consolas" w:hAnsi="Consolas" w:cs="Consolas"/>
          <w:sz w:val="17"/>
          <w:szCs w:val="17"/>
        </w:rPr>
        <w:t xml:space="preserve">)</w:t>
      </w:r>
    </w:p>
    <w:p>
      <w:pPr>
        <w:spacing w:before="0" w:after="60"/>
      </w:pP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Obsoletos sem Destinação =</w:t>
      </w:r>
    </w:p>
    <w:p>
      <w:pPr>
        <w:keepNext/>
        <w:shd w:val="clear" w:color="auto" w:fill="F2F2F2"/>
        <w:spacing w:before="0" w:after="0" w:line="240" w:lineRule="auto"/>
        <w:ind w:left="284" w:firstLine="0"/>
        <w:jc w:val="left"/>
      </w:pPr>
      <w:r>
        <w:rPr>
          <w:rFonts w:ascii="Consolas" w:hAnsi="Consolas" w:cs="Consolas"/>
          <w:sz w:val="17"/>
          <w:szCs w:val="17"/>
        </w:rPr>
        <w:t xml:space="preserve">CALCULATE (</w:t>
      </w:r>
    </w:p>
    <w:p>
      <w:pPr>
        <w:keepNext/>
        <w:shd w:val="clear" w:color="auto" w:fill="F2F2F2"/>
        <w:spacing w:before="0" w:after="0" w:line="240" w:lineRule="auto"/>
        <w:ind w:left="524" w:firstLine="0"/>
        <w:jc w:val="left"/>
      </w:pPr>
      <w:r>
        <w:rPr>
          <w:rFonts w:ascii="Consolas" w:hAnsi="Consolas" w:cs="Consolas"/>
          <w:sz w:val="17"/>
          <w:szCs w:val="17"/>
        </w:rPr>
        <w:t xml:space="preserve">DISTINCTCOUNT ( RES34_20260824[Cód. Red.] ),</w:t>
      </w:r>
    </w:p>
    <w:p>
      <w:pPr>
        <w:keepNext/>
        <w:shd w:val="clear" w:color="auto" w:fill="F2F2F2"/>
        <w:spacing w:before="0" w:after="0" w:line="240" w:lineRule="auto"/>
        <w:ind w:left="524" w:firstLine="0"/>
        <w:jc w:val="left"/>
      </w:pPr>
      <w:r>
        <w:rPr>
          <w:rFonts w:ascii="Consolas" w:hAnsi="Consolas" w:cs="Consolas"/>
          <w:sz w:val="17"/>
          <w:szCs w:val="17"/>
        </w:rPr>
        <w:t xml:space="preserve">RES34_20260824[Status] = "Obsoleto",</w:t>
      </w:r>
    </w:p>
    <w:p>
      <w:pPr>
        <w:keepNext/>
        <w:shd w:val="clear" w:color="auto" w:fill="F2F2F2"/>
        <w:spacing w:before="0" w:after="0" w:line="240" w:lineRule="auto"/>
        <w:ind w:left="524" w:firstLine="0"/>
        <w:jc w:val="left"/>
      </w:pPr>
      <w:r>
        <w:rPr>
          <w:rFonts w:ascii="Consolas" w:hAnsi="Consolas" w:cs="Consolas"/>
          <w:sz w:val="17"/>
          <w:szCs w:val="17"/>
        </w:rPr>
        <w:t xml:space="preserve">ISBLANK ( RES34_20260824[Leilão] ), ISBLANK ( RES34_20260824[Doação] ), ISBLANK ( RES34_20260824[Reuso] ),</w:t>
      </w:r>
    </w:p>
    <w:p>
      <w:pPr>
        <w:keepNext/>
        <w:shd w:val="clear" w:color="auto" w:fill="F2F2F2"/>
        <w:spacing w:before="0" w:after="0" w:line="240" w:lineRule="auto"/>
        <w:ind w:left="524" w:firstLine="0"/>
        <w:jc w:val="left"/>
      </w:pPr>
      <w:r>
        <w:rPr>
          <w:rFonts w:ascii="Consolas" w:hAnsi="Consolas" w:cs="Consolas"/>
          <w:sz w:val="17"/>
          <w:szCs w:val="17"/>
        </w:rPr>
        <w:t xml:space="preserve">ISBLANK ( RES34_20260824[Reciclagem] ), ISBLANK ( RES34_20260824[Log. Reversa] ), ISBLANK ( RES34_20260824[Aterro] )</w:t>
      </w:r>
    </w:p>
    <w:p>
      <w:pPr>
        <w:keepNext/>
        <w:shd w:val="clear" w:color="auto" w:fill="F2F2F2"/>
        <w:spacing w:before="0" w:after="0" w:line="240" w:lineRule="auto"/>
        <w:ind w:left="284" w:firstLine="0"/>
        <w:jc w:val="left"/>
      </w:pPr>
      <w:r>
        <w:rPr>
          <w:rFonts w:ascii="Consolas" w:hAnsi="Consolas" w:cs="Consolas"/>
          <w:sz w:val="17"/>
          <w:szCs w:val="17"/>
        </w:rPr>
        <w:t xml:space="preserve">)</w:t>
      </w:r>
    </w:p>
    <w:p>
      <w:pPr>
        <w:spacing w:before="0" w:after="60"/>
      </w:pPr>
    </w:p>
    <w:p>
      <w:pPr>
        <w:pStyle w:val="Caption"/>
        <w:keepNext/>
      </w:pPr>
      <w:r>
        <w:t xml:space="preserve">Tabela </w:t>
      </w:r>
      <w:r>
        <w:fldChar w:fldCharType="begin"/>
      </w:r>
      <w:r>
        <w:instrText xml:space="preserve"> SEQ Tabela \* ARABIC </w:instrText>
      </w:r>
      <w:r>
        <w:fldChar w:fldCharType="separate"/>
      </w:r>
      <w:r>
        <w:rPr>
          <w:noProof/>
        </w:rPr>
        <w:t>12</w:t>
      </w:r>
      <w:r>
        <w:fldChar w:fldCharType="end"/>
      </w:r>
      <w:r>
        <w:t xml:space="preserve"> – Cards da página Obsolescência</w:t>
      </w:r>
    </w:p>
    <w:tbl>
      <w:tblPr>
        <w:tblW w:w="9288" w:type="dxa"/>
        <w:tblLayout w:type="fixed"/>
        <w:tblLook w:val="04A0" w:firstRow="1" w:lastRow="0" w:firstColumn="1" w:lastColumn="0" w:noHBand="0" w:noVBand="1"/>
      </w:tblPr>
      <w:tblGrid>
        <w:gridCol w:w="2322"/>
        <w:gridCol w:w="2875"/>
        <w:gridCol w:w="2875"/>
        <w:gridCol w:w="1216"/>
      </w:tblGrid>
      <w:tr>
        <w:trPr>
          <w:tblHeader/>
          <w:cantSplit/>
        </w:trPr>
        <w:tc>
          <w:tcPr>
            <w:tcW w:w="2322"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Card</w:t>
            </w:r>
          </w:p>
        </w:tc>
        <w:tc>
          <w:tcPr>
            <w:tcW w:w="2875"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O que mostra</w:t>
            </w:r>
          </w:p>
        </w:tc>
        <w:tc>
          <w:tcPr>
            <w:tcW w:w="2875"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Cálculo</w:t>
            </w:r>
          </w:p>
        </w:tc>
        <w:tc>
          <w:tcPr>
            <w:tcW w:w="1216" w:type="dxa"/>
            <w:tcBorders>
              <w:top w:val="single" w:sz="8" w:space="0" w:color="auto"/>
              <w:left w:val="nil"/>
              <w:bottom w:val="single" w:sz="8" w:space="0" w:color="auto"/>
              <w:right w:val="nil"/>
            </w:tcBorders>
            <w:shd w:val="clear" w:color="000000" w:fill="D9D9D9"/>
            <w:vAlign w:val="center"/>
          </w:tcPr>
          <w:p>
            <w:pPr>
              <w:spacing w:before="20" w:after="20" w:line="240" w:lineRule="auto"/>
              <w:ind w:left="0" w:firstLine="0"/>
              <w:jc w:val="center"/>
            </w:pPr>
            <w:r>
              <w:rPr>
                <w:rFonts w:ascii="Times New Roman" w:hAnsi="Times New Roman"/>
                <w:color w:val="000000"/>
                <w:sz w:val="18"/>
                <w:szCs w:val="18"/>
                <w:b/>
              </w:rPr>
              <w:t xml:space="preserve">Valor</w:t>
            </w:r>
          </w:p>
        </w:tc>
      </w:tr>
      <w:tr>
        <w:trPr>
          <w:cantSplit/>
        </w:trPr>
        <w:tc>
          <w:tcPr>
            <w:tcW w:w="232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Valor Obsoleto (R$)</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Valor dos materiais com status Obsoleto</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Soma do valor com Status = Obsoleto</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R$ 21,4 mi</w:t>
            </w:r>
          </w:p>
        </w:tc>
      </w:tr>
      <w:tr>
        <w:trPr>
          <w:cantSplit/>
        </w:trPr>
        <w:tc>
          <w:tcPr>
            <w:tcW w:w="232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do Valor do Estoque</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Peso dos obsoletos no estoque</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Valor obsoleto ÷ valor total</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11,3%</w:t>
            </w:r>
          </w:p>
        </w:tc>
      </w:tr>
      <w:tr>
        <w:trPr>
          <w:cantSplit/>
        </w:trPr>
        <w:tc>
          <w:tcPr>
            <w:tcW w:w="232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Obsoletos</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Materiais diferentes com status Obsoleto</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distinta de códigos</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2.264</w:t>
            </w:r>
          </w:p>
        </w:tc>
      </w:tr>
      <w:tr>
        <w:trPr>
          <w:cantSplit/>
        </w:trPr>
        <w:tc>
          <w:tcPr>
            <w:tcW w:w="232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Com Destinação Indicada</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Obsoletos com leilão, doação, reuso etc. marcados</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Obsoletos − sem destinação</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0</w:t>
            </w:r>
          </w:p>
        </w:tc>
      </w:tr>
      <w:tr>
        <w:trPr>
          <w:cantSplit/>
        </w:trPr>
        <w:tc>
          <w:tcPr>
            <w:tcW w:w="2322"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Sem Destinação Indicada</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Obsoletos sem nenhuma destinação marcada</w:t>
            </w:r>
          </w:p>
        </w:tc>
        <w:tc>
          <w:tcPr>
            <w:tcW w:w="2875"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Contagem com todas as colunas de destinação vazias</w:t>
            </w:r>
          </w:p>
        </w:tc>
        <w:tc>
          <w:tcPr>
            <w:tcW w:w="1216" w:type="dxa"/>
            <w:tcBorders>
              <w:top w:val="nil"/>
              <w:left w:val="nil"/>
              <w:bottom w:val="single" w:sz="4" w:space="0" w:color="D9D9D9"/>
              <w:right w:val="nil"/>
            </w:tcBorders>
            <w:vAlign w:val="center"/>
          </w:tcPr>
          <w:p>
            <w:pPr>
              <w:spacing w:before="20" w:after="20" w:line="240" w:lineRule="auto"/>
              <w:ind w:left="0" w:firstLine="0"/>
              <w:jc w:val="left"/>
            </w:pPr>
            <w:r>
              <w:rPr>
                <w:rFonts w:ascii="Times New Roman" w:hAnsi="Times New Roman"/>
                <w:color w:val="000000"/>
                <w:sz w:val="18"/>
                <w:szCs w:val="18"/>
              </w:rPr>
              <w:t xml:space="preserve">2.264</w:t>
            </w:r>
          </w:p>
        </w:tc>
      </w:tr>
      <w:tr>
        <w:trPr>
          <w:cantSplit/>
        </w:trPr>
        <w:tc>
          <w:tcPr>
            <w:tcW w:w="2322"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Valor sem Destinação (R$)</w:t>
            </w:r>
          </w:p>
        </w:tc>
        <w:tc>
          <w:tcPr>
            <w:tcW w:w="2875"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Valor dos obsoletos sem destinação</w:t>
            </w:r>
          </w:p>
        </w:tc>
        <w:tc>
          <w:tcPr>
            <w:tcW w:w="2875"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Soma do valor desses materiais</w:t>
            </w:r>
          </w:p>
        </w:tc>
        <w:tc>
          <w:tcPr>
            <w:tcW w:w="1216" w:type="dxa"/>
            <w:tcBorders>
              <w:top w:val="nil"/>
              <w:left w:val="nil"/>
              <w:bottom w:val="single" w:sz="8" w:space="0" w:color="auto"/>
              <w:right w:val="nil"/>
            </w:tcBorders>
            <w:vAlign w:val="center"/>
          </w:tcPr>
          <w:p>
            <w:pPr>
              <w:spacing w:before="20" w:after="20" w:line="240" w:lineRule="auto"/>
              <w:ind w:left="0" w:firstLine="0"/>
              <w:jc w:val="left"/>
            </w:pPr>
            <w:r>
              <w:rPr>
                <w:rFonts w:ascii="Times New Roman" w:hAnsi="Times New Roman"/>
                <w:color w:val="000000"/>
                <w:sz w:val="18"/>
                <w:szCs w:val="18"/>
              </w:rPr>
              <w:t xml:space="preserve">≈ R$ 21,4 mi</w:t>
            </w:r>
          </w:p>
        </w:tc>
      </w:tr>
    </w:tbl>
    <w:p>
      <w:pPr>
        <w:spacing w:before="60"/>
        <w:ind w:firstLine="0"/>
      </w:pPr>
      <w:r>
        <w:rPr>
          <w:sz w:val="18"/>
          <w:szCs w:val="18"/>
        </w:rPr>
        <w:t xml:space="preserve">Fonte: elaborado pelos autores (2026).</w:t>
      </w:r>
    </w:p>
    <w:p>
      <w:pPr>
        <w:ind w:left="567" w:hanging="283" w:firstLine="0"/>
      </w:pPr>
      <w:r>
        <w:t xml:space="preserve">• </w:t>
      </w:r>
      <w:r>
        <w:rPr>
          <w:b/>
        </w:rPr>
        <w:t xml:space="preserve">Valor Obsoleto por Almoxarifado:</w:t>
      </w:r>
      <w:r>
        <w:t xml:space="preserve"> os maiores valores estão em PRINCIPAL – ALTINO (R$ 10,7 mi) e GERAL – LAPA (R$ 7,8 mi);</w:t>
      </w:r>
    </w:p>
    <w:p>
      <w:pPr>
        <w:ind w:left="567" w:hanging="283" w:firstLine="0"/>
      </w:pPr>
      <w:r>
        <w:t xml:space="preserve">• </w:t>
      </w:r>
      <w:r>
        <w:rPr>
          <w:b/>
        </w:rPr>
        <w:t xml:space="preserve">Destinação Indicada no Cadastro:</w:t>
      </w:r>
      <w:r>
        <w:t xml:space="preserve"> quantidade de materiais marcados para leilão, doação, reuso, reciclagem, logística reversa e aterro. As marcações existentes estão em materiais que não têm status Obsoleto;</w:t>
      </w:r>
    </w:p>
    <w:p>
      <w:pPr>
        <w:ind w:left="567" w:hanging="283" w:firstLine="0"/>
      </w:pPr>
      <w:r>
        <w:t xml:space="preserve">• </w:t>
      </w:r>
      <w:r>
        <w:rPr>
          <w:b/>
        </w:rPr>
        <w:t xml:space="preserve">Materiais Obsoletos:</w:t>
      </w:r>
      <w:r>
        <w:t xml:space="preserve"> tabela com almoxarifado, datas da última entrada e da última saída, saldo e valor, ordenada pelo maior valor.</w:t>
      </w:r>
    </w:p>
    <w:p>
      <w:r>
        <w:t xml:space="preserve">O principal resultado da página é que nenhum dos 2.264 materiais obsoletos tem destinação registrada, o que indica uma oportunidade de definir o destino desses itens e liberar espaço e capital.</w:t>
      </w:r>
    </w:p>
    <w:p>
      <w:pPr>
        <w:pStyle w:val="Heading2"/>
      </w:pPr>
      <w:r>
        <w:t xml:space="preserve">Página 8 – Metodologia</w:t>
      </w:r>
    </w:p>
    <w:p>
      <w:r>
        <w:t xml:space="preserve">A CPTM destacou que, na primeira entrega, é mais importante comprovar que os conceitos, os cálculos e as fontes estão corretos do que ter muitas funcionalidades. Por isso, a página de Metodologia (Figura 8) tem quatro tabelas: o Dicionário de Indicadores (fórmula, fonte e página de cada um dos 26 indicadores), a classificação dos 98 tipos de movimentação com o número de lançamentos e o valor de cada um, o mapa de relacionamentos entre as bases e os testes de consistência apresentados na Tabela 5. Os resultados dos testes são calculados por medidas DAX e se atualizam junto com as bases.</w:t>
      </w:r>
    </w:p>
    <w:p>
      <w:pPr>
        <w:pBdr>
          <w:top w:val="single" w:sz="6" w:space="8" w:color="A6A6A6"/>
          <w:left w:val="single" w:sz="6" w:space="8" w:color="A6A6A6"/>
          <w:bottom w:val="single" w:sz="6" w:space="8" w:color="A6A6A6"/>
          <w:right w:val="single" w:sz="6" w:space="8" w:color="A6A6A6"/>
        </w:pBdr>
        <w:spacing w:before="240" w:after="240"/>
        <w:ind w:firstLine="0"/>
        <w:jc w:val="center"/>
      </w:pPr>
      <w:r>
        <w:rPr>
          <w:i/>
          <w:color w:val="808080"/>
        </w:rPr>
        <w:t xml:space="preserve">[Inserir aqui o print da página: Metodologia]</w:t>
      </w:r>
    </w:p>
    <w:p>
      <w:pPr>
        <w:pStyle w:val="Caption"/>
        <w:keepNext/>
      </w:pPr>
      <w:r>
        <w:t xml:space="preserve">Figura </w:t>
      </w:r>
      <w:r>
        <w:fldChar w:fldCharType="begin"/>
      </w:r>
      <w:r>
        <w:instrText xml:space="preserve"> SEQ Figura \* ARABIC </w:instrText>
      </w:r>
      <w:r>
        <w:fldChar w:fldCharType="separate"/>
      </w:r>
      <w:r>
        <w:rPr>
          <w:noProof/>
        </w:rPr>
        <w:t>8</w:t>
      </w:r>
      <w:r>
        <w:fldChar w:fldCharType="end"/>
      </w:r>
      <w:r>
        <w:t xml:space="preserve"> – Página Metodologia</w:t>
      </w:r>
    </w:p>
    <w:p>
      <w:pPr>
        <w:ind w:firstLine="0"/>
        <w:jc w:val="center"/>
      </w:pPr>
      <w:r>
        <w:rPr>
          <w:sz w:val="18"/>
          <w:szCs w:val="18"/>
        </w:rPr>
        <w:t xml:space="preserve">Fonte: elaborado pelos autores no Power BI (2026).</w:t>
      </w:r>
    </w:p>
    <w:p>
      <w:pPr>
        <w:keepNext/>
        <w:shd w:val="clear" w:color="auto" w:fill="F2F2F2"/>
        <w:spacing w:before="0" w:after="0" w:line="240" w:lineRule="auto"/>
        <w:ind w:left="284" w:firstLine="0"/>
        <w:jc w:val="left"/>
      </w:pPr>
      <w:r>
        <w:rPr>
          <w:rFonts w:ascii="Consolas" w:hAnsi="Consolas" w:cs="Consolas"/>
          <w:b/>
          <w:color w:val="0B2A5B"/>
          <w:sz w:val="17"/>
          <w:szCs w:val="17"/>
        </w:rPr>
        <w:t xml:space="preserve">Teste Consumo RES82 RES75 =</w:t>
      </w:r>
    </w:p>
    <w:p>
      <w:pPr>
        <w:keepNext/>
        <w:shd w:val="clear" w:color="auto" w:fill="F2F2F2"/>
        <w:spacing w:before="0" w:after="0" w:line="240" w:lineRule="auto"/>
        <w:ind w:left="284" w:firstLine="0"/>
        <w:jc w:val="left"/>
      </w:pPr>
      <w:r>
        <w:rPr>
          <w:rFonts w:ascii="Consolas" w:hAnsi="Consolas" w:cs="Consolas"/>
          <w:sz w:val="17"/>
          <w:szCs w:val="17"/>
        </w:rPr>
        <w:t xml:space="preserve">DIVIDE ( [Consumo 2025 RES82 (Qtd)], [Consumo 2025 RES75 (Qtd)] )</w:t>
      </w:r>
    </w:p>
    <w:p>
      <w:pPr>
        <w:spacing w:before="0" w:after="60"/>
      </w:pPr>
    </w:p>
    <w:p>
      <w:pPr>
        <w:pStyle w:val="Heading1"/>
      </w:pPr>
      <w:r>
        <w:t xml:space="preserve">Resultados esperados</w:t>
      </w:r>
    </w:p>
    <w:p>
      <w:r>
        <w:t xml:space="preserve">O projeto disponibiliza à CPTM um painel funcional que reúne, em um único modelo, bases que hoje são consultadas separadamente no ERP ALVO. A principal contribuição técnica é a estrutura de cálculo: a classificação dos tipos de movimentação permite medir o consumo efetivo, e a reconstrução mensal do estoque permite calcular o estoque médio e o giro como a CPTM pediu, sem depender de uma única fotografia do saldo. A coincidência de praticamente 100% entre o consumo de 2025 calculado pela RES82 e o registrado na RES75 mostra que esses cálculos são consistentes.</w:t>
      </w:r>
    </w:p>
    <w:p>
      <w:r>
        <w:t xml:space="preserve">Os resultados já apontam oportunidades de gestão:</w:t>
      </w:r>
    </w:p>
    <w:p>
      <w:pPr>
        <w:ind w:left="567" w:hanging="283" w:firstLine="0"/>
      </w:pPr>
      <w:r>
        <w:t xml:space="preserve">• </w:t>
      </w:r>
      <w:r>
        <w:t xml:space="preserve">O estoque de cerca de R$ 189 milhões gira apenas 0,18 vez por ano, o que equivale a um tempo médio de permanência de cerca de 2.000 dias e a uma cobertura próxima de 58 meses, indicando alto capital imobilizado;</w:t>
      </w:r>
    </w:p>
    <w:p>
      <w:pPr>
        <w:ind w:left="567" w:hanging="283" w:firstLine="0"/>
      </w:pPr>
      <w:r>
        <w:t xml:space="preserve">• </w:t>
      </w:r>
      <w:r>
        <w:t xml:space="preserve">80% do valor está concentrado em cerca de 6% dos materiais (classe A), que devem ter prioridade no controle financeiro; já a criticidade operacional está espalhada nas classes B e C, e apenas 50 dos 898 materiais críticos com saldo são classe A;</w:t>
      </w:r>
    </w:p>
    <w:p>
      <w:pPr>
        <w:ind w:left="567" w:hanging="283" w:firstLine="0"/>
      </w:pPr>
      <w:r>
        <w:t xml:space="preserve">• </w:t>
      </w:r>
      <w:r>
        <w:t xml:space="preserve">7.628 materiais têm saldo e não tiveram consumo nos últimos 12 meses, e 2.561 estão há mais de 60 meses sem consumo. Esses itens devem ser analisados caso a caso, pois podem ser sobressalentes estratégicos;</w:t>
      </w:r>
    </w:p>
    <w:p>
      <w:pPr>
        <w:ind w:left="567" w:hanging="283" w:firstLine="0"/>
      </w:pPr>
      <w:r>
        <w:t xml:space="preserve">• </w:t>
      </w:r>
      <w:r>
        <w:t xml:space="preserve">560 materiais tiveram consumo no último ano e hoje estão sem saldo. Entre os 681 materiais no ponto de reposição, 471 ainda não têm nenhum processo de compra iniciado e 55 já estão em ruptura, o que aponta um gargalo no início do processo de reposição;</w:t>
      </w:r>
    </w:p>
    <w:p>
      <w:pPr>
        <w:ind w:left="567" w:hanging="283" w:firstLine="0"/>
      </w:pPr>
      <w:r>
        <w:t xml:space="preserve">• </w:t>
      </w:r>
      <w:r>
        <w:t xml:space="preserve">O consumo ficou abaixo do previsto para a maioria dos materiais com PCA, o que sugere revisar a previsão usada no cálculo da necessidade de compra;</w:t>
      </w:r>
    </w:p>
    <w:p>
      <w:pPr>
        <w:ind w:left="567" w:hanging="283" w:firstLine="0"/>
      </w:pPr>
      <w:r>
        <w:t xml:space="preserve">• </w:t>
      </w:r>
      <w:r>
        <w:t xml:space="preserve">O consumo tem um pico em agosto e é mais baixo entre novembro e janeiro, informação útil para programar as compras;</w:t>
      </w:r>
    </w:p>
    <w:p>
      <w:pPr>
        <w:ind w:left="567" w:hanging="283" w:firstLine="0"/>
      </w:pPr>
      <w:r>
        <w:t xml:space="preserve">• </w:t>
      </w:r>
      <w:r>
        <w:t xml:space="preserve">Nenhum dos 2.264 materiais obsoletos (R$ 21,4 mi) tem destinação registrada.</w:t>
      </w:r>
    </w:p>
    <w:p>
      <w:r>
        <w:t xml:space="preserve">Para a finalização, dependem de validação com a CPTM: a classificação de alguns tipos de movimentação, a base oficial de saldo (RES47 ou RES34), o estoque mínimo e o prazo de reposição dos materiais Essenciais e Estratégicos, os limites padrão de risco e excesso e a forma de ligar as bases ao centro de custo e à unidade organizacional. Depois dessa validação, o projeto poderá evoluir para alertas automáticos, previsão de consumo e integração direta com o ERP ALVO. Do ponto de vista acadêmico, o projeto mostra como conceitos clássicos de gestão de estoques podem ser aplicados a dados reais de uma empresa pública de transporte, com fórmulas documentadas e resultados verificáveis.</w:t>
      </w:r>
    </w:p>
    <w:p>
      <w:pPr>
        <w:pStyle w:val="Heading1"/>
        <w:numPr>
          <w:ilvl w:val="0"/>
          <w:numId w:val="0"/>
        </w:numPr>
        <w:ind w:left="648" w:hanging="360"/>
      </w:pPr>
      <w:r>
        <w:t xml:space="preserve">Referências</w:t>
      </w:r>
    </w:p>
    <w:p>
      <w:pPr>
        <w:ind w:firstLine="0"/>
        <w:jc w:val="left"/>
      </w:pPr>
      <w:r>
        <w:t xml:space="preserve">BALLOU, R. H. Gerenciamento da cadeia de suprimentos/logística empresarial. 5. ed. Porto Alegre: Bookman, 2006.</w:t>
      </w:r>
    </w:p>
    <w:p>
      <w:pPr>
        <w:ind w:firstLine="0"/>
        <w:jc w:val="left"/>
      </w:pPr>
      <w:r>
        <w:t xml:space="preserve">BOWERSOX, D. J.; CLOSS, D. J.; COOPER, M. B. Gestão da cadeia de suprimentos e logística. Rio de Janeiro: Elsevier, 2007.</w:t>
      </w:r>
    </w:p>
    <w:p>
      <w:pPr>
        <w:ind w:firstLine="0"/>
        <w:jc w:val="left"/>
      </w:pPr>
      <w:r>
        <w:t xml:space="preserve">DIAS, M. A. P. Administração de materiais: princípios, conceitos e gestão. 6. ed. São Paulo: Atlas, 2010.</w:t>
      </w:r>
    </w:p>
    <w:p>
      <w:pPr>
        <w:ind w:firstLine="0"/>
        <w:jc w:val="left"/>
      </w:pPr>
      <w:r>
        <w:t xml:space="preserve">DICKIE, H. F. ABC inventory analysis shoots for dollars, not pennies. Factory Management and Maintenance, v. 109, n. 7, p. 92-94, 1951.</w:t>
      </w:r>
    </w:p>
    <w:p>
      <w:pPr>
        <w:ind w:firstLine="0"/>
        <w:jc w:val="left"/>
      </w:pPr>
      <w:r>
        <w:t xml:space="preserve">KIMBALL, R.; ROSS, M. The data warehouse toolkit: the definitive guide to dimensional modeling. 3. ed. Indianapolis: Wiley, 2013.</w:t>
      </w:r>
    </w:p>
    <w:p>
      <w:pPr>
        <w:ind w:firstLine="0"/>
        <w:jc w:val="left"/>
      </w:pPr>
      <w:r>
        <w:t xml:space="preserve">RUSSO, M.; FERRARI, A. The definitive guide to DAX: business intelligence for Microsoft Power BI, SQL Server Analysis Services, and Excel. 2. ed. Redmond: Microsoft Press, 2019.</w:t>
      </w:r>
    </w:p>
    <w:p>
      <w:pPr>
        <w:ind w:firstLine="0"/>
        <w:jc w:val="left"/>
      </w:pPr>
      <w:r>
        <w:t xml:space="preserve">SLACK, N.; CHAMBERS, S.; JOHNSTON, R. Administração da produção. 3. ed. São Paulo: Atlas, 2009.</w:t>
      </w:r>
    </w:p>
    <w:sectPr w:rsidR="0032342D" w:rsidRPr="00831A72" w:rsidSect="004A260A">
      <w:headerReference w:type="default" r:id="rId8"/>
      <w:headerReference w:type="first" r:id="rId9"/>
      <w:type w:val="continuous"/>
      <w:pgSz w:w="11907" w:h="16840" w:code="9"/>
      <w:pgMar w:top="1701" w:right="1134" w:bottom="1134" w:left="1701" w:header="110" w:footer="1134"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CEFFD" w14:textId="77777777" w:rsidR="004A260A" w:rsidRDefault="004A260A">
      <w:r>
        <w:separator/>
      </w:r>
    </w:p>
  </w:endnote>
  <w:endnote w:type="continuationSeparator" w:id="0">
    <w:p w14:paraId="617CA9A7" w14:textId="77777777" w:rsidR="004A260A" w:rsidRDefault="004A2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4D"/>
    <w:family w:val="roman"/>
    <w:notTrueType/>
    <w:pitch w:val="variable"/>
    <w:sig w:usb0="00000003" w:usb1="00000000" w:usb2="00000000" w:usb3="00000000" w:csb0="00000001" w:csb1="00000000"/>
  </w:font>
  <w:font w:name="Helvetica">
    <w:panose1 w:val="00000000000000000000"/>
    <w:charset w:val="00"/>
    <w:family w:val="auto"/>
    <w:notTrueType/>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F21FE" w14:textId="77777777" w:rsidR="004A260A" w:rsidRDefault="004A260A">
      <w:r>
        <w:separator/>
      </w:r>
    </w:p>
  </w:footnote>
  <w:footnote w:type="continuationSeparator" w:id="0">
    <w:p w14:paraId="5DF18453" w14:textId="77777777" w:rsidR="004A260A" w:rsidRDefault="004A2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12165" w14:textId="00D95B65" w:rsidR="00972C0B" w:rsidRDefault="00831A72" w:rsidP="00831A72">
    <w:pPr>
      <w:pStyle w:val="Header"/>
      <w:tabs>
        <w:tab w:val="clear" w:pos="4419"/>
        <w:tab w:val="clear" w:pos="8838"/>
      </w:tabs>
      <w:ind w:left="0" w:right="360"/>
      <w:jc w:val="center"/>
    </w:pPr>
    <w:r w:rsidRPr="00831A72">
      <w:rPr>
        <w:noProof/>
      </w:rPr>
      <w:drawing>
        <wp:inline distT="0" distB="0" distL="0" distR="0" wp14:anchorId="2D93EE3C" wp14:editId="6FB2F8CA">
          <wp:extent cx="4229516" cy="729615"/>
          <wp:effectExtent l="0" t="0" r="0" b="0"/>
          <wp:docPr id="8" name="Picture 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picture containing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268680" cy="73637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8946D" w14:textId="77777777" w:rsidR="00972C0B" w:rsidRDefault="00972C0B" w:rsidP="00D70A45">
    <w:pPr>
      <w:pStyle w:val="Header"/>
      <w:ind w:right="360"/>
      <w:jc w:val="right"/>
    </w:pPr>
    <w:r>
      <w:rPr>
        <w:sz w:val="20"/>
        <w:szCs w:val="20"/>
      </w:rPr>
      <w:t xml:space="preserve"> </w:t>
    </w:r>
  </w:p>
  <w:p w14:paraId="6102C009" w14:textId="77777777" w:rsidR="00972C0B" w:rsidRDefault="00972C0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3in;height:3in" o:bullet="t">
        <v:imagedata r:id="rId1" o:title=""/>
      </v:shape>
    </w:pict>
  </w:numPicBullet>
  <w:abstractNum w:abstractNumId="0" w15:restartNumberingAfterBreak="0">
    <w:nsid w:val="06353EAF"/>
    <w:multiLevelType w:val="hybridMultilevel"/>
    <w:tmpl w:val="AA3081BE"/>
    <w:lvl w:ilvl="0" w:tplc="04160001">
      <w:start w:val="1"/>
      <w:numFmt w:val="bullet"/>
      <w:lvlText w:val=""/>
      <w:lvlJc w:val="left"/>
      <w:pPr>
        <w:ind w:left="720" w:hanging="360"/>
      </w:pPr>
      <w:rPr>
        <w:rFonts w:ascii="Symbol" w:hAnsi="Symbol" w:cs="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cs="Wingdings" w:hint="default"/>
      </w:rPr>
    </w:lvl>
    <w:lvl w:ilvl="3" w:tplc="04160001" w:tentative="1">
      <w:start w:val="1"/>
      <w:numFmt w:val="bullet"/>
      <w:lvlText w:val=""/>
      <w:lvlJc w:val="left"/>
      <w:pPr>
        <w:ind w:left="2880" w:hanging="360"/>
      </w:pPr>
      <w:rPr>
        <w:rFonts w:ascii="Symbol" w:hAnsi="Symbol" w:cs="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cs="Wingdings" w:hint="default"/>
      </w:rPr>
    </w:lvl>
    <w:lvl w:ilvl="6" w:tplc="04160001" w:tentative="1">
      <w:start w:val="1"/>
      <w:numFmt w:val="bullet"/>
      <w:lvlText w:val=""/>
      <w:lvlJc w:val="left"/>
      <w:pPr>
        <w:ind w:left="5040" w:hanging="360"/>
      </w:pPr>
      <w:rPr>
        <w:rFonts w:ascii="Symbol" w:hAnsi="Symbol" w:cs="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0216627"/>
    <w:multiLevelType w:val="hybridMultilevel"/>
    <w:tmpl w:val="726C2D0C"/>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EAD15C6"/>
    <w:multiLevelType w:val="hybridMultilevel"/>
    <w:tmpl w:val="B2308032"/>
    <w:lvl w:ilvl="0" w:tplc="FB7ECF78">
      <w:start w:val="1"/>
      <w:numFmt w:val="low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1EF67F45"/>
    <w:multiLevelType w:val="hybridMultilevel"/>
    <w:tmpl w:val="99EC73FE"/>
    <w:lvl w:ilvl="0" w:tplc="04090001">
      <w:start w:val="1"/>
      <w:numFmt w:val="bullet"/>
      <w:lvlText w:val=""/>
      <w:lvlJc w:val="left"/>
      <w:pPr>
        <w:ind w:left="1429" w:hanging="360"/>
      </w:pPr>
      <w:rPr>
        <w:rFonts w:ascii="Symbol" w:hAnsi="Symbol" w:cs="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cs="Wingdings" w:hint="default"/>
      </w:rPr>
    </w:lvl>
    <w:lvl w:ilvl="3" w:tplc="04090001" w:tentative="1">
      <w:start w:val="1"/>
      <w:numFmt w:val="bullet"/>
      <w:lvlText w:val=""/>
      <w:lvlJc w:val="left"/>
      <w:pPr>
        <w:ind w:left="3589" w:hanging="360"/>
      </w:pPr>
      <w:rPr>
        <w:rFonts w:ascii="Symbol" w:hAnsi="Symbol" w:cs="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cs="Wingdings" w:hint="default"/>
      </w:rPr>
    </w:lvl>
    <w:lvl w:ilvl="6" w:tplc="04090001" w:tentative="1">
      <w:start w:val="1"/>
      <w:numFmt w:val="bullet"/>
      <w:lvlText w:val=""/>
      <w:lvlJc w:val="left"/>
      <w:pPr>
        <w:ind w:left="5749" w:hanging="360"/>
      </w:pPr>
      <w:rPr>
        <w:rFonts w:ascii="Symbol" w:hAnsi="Symbol" w:cs="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cs="Wingdings" w:hint="default"/>
      </w:rPr>
    </w:lvl>
  </w:abstractNum>
  <w:abstractNum w:abstractNumId="4" w15:restartNumberingAfterBreak="0">
    <w:nsid w:val="21F2004D"/>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5" w15:restartNumberingAfterBreak="0">
    <w:nsid w:val="27132FD0"/>
    <w:multiLevelType w:val="hybridMultilevel"/>
    <w:tmpl w:val="E3641786"/>
    <w:lvl w:ilvl="0" w:tplc="F66ACF20">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6" w15:restartNumberingAfterBreak="0">
    <w:nsid w:val="2E565B70"/>
    <w:multiLevelType w:val="hybridMultilevel"/>
    <w:tmpl w:val="405EC554"/>
    <w:lvl w:ilvl="0" w:tplc="04160001">
      <w:start w:val="1"/>
      <w:numFmt w:val="bullet"/>
      <w:lvlText w:val=""/>
      <w:lvlJc w:val="left"/>
      <w:pPr>
        <w:tabs>
          <w:tab w:val="num" w:pos="1429"/>
        </w:tabs>
        <w:ind w:left="1429" w:hanging="360"/>
      </w:pPr>
      <w:rPr>
        <w:rFonts w:ascii="Symbol" w:hAnsi="Symbol" w:cs="Symbol"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cs="Wingdings" w:hint="default"/>
      </w:rPr>
    </w:lvl>
    <w:lvl w:ilvl="3" w:tplc="04160001" w:tentative="1">
      <w:start w:val="1"/>
      <w:numFmt w:val="bullet"/>
      <w:lvlText w:val=""/>
      <w:lvlJc w:val="left"/>
      <w:pPr>
        <w:tabs>
          <w:tab w:val="num" w:pos="3589"/>
        </w:tabs>
        <w:ind w:left="3589" w:hanging="360"/>
      </w:pPr>
      <w:rPr>
        <w:rFonts w:ascii="Symbol" w:hAnsi="Symbol" w:cs="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cs="Wingdings" w:hint="default"/>
      </w:rPr>
    </w:lvl>
    <w:lvl w:ilvl="6" w:tplc="04160001" w:tentative="1">
      <w:start w:val="1"/>
      <w:numFmt w:val="bullet"/>
      <w:lvlText w:val=""/>
      <w:lvlJc w:val="left"/>
      <w:pPr>
        <w:tabs>
          <w:tab w:val="num" w:pos="5749"/>
        </w:tabs>
        <w:ind w:left="5749" w:hanging="360"/>
      </w:pPr>
      <w:rPr>
        <w:rFonts w:ascii="Symbol" w:hAnsi="Symbol" w:cs="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cs="Wingdings" w:hint="default"/>
      </w:rPr>
    </w:lvl>
  </w:abstractNum>
  <w:abstractNum w:abstractNumId="7" w15:restartNumberingAfterBreak="0">
    <w:nsid w:val="33003535"/>
    <w:multiLevelType w:val="multilevel"/>
    <w:tmpl w:val="277AC62C"/>
    <w:lvl w:ilvl="0">
      <w:start w:val="1"/>
      <w:numFmt w:val="decimal"/>
      <w:pStyle w:val="Heading1"/>
      <w:lvlText w:val="%1."/>
      <w:lvlJc w:val="left"/>
      <w:pPr>
        <w:ind w:left="648" w:hanging="360"/>
      </w:pPr>
    </w:lvl>
    <w:lvl w:ilvl="1">
      <w:start w:val="1"/>
      <w:numFmt w:val="decimal"/>
      <w:pStyle w:val="Heading2"/>
      <w:lvlText w:val="%1.%2."/>
      <w:lvlJc w:val="left"/>
      <w:pPr>
        <w:ind w:left="1080" w:hanging="432"/>
      </w:pPr>
    </w:lvl>
    <w:lvl w:ilvl="2">
      <w:start w:val="1"/>
      <w:numFmt w:val="decimal"/>
      <w:lvlText w:val="%1.%2.%3."/>
      <w:lvlJc w:val="left"/>
      <w:pPr>
        <w:ind w:left="1512" w:hanging="504"/>
      </w:pPr>
    </w:lvl>
    <w:lvl w:ilvl="3">
      <w:start w:val="1"/>
      <w:numFmt w:val="decimal"/>
      <w:lvlText w:val="%1.%2.%3.%4."/>
      <w:lvlJc w:val="left"/>
      <w:pPr>
        <w:ind w:left="2016" w:hanging="648"/>
      </w:pPr>
    </w:lvl>
    <w:lvl w:ilvl="4">
      <w:start w:val="1"/>
      <w:numFmt w:val="decimal"/>
      <w:lvlText w:val="%1.%2.%3.%4.%5."/>
      <w:lvlJc w:val="left"/>
      <w:pPr>
        <w:ind w:left="2520" w:hanging="792"/>
      </w:pPr>
    </w:lvl>
    <w:lvl w:ilvl="5">
      <w:start w:val="1"/>
      <w:numFmt w:val="decimal"/>
      <w:lvlText w:val="%1.%2.%3.%4.%5.%6."/>
      <w:lvlJc w:val="left"/>
      <w:pPr>
        <w:ind w:left="3024" w:hanging="936"/>
      </w:pPr>
    </w:lvl>
    <w:lvl w:ilvl="6">
      <w:start w:val="1"/>
      <w:numFmt w:val="decimal"/>
      <w:lvlText w:val="%1.%2.%3.%4.%5.%6.%7."/>
      <w:lvlJc w:val="left"/>
      <w:pPr>
        <w:ind w:left="3528" w:hanging="1080"/>
      </w:pPr>
    </w:lvl>
    <w:lvl w:ilvl="7">
      <w:start w:val="1"/>
      <w:numFmt w:val="decimal"/>
      <w:lvlText w:val="%1.%2.%3.%4.%5.%6.%7.%8."/>
      <w:lvlJc w:val="left"/>
      <w:pPr>
        <w:ind w:left="4032" w:hanging="1224"/>
      </w:pPr>
    </w:lvl>
    <w:lvl w:ilvl="8">
      <w:start w:val="1"/>
      <w:numFmt w:val="decimal"/>
      <w:lvlText w:val="%1.%2.%3.%4.%5.%6.%7.%8.%9."/>
      <w:lvlJc w:val="left"/>
      <w:pPr>
        <w:ind w:left="4608" w:hanging="1440"/>
      </w:pPr>
    </w:lvl>
  </w:abstractNum>
  <w:abstractNum w:abstractNumId="8" w15:restartNumberingAfterBreak="0">
    <w:nsid w:val="37131B59"/>
    <w:multiLevelType w:val="hybridMultilevel"/>
    <w:tmpl w:val="950EA764"/>
    <w:lvl w:ilvl="0" w:tplc="534ABDF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2169EA"/>
    <w:multiLevelType w:val="hybridMultilevel"/>
    <w:tmpl w:val="07EE7B9A"/>
    <w:lvl w:ilvl="0" w:tplc="BC3A8000">
      <w:start w:val="1"/>
      <w:numFmt w:val="decimal"/>
      <w:lvlText w:val="%1."/>
      <w:lvlJc w:val="left"/>
      <w:pPr>
        <w:tabs>
          <w:tab w:val="num" w:pos="960"/>
        </w:tabs>
        <w:ind w:left="960" w:hanging="360"/>
      </w:pPr>
      <w:rPr>
        <w:rFonts w:hint="default"/>
      </w:rPr>
    </w:lvl>
    <w:lvl w:ilvl="1" w:tplc="04160019">
      <w:start w:val="1"/>
      <w:numFmt w:val="lowerLetter"/>
      <w:lvlText w:val="%2."/>
      <w:lvlJc w:val="left"/>
      <w:pPr>
        <w:tabs>
          <w:tab w:val="num" w:pos="1680"/>
        </w:tabs>
        <w:ind w:left="1680" w:hanging="360"/>
      </w:pPr>
    </w:lvl>
    <w:lvl w:ilvl="2" w:tplc="0416001B">
      <w:start w:val="1"/>
      <w:numFmt w:val="lowerRoman"/>
      <w:lvlText w:val="%3."/>
      <w:lvlJc w:val="right"/>
      <w:pPr>
        <w:tabs>
          <w:tab w:val="num" w:pos="2400"/>
        </w:tabs>
        <w:ind w:left="2400" w:hanging="180"/>
      </w:pPr>
    </w:lvl>
    <w:lvl w:ilvl="3" w:tplc="0416000F">
      <w:start w:val="1"/>
      <w:numFmt w:val="decimal"/>
      <w:lvlText w:val="%4."/>
      <w:lvlJc w:val="left"/>
      <w:pPr>
        <w:tabs>
          <w:tab w:val="num" w:pos="3120"/>
        </w:tabs>
        <w:ind w:left="3120" w:hanging="360"/>
      </w:pPr>
    </w:lvl>
    <w:lvl w:ilvl="4" w:tplc="04160019">
      <w:start w:val="1"/>
      <w:numFmt w:val="lowerLetter"/>
      <w:lvlText w:val="%5."/>
      <w:lvlJc w:val="left"/>
      <w:pPr>
        <w:tabs>
          <w:tab w:val="num" w:pos="3840"/>
        </w:tabs>
        <w:ind w:left="3840" w:hanging="360"/>
      </w:pPr>
    </w:lvl>
    <w:lvl w:ilvl="5" w:tplc="0416001B">
      <w:start w:val="1"/>
      <w:numFmt w:val="lowerRoman"/>
      <w:lvlText w:val="%6."/>
      <w:lvlJc w:val="right"/>
      <w:pPr>
        <w:tabs>
          <w:tab w:val="num" w:pos="4560"/>
        </w:tabs>
        <w:ind w:left="4560" w:hanging="180"/>
      </w:pPr>
    </w:lvl>
    <w:lvl w:ilvl="6" w:tplc="0416000F">
      <w:start w:val="1"/>
      <w:numFmt w:val="decimal"/>
      <w:lvlText w:val="%7."/>
      <w:lvlJc w:val="left"/>
      <w:pPr>
        <w:tabs>
          <w:tab w:val="num" w:pos="5280"/>
        </w:tabs>
        <w:ind w:left="5280" w:hanging="360"/>
      </w:pPr>
    </w:lvl>
    <w:lvl w:ilvl="7" w:tplc="04160019">
      <w:start w:val="1"/>
      <w:numFmt w:val="lowerLetter"/>
      <w:lvlText w:val="%8."/>
      <w:lvlJc w:val="left"/>
      <w:pPr>
        <w:tabs>
          <w:tab w:val="num" w:pos="6000"/>
        </w:tabs>
        <w:ind w:left="6000" w:hanging="360"/>
      </w:pPr>
    </w:lvl>
    <w:lvl w:ilvl="8" w:tplc="0416001B">
      <w:start w:val="1"/>
      <w:numFmt w:val="lowerRoman"/>
      <w:lvlText w:val="%9."/>
      <w:lvlJc w:val="right"/>
      <w:pPr>
        <w:tabs>
          <w:tab w:val="num" w:pos="6720"/>
        </w:tabs>
        <w:ind w:left="6720" w:hanging="180"/>
      </w:pPr>
    </w:lvl>
  </w:abstractNum>
  <w:abstractNum w:abstractNumId="10" w15:restartNumberingAfterBreak="0">
    <w:nsid w:val="4FB22A06"/>
    <w:multiLevelType w:val="hybridMultilevel"/>
    <w:tmpl w:val="AEAC7042"/>
    <w:lvl w:ilvl="0" w:tplc="04160001">
      <w:start w:val="1"/>
      <w:numFmt w:val="bullet"/>
      <w:lvlText w:val=""/>
      <w:lvlJc w:val="left"/>
      <w:pPr>
        <w:ind w:left="1069" w:hanging="360"/>
      </w:pPr>
      <w:rPr>
        <w:rFonts w:ascii="Symbol" w:hAnsi="Symbol" w:cs="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cs="Wingdings" w:hint="default"/>
      </w:rPr>
    </w:lvl>
    <w:lvl w:ilvl="3" w:tplc="04160001" w:tentative="1">
      <w:start w:val="1"/>
      <w:numFmt w:val="bullet"/>
      <w:lvlText w:val=""/>
      <w:lvlJc w:val="left"/>
      <w:pPr>
        <w:ind w:left="3229" w:hanging="360"/>
      </w:pPr>
      <w:rPr>
        <w:rFonts w:ascii="Symbol" w:hAnsi="Symbol" w:cs="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cs="Wingdings" w:hint="default"/>
      </w:rPr>
    </w:lvl>
    <w:lvl w:ilvl="6" w:tplc="04160001" w:tentative="1">
      <w:start w:val="1"/>
      <w:numFmt w:val="bullet"/>
      <w:lvlText w:val=""/>
      <w:lvlJc w:val="left"/>
      <w:pPr>
        <w:ind w:left="5389" w:hanging="360"/>
      </w:pPr>
      <w:rPr>
        <w:rFonts w:ascii="Symbol" w:hAnsi="Symbol" w:cs="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cs="Wingdings" w:hint="default"/>
      </w:rPr>
    </w:lvl>
  </w:abstractNum>
  <w:abstractNum w:abstractNumId="11" w15:restartNumberingAfterBreak="0">
    <w:nsid w:val="56205988"/>
    <w:multiLevelType w:val="hybridMultilevel"/>
    <w:tmpl w:val="1D0A68C4"/>
    <w:lvl w:ilvl="0" w:tplc="04160001">
      <w:start w:val="1"/>
      <w:numFmt w:val="bullet"/>
      <w:lvlText w:val=""/>
      <w:lvlJc w:val="left"/>
      <w:pPr>
        <w:ind w:left="1428" w:hanging="360"/>
      </w:pPr>
      <w:rPr>
        <w:rFonts w:ascii="Symbol" w:hAnsi="Symbol" w:cs="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cs="Wingdings" w:hint="default"/>
      </w:rPr>
    </w:lvl>
    <w:lvl w:ilvl="3" w:tplc="04160001" w:tentative="1">
      <w:start w:val="1"/>
      <w:numFmt w:val="bullet"/>
      <w:lvlText w:val=""/>
      <w:lvlJc w:val="left"/>
      <w:pPr>
        <w:ind w:left="3588" w:hanging="360"/>
      </w:pPr>
      <w:rPr>
        <w:rFonts w:ascii="Symbol" w:hAnsi="Symbol" w:cs="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cs="Wingdings" w:hint="default"/>
      </w:rPr>
    </w:lvl>
    <w:lvl w:ilvl="6" w:tplc="04160001" w:tentative="1">
      <w:start w:val="1"/>
      <w:numFmt w:val="bullet"/>
      <w:lvlText w:val=""/>
      <w:lvlJc w:val="left"/>
      <w:pPr>
        <w:ind w:left="5748" w:hanging="360"/>
      </w:pPr>
      <w:rPr>
        <w:rFonts w:ascii="Symbol" w:hAnsi="Symbol" w:cs="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cs="Wingdings" w:hint="default"/>
      </w:rPr>
    </w:lvl>
  </w:abstractNum>
  <w:abstractNum w:abstractNumId="12" w15:restartNumberingAfterBreak="0">
    <w:nsid w:val="577566B3"/>
    <w:multiLevelType w:val="hybridMultilevel"/>
    <w:tmpl w:val="69488FD2"/>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577B448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C22AAE"/>
    <w:multiLevelType w:val="hybridMultilevel"/>
    <w:tmpl w:val="B0006C1A"/>
    <w:lvl w:ilvl="0" w:tplc="7D4C3DA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BF635A4"/>
    <w:multiLevelType w:val="hybridMultilevel"/>
    <w:tmpl w:val="A5CCFA40"/>
    <w:lvl w:ilvl="0" w:tplc="CD6C681E">
      <w:start w:val="1"/>
      <w:numFmt w:val="lowerLetter"/>
      <w:lvlText w:val="(%1)"/>
      <w:lvlJc w:val="left"/>
      <w:pPr>
        <w:ind w:left="780" w:hanging="4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DF77AC5"/>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17" w15:restartNumberingAfterBreak="0">
    <w:nsid w:val="76FE4989"/>
    <w:multiLevelType w:val="multilevel"/>
    <w:tmpl w:val="4C72462C"/>
    <w:lvl w:ilvl="0">
      <w:start w:val="1"/>
      <w:numFmt w:val="decimal"/>
      <w:lvlText w:val="%1."/>
      <w:lvlJc w:val="left"/>
      <w:pPr>
        <w:ind w:left="649" w:hanging="360"/>
      </w:pPr>
    </w:lvl>
    <w:lvl w:ilvl="1">
      <w:start w:val="1"/>
      <w:numFmt w:val="decimal"/>
      <w:lvlText w:val="%1.%2."/>
      <w:lvlJc w:val="left"/>
      <w:pPr>
        <w:ind w:left="1081" w:hanging="432"/>
      </w:pPr>
    </w:lvl>
    <w:lvl w:ilvl="2">
      <w:start w:val="1"/>
      <w:numFmt w:val="decimal"/>
      <w:lvlText w:val="%1.%2.%3."/>
      <w:lvlJc w:val="left"/>
      <w:pPr>
        <w:ind w:left="1513" w:hanging="504"/>
      </w:pPr>
    </w:lvl>
    <w:lvl w:ilvl="3">
      <w:start w:val="1"/>
      <w:numFmt w:val="decimal"/>
      <w:lvlText w:val="%1.%2.%3.%4."/>
      <w:lvlJc w:val="left"/>
      <w:pPr>
        <w:ind w:left="2017" w:hanging="648"/>
      </w:pPr>
    </w:lvl>
    <w:lvl w:ilvl="4">
      <w:start w:val="1"/>
      <w:numFmt w:val="decimal"/>
      <w:lvlText w:val="%1.%2.%3.%4.%5."/>
      <w:lvlJc w:val="left"/>
      <w:pPr>
        <w:ind w:left="2521" w:hanging="792"/>
      </w:pPr>
    </w:lvl>
    <w:lvl w:ilvl="5">
      <w:start w:val="1"/>
      <w:numFmt w:val="decimal"/>
      <w:lvlText w:val="%1.%2.%3.%4.%5.%6."/>
      <w:lvlJc w:val="left"/>
      <w:pPr>
        <w:ind w:left="3025" w:hanging="936"/>
      </w:pPr>
    </w:lvl>
    <w:lvl w:ilvl="6">
      <w:start w:val="1"/>
      <w:numFmt w:val="decimal"/>
      <w:lvlText w:val="%1.%2.%3.%4.%5.%6.%7."/>
      <w:lvlJc w:val="left"/>
      <w:pPr>
        <w:ind w:left="3529" w:hanging="1080"/>
      </w:pPr>
    </w:lvl>
    <w:lvl w:ilvl="7">
      <w:start w:val="1"/>
      <w:numFmt w:val="decimal"/>
      <w:lvlText w:val="%1.%2.%3.%4.%5.%6.%7.%8."/>
      <w:lvlJc w:val="left"/>
      <w:pPr>
        <w:ind w:left="4033" w:hanging="1224"/>
      </w:pPr>
    </w:lvl>
    <w:lvl w:ilvl="8">
      <w:start w:val="1"/>
      <w:numFmt w:val="decimal"/>
      <w:lvlText w:val="%1.%2.%3.%4.%5.%6.%7.%8.%9."/>
      <w:lvlJc w:val="left"/>
      <w:pPr>
        <w:ind w:left="4609" w:hanging="1440"/>
      </w:pPr>
    </w:lvl>
  </w:abstractNum>
  <w:num w:numId="1" w16cid:durableId="451554505">
    <w:abstractNumId w:val="0"/>
  </w:num>
  <w:num w:numId="2" w16cid:durableId="1346905469">
    <w:abstractNumId w:val="6"/>
  </w:num>
  <w:num w:numId="3" w16cid:durableId="1137838539">
    <w:abstractNumId w:val="1"/>
  </w:num>
  <w:num w:numId="4" w16cid:durableId="393353893">
    <w:abstractNumId w:val="12"/>
  </w:num>
  <w:num w:numId="5" w16cid:durableId="1380782346">
    <w:abstractNumId w:val="11"/>
  </w:num>
  <w:num w:numId="6" w16cid:durableId="1431972255">
    <w:abstractNumId w:val="5"/>
  </w:num>
  <w:num w:numId="7" w16cid:durableId="1891383959">
    <w:abstractNumId w:val="9"/>
  </w:num>
  <w:num w:numId="8" w16cid:durableId="337462325">
    <w:abstractNumId w:val="4"/>
  </w:num>
  <w:num w:numId="9" w16cid:durableId="471948156">
    <w:abstractNumId w:val="16"/>
  </w:num>
  <w:num w:numId="10" w16cid:durableId="702288592">
    <w:abstractNumId w:val="3"/>
  </w:num>
  <w:num w:numId="11" w16cid:durableId="1771394902">
    <w:abstractNumId w:val="8"/>
  </w:num>
  <w:num w:numId="12" w16cid:durableId="412314257">
    <w:abstractNumId w:val="10"/>
  </w:num>
  <w:num w:numId="13" w16cid:durableId="1545292056">
    <w:abstractNumId w:val="14"/>
  </w:num>
  <w:num w:numId="14" w16cid:durableId="659426914">
    <w:abstractNumId w:val="15"/>
  </w:num>
  <w:num w:numId="15" w16cid:durableId="862087595">
    <w:abstractNumId w:val="13"/>
  </w:num>
  <w:num w:numId="16" w16cid:durableId="1226406766">
    <w:abstractNumId w:val="17"/>
  </w:num>
  <w:num w:numId="17" w16cid:durableId="2138374871">
    <w:abstractNumId w:val="7"/>
  </w:num>
  <w:num w:numId="18" w16cid:durableId="154154871">
    <w:abstractNumId w:val="2"/>
  </w:num>
  <w:num w:numId="19" w16cid:durableId="6266604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proofState w:spelling="clean" w:grammar="clean"/>
  <w:defaultTabStop w:val="709"/>
  <w:hyphenationZone w:val="425"/>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034D"/>
    <w:rsid w:val="000009E1"/>
    <w:rsid w:val="0000160D"/>
    <w:rsid w:val="000024BB"/>
    <w:rsid w:val="000100ED"/>
    <w:rsid w:val="00011022"/>
    <w:rsid w:val="0001202E"/>
    <w:rsid w:val="0001497D"/>
    <w:rsid w:val="00014E04"/>
    <w:rsid w:val="00014E94"/>
    <w:rsid w:val="00014F7C"/>
    <w:rsid w:val="00015735"/>
    <w:rsid w:val="0001597F"/>
    <w:rsid w:val="00015F94"/>
    <w:rsid w:val="00020A3E"/>
    <w:rsid w:val="00020ACE"/>
    <w:rsid w:val="00020DB6"/>
    <w:rsid w:val="0002152C"/>
    <w:rsid w:val="00023333"/>
    <w:rsid w:val="00023422"/>
    <w:rsid w:val="000234D8"/>
    <w:rsid w:val="00023B5C"/>
    <w:rsid w:val="0002406B"/>
    <w:rsid w:val="0002553B"/>
    <w:rsid w:val="00026B2A"/>
    <w:rsid w:val="000271F2"/>
    <w:rsid w:val="00027994"/>
    <w:rsid w:val="00027C4C"/>
    <w:rsid w:val="0003065F"/>
    <w:rsid w:val="000307E4"/>
    <w:rsid w:val="00031EA5"/>
    <w:rsid w:val="00032DFC"/>
    <w:rsid w:val="00034C50"/>
    <w:rsid w:val="000356D5"/>
    <w:rsid w:val="000378CB"/>
    <w:rsid w:val="000416A1"/>
    <w:rsid w:val="000416E8"/>
    <w:rsid w:val="00041D44"/>
    <w:rsid w:val="00042C2A"/>
    <w:rsid w:val="00042E6E"/>
    <w:rsid w:val="00046B59"/>
    <w:rsid w:val="000471BB"/>
    <w:rsid w:val="00047202"/>
    <w:rsid w:val="00050F12"/>
    <w:rsid w:val="000518A4"/>
    <w:rsid w:val="00052D0D"/>
    <w:rsid w:val="000558A6"/>
    <w:rsid w:val="00056830"/>
    <w:rsid w:val="00057E4F"/>
    <w:rsid w:val="000617C6"/>
    <w:rsid w:val="00062B54"/>
    <w:rsid w:val="00065105"/>
    <w:rsid w:val="00065A15"/>
    <w:rsid w:val="00070183"/>
    <w:rsid w:val="000704D8"/>
    <w:rsid w:val="000718E0"/>
    <w:rsid w:val="00071EA2"/>
    <w:rsid w:val="00072F07"/>
    <w:rsid w:val="00072F78"/>
    <w:rsid w:val="00073B61"/>
    <w:rsid w:val="00074465"/>
    <w:rsid w:val="00076535"/>
    <w:rsid w:val="000766AD"/>
    <w:rsid w:val="00080513"/>
    <w:rsid w:val="0008156B"/>
    <w:rsid w:val="00085C40"/>
    <w:rsid w:val="000876AD"/>
    <w:rsid w:val="00090029"/>
    <w:rsid w:val="0009010B"/>
    <w:rsid w:val="0009082D"/>
    <w:rsid w:val="00090C40"/>
    <w:rsid w:val="00090CB8"/>
    <w:rsid w:val="00092F0C"/>
    <w:rsid w:val="00094577"/>
    <w:rsid w:val="0009466D"/>
    <w:rsid w:val="00096B7F"/>
    <w:rsid w:val="00096E53"/>
    <w:rsid w:val="00097A1C"/>
    <w:rsid w:val="00097D72"/>
    <w:rsid w:val="000A192F"/>
    <w:rsid w:val="000A2D00"/>
    <w:rsid w:val="000A39DE"/>
    <w:rsid w:val="000A48B0"/>
    <w:rsid w:val="000A48D2"/>
    <w:rsid w:val="000A5A0C"/>
    <w:rsid w:val="000A6917"/>
    <w:rsid w:val="000A6EC9"/>
    <w:rsid w:val="000B03E6"/>
    <w:rsid w:val="000B1079"/>
    <w:rsid w:val="000B1B6D"/>
    <w:rsid w:val="000B4A11"/>
    <w:rsid w:val="000B546E"/>
    <w:rsid w:val="000B5CA7"/>
    <w:rsid w:val="000B6387"/>
    <w:rsid w:val="000B6700"/>
    <w:rsid w:val="000B72D4"/>
    <w:rsid w:val="000C133B"/>
    <w:rsid w:val="000C31ED"/>
    <w:rsid w:val="000C3D18"/>
    <w:rsid w:val="000C5BFF"/>
    <w:rsid w:val="000C7BCC"/>
    <w:rsid w:val="000D029B"/>
    <w:rsid w:val="000D15C7"/>
    <w:rsid w:val="000D3758"/>
    <w:rsid w:val="000D3FC8"/>
    <w:rsid w:val="000E112D"/>
    <w:rsid w:val="000E2827"/>
    <w:rsid w:val="000E30F3"/>
    <w:rsid w:val="000E3A97"/>
    <w:rsid w:val="000E4CBD"/>
    <w:rsid w:val="000E5CF2"/>
    <w:rsid w:val="000E6722"/>
    <w:rsid w:val="000E7B94"/>
    <w:rsid w:val="000F00FB"/>
    <w:rsid w:val="000F59BC"/>
    <w:rsid w:val="000F7083"/>
    <w:rsid w:val="000F783D"/>
    <w:rsid w:val="00100D16"/>
    <w:rsid w:val="00101C73"/>
    <w:rsid w:val="00102CDF"/>
    <w:rsid w:val="0010379C"/>
    <w:rsid w:val="00105E2E"/>
    <w:rsid w:val="00106EF9"/>
    <w:rsid w:val="001075D7"/>
    <w:rsid w:val="00107AC7"/>
    <w:rsid w:val="00111022"/>
    <w:rsid w:val="00111A9A"/>
    <w:rsid w:val="0011208F"/>
    <w:rsid w:val="00112CAC"/>
    <w:rsid w:val="0011317C"/>
    <w:rsid w:val="00114229"/>
    <w:rsid w:val="001170A5"/>
    <w:rsid w:val="00120D19"/>
    <w:rsid w:val="00123CB3"/>
    <w:rsid w:val="00123FF5"/>
    <w:rsid w:val="001241C0"/>
    <w:rsid w:val="00126424"/>
    <w:rsid w:val="0012799D"/>
    <w:rsid w:val="0013234C"/>
    <w:rsid w:val="00134C13"/>
    <w:rsid w:val="00135B40"/>
    <w:rsid w:val="00136A9B"/>
    <w:rsid w:val="00137460"/>
    <w:rsid w:val="00140230"/>
    <w:rsid w:val="00140AA7"/>
    <w:rsid w:val="0014149A"/>
    <w:rsid w:val="00145688"/>
    <w:rsid w:val="00146621"/>
    <w:rsid w:val="00147234"/>
    <w:rsid w:val="001543F3"/>
    <w:rsid w:val="00154791"/>
    <w:rsid w:val="00154BAB"/>
    <w:rsid w:val="0015618C"/>
    <w:rsid w:val="00156311"/>
    <w:rsid w:val="00160A14"/>
    <w:rsid w:val="00161D8F"/>
    <w:rsid w:val="00162889"/>
    <w:rsid w:val="00162BFD"/>
    <w:rsid w:val="001633FF"/>
    <w:rsid w:val="0016525A"/>
    <w:rsid w:val="00165F27"/>
    <w:rsid w:val="00167B0A"/>
    <w:rsid w:val="001703AC"/>
    <w:rsid w:val="00170DC2"/>
    <w:rsid w:val="00171A7A"/>
    <w:rsid w:val="001730DC"/>
    <w:rsid w:val="00173867"/>
    <w:rsid w:val="00173CA6"/>
    <w:rsid w:val="00176459"/>
    <w:rsid w:val="00176E49"/>
    <w:rsid w:val="00177B58"/>
    <w:rsid w:val="001810F5"/>
    <w:rsid w:val="001826B3"/>
    <w:rsid w:val="00185774"/>
    <w:rsid w:val="00187189"/>
    <w:rsid w:val="001873F8"/>
    <w:rsid w:val="001878E8"/>
    <w:rsid w:val="00190134"/>
    <w:rsid w:val="00190EB5"/>
    <w:rsid w:val="00195BB0"/>
    <w:rsid w:val="0019622B"/>
    <w:rsid w:val="001A14AF"/>
    <w:rsid w:val="001A3CC7"/>
    <w:rsid w:val="001A72F5"/>
    <w:rsid w:val="001A7BAA"/>
    <w:rsid w:val="001B122D"/>
    <w:rsid w:val="001B1C27"/>
    <w:rsid w:val="001B2459"/>
    <w:rsid w:val="001B2A42"/>
    <w:rsid w:val="001B2E24"/>
    <w:rsid w:val="001B5D83"/>
    <w:rsid w:val="001B7BB1"/>
    <w:rsid w:val="001C1BC2"/>
    <w:rsid w:val="001C2527"/>
    <w:rsid w:val="001C415D"/>
    <w:rsid w:val="001C43DA"/>
    <w:rsid w:val="001C5710"/>
    <w:rsid w:val="001C58B5"/>
    <w:rsid w:val="001C70E7"/>
    <w:rsid w:val="001D05A6"/>
    <w:rsid w:val="001D06EA"/>
    <w:rsid w:val="001D1EF6"/>
    <w:rsid w:val="001D3A94"/>
    <w:rsid w:val="001D3B53"/>
    <w:rsid w:val="001D4649"/>
    <w:rsid w:val="001D570F"/>
    <w:rsid w:val="001D5F8D"/>
    <w:rsid w:val="001D626D"/>
    <w:rsid w:val="001D697D"/>
    <w:rsid w:val="001D723C"/>
    <w:rsid w:val="001E13C8"/>
    <w:rsid w:val="001E1B03"/>
    <w:rsid w:val="001E20B4"/>
    <w:rsid w:val="001E326C"/>
    <w:rsid w:val="001E350A"/>
    <w:rsid w:val="001E40EE"/>
    <w:rsid w:val="001E54F8"/>
    <w:rsid w:val="001E61F5"/>
    <w:rsid w:val="001E7CA4"/>
    <w:rsid w:val="001F02A2"/>
    <w:rsid w:val="001F1D46"/>
    <w:rsid w:val="001F26FA"/>
    <w:rsid w:val="001F4930"/>
    <w:rsid w:val="001F7A15"/>
    <w:rsid w:val="001F7C03"/>
    <w:rsid w:val="001F7D78"/>
    <w:rsid w:val="001F7F8B"/>
    <w:rsid w:val="00201EE5"/>
    <w:rsid w:val="00202338"/>
    <w:rsid w:val="00202CB1"/>
    <w:rsid w:val="00202ED0"/>
    <w:rsid w:val="00203AB8"/>
    <w:rsid w:val="002043BF"/>
    <w:rsid w:val="002045A8"/>
    <w:rsid w:val="002045FB"/>
    <w:rsid w:val="0020544C"/>
    <w:rsid w:val="002056AC"/>
    <w:rsid w:val="0020655A"/>
    <w:rsid w:val="00207683"/>
    <w:rsid w:val="0021372A"/>
    <w:rsid w:val="00213888"/>
    <w:rsid w:val="00214348"/>
    <w:rsid w:val="00214E1F"/>
    <w:rsid w:val="00215A6E"/>
    <w:rsid w:val="00216199"/>
    <w:rsid w:val="00220007"/>
    <w:rsid w:val="002204F6"/>
    <w:rsid w:val="00220961"/>
    <w:rsid w:val="00222B0D"/>
    <w:rsid w:val="00224577"/>
    <w:rsid w:val="0022488B"/>
    <w:rsid w:val="00225073"/>
    <w:rsid w:val="002252FA"/>
    <w:rsid w:val="002262BE"/>
    <w:rsid w:val="00231CBA"/>
    <w:rsid w:val="002327F0"/>
    <w:rsid w:val="002338A1"/>
    <w:rsid w:val="00233FC7"/>
    <w:rsid w:val="002355ED"/>
    <w:rsid w:val="00236A03"/>
    <w:rsid w:val="002376B5"/>
    <w:rsid w:val="00237E74"/>
    <w:rsid w:val="002405BC"/>
    <w:rsid w:val="002415C4"/>
    <w:rsid w:val="00241826"/>
    <w:rsid w:val="00246A50"/>
    <w:rsid w:val="00246C20"/>
    <w:rsid w:val="00246E4A"/>
    <w:rsid w:val="002503C1"/>
    <w:rsid w:val="00250AC4"/>
    <w:rsid w:val="002512F6"/>
    <w:rsid w:val="00251AC0"/>
    <w:rsid w:val="00253928"/>
    <w:rsid w:val="00253F01"/>
    <w:rsid w:val="00255D3E"/>
    <w:rsid w:val="00257976"/>
    <w:rsid w:val="0026204A"/>
    <w:rsid w:val="0026217A"/>
    <w:rsid w:val="002624A1"/>
    <w:rsid w:val="002628C3"/>
    <w:rsid w:val="00263C55"/>
    <w:rsid w:val="00263F22"/>
    <w:rsid w:val="00264940"/>
    <w:rsid w:val="00266CB7"/>
    <w:rsid w:val="00266CFB"/>
    <w:rsid w:val="00267666"/>
    <w:rsid w:val="0027124A"/>
    <w:rsid w:val="0027227D"/>
    <w:rsid w:val="0027238B"/>
    <w:rsid w:val="002730EE"/>
    <w:rsid w:val="002731D8"/>
    <w:rsid w:val="00273A9A"/>
    <w:rsid w:val="0027471C"/>
    <w:rsid w:val="002800C0"/>
    <w:rsid w:val="00281128"/>
    <w:rsid w:val="00282E6A"/>
    <w:rsid w:val="00283290"/>
    <w:rsid w:val="00283A2B"/>
    <w:rsid w:val="00283A4E"/>
    <w:rsid w:val="00284D32"/>
    <w:rsid w:val="002850BE"/>
    <w:rsid w:val="00286C1E"/>
    <w:rsid w:val="00287DCC"/>
    <w:rsid w:val="0029119A"/>
    <w:rsid w:val="00292217"/>
    <w:rsid w:val="00292E8A"/>
    <w:rsid w:val="0029353D"/>
    <w:rsid w:val="00293787"/>
    <w:rsid w:val="00294060"/>
    <w:rsid w:val="00294844"/>
    <w:rsid w:val="00296DE2"/>
    <w:rsid w:val="00297B8B"/>
    <w:rsid w:val="002A0396"/>
    <w:rsid w:val="002A0AAF"/>
    <w:rsid w:val="002A15E6"/>
    <w:rsid w:val="002A215E"/>
    <w:rsid w:val="002A27AD"/>
    <w:rsid w:val="002A4D55"/>
    <w:rsid w:val="002A574E"/>
    <w:rsid w:val="002A5CD0"/>
    <w:rsid w:val="002A6966"/>
    <w:rsid w:val="002A7FB0"/>
    <w:rsid w:val="002B05E4"/>
    <w:rsid w:val="002B0AE8"/>
    <w:rsid w:val="002B26BE"/>
    <w:rsid w:val="002B4944"/>
    <w:rsid w:val="002C0618"/>
    <w:rsid w:val="002C13FD"/>
    <w:rsid w:val="002C20D0"/>
    <w:rsid w:val="002C5D5D"/>
    <w:rsid w:val="002C6005"/>
    <w:rsid w:val="002C6F52"/>
    <w:rsid w:val="002D4077"/>
    <w:rsid w:val="002D4BA2"/>
    <w:rsid w:val="002D528E"/>
    <w:rsid w:val="002D7795"/>
    <w:rsid w:val="002D7AB7"/>
    <w:rsid w:val="002E1741"/>
    <w:rsid w:val="002E29BA"/>
    <w:rsid w:val="002E2FD5"/>
    <w:rsid w:val="002E3125"/>
    <w:rsid w:val="002E3371"/>
    <w:rsid w:val="002E481F"/>
    <w:rsid w:val="002E5CCC"/>
    <w:rsid w:val="002F1BC2"/>
    <w:rsid w:val="002F4C15"/>
    <w:rsid w:val="002F5955"/>
    <w:rsid w:val="002F59D3"/>
    <w:rsid w:val="002F5A76"/>
    <w:rsid w:val="002F62BA"/>
    <w:rsid w:val="003008CF"/>
    <w:rsid w:val="003021F0"/>
    <w:rsid w:val="0030615E"/>
    <w:rsid w:val="003072DA"/>
    <w:rsid w:val="00307F51"/>
    <w:rsid w:val="00310366"/>
    <w:rsid w:val="003124B4"/>
    <w:rsid w:val="00312DC7"/>
    <w:rsid w:val="00313255"/>
    <w:rsid w:val="0031377A"/>
    <w:rsid w:val="0031421F"/>
    <w:rsid w:val="00316907"/>
    <w:rsid w:val="00316E51"/>
    <w:rsid w:val="003202E9"/>
    <w:rsid w:val="003216E3"/>
    <w:rsid w:val="00322370"/>
    <w:rsid w:val="00322F6F"/>
    <w:rsid w:val="0032342D"/>
    <w:rsid w:val="003236A1"/>
    <w:rsid w:val="0032478C"/>
    <w:rsid w:val="003253EA"/>
    <w:rsid w:val="00325B2C"/>
    <w:rsid w:val="003279AA"/>
    <w:rsid w:val="0033002E"/>
    <w:rsid w:val="003314EC"/>
    <w:rsid w:val="00332D7A"/>
    <w:rsid w:val="00332E4B"/>
    <w:rsid w:val="00333E50"/>
    <w:rsid w:val="003349FC"/>
    <w:rsid w:val="00335FBD"/>
    <w:rsid w:val="00337D66"/>
    <w:rsid w:val="00343139"/>
    <w:rsid w:val="00345D99"/>
    <w:rsid w:val="00347DCE"/>
    <w:rsid w:val="00347F82"/>
    <w:rsid w:val="00352859"/>
    <w:rsid w:val="00352CDE"/>
    <w:rsid w:val="00353156"/>
    <w:rsid w:val="003549EA"/>
    <w:rsid w:val="00354C9E"/>
    <w:rsid w:val="00355D15"/>
    <w:rsid w:val="00357141"/>
    <w:rsid w:val="00357CE6"/>
    <w:rsid w:val="003629B0"/>
    <w:rsid w:val="003656FD"/>
    <w:rsid w:val="00366C90"/>
    <w:rsid w:val="00367278"/>
    <w:rsid w:val="00367A70"/>
    <w:rsid w:val="003722A9"/>
    <w:rsid w:val="0037247B"/>
    <w:rsid w:val="00373521"/>
    <w:rsid w:val="00374C77"/>
    <w:rsid w:val="00375853"/>
    <w:rsid w:val="00377156"/>
    <w:rsid w:val="00377FDB"/>
    <w:rsid w:val="0038183A"/>
    <w:rsid w:val="00381A45"/>
    <w:rsid w:val="00382B7C"/>
    <w:rsid w:val="00383FE1"/>
    <w:rsid w:val="0038410F"/>
    <w:rsid w:val="00384334"/>
    <w:rsid w:val="003854D2"/>
    <w:rsid w:val="00385C64"/>
    <w:rsid w:val="003871C8"/>
    <w:rsid w:val="0039085A"/>
    <w:rsid w:val="00391124"/>
    <w:rsid w:val="00391BDE"/>
    <w:rsid w:val="00392D05"/>
    <w:rsid w:val="00393FFE"/>
    <w:rsid w:val="003941EC"/>
    <w:rsid w:val="00394BA2"/>
    <w:rsid w:val="00394CC8"/>
    <w:rsid w:val="00395534"/>
    <w:rsid w:val="00396E3F"/>
    <w:rsid w:val="003A0E7C"/>
    <w:rsid w:val="003A1E43"/>
    <w:rsid w:val="003A302A"/>
    <w:rsid w:val="003A3207"/>
    <w:rsid w:val="003A419C"/>
    <w:rsid w:val="003A699E"/>
    <w:rsid w:val="003A7176"/>
    <w:rsid w:val="003B2EA6"/>
    <w:rsid w:val="003B4A86"/>
    <w:rsid w:val="003B50E1"/>
    <w:rsid w:val="003C188D"/>
    <w:rsid w:val="003C4E07"/>
    <w:rsid w:val="003C61D2"/>
    <w:rsid w:val="003D3665"/>
    <w:rsid w:val="003D455D"/>
    <w:rsid w:val="003D50AF"/>
    <w:rsid w:val="003D5504"/>
    <w:rsid w:val="003D677D"/>
    <w:rsid w:val="003E400A"/>
    <w:rsid w:val="003E448A"/>
    <w:rsid w:val="003E7EE2"/>
    <w:rsid w:val="003F3CDB"/>
    <w:rsid w:val="003F4214"/>
    <w:rsid w:val="003F493A"/>
    <w:rsid w:val="003F4E9A"/>
    <w:rsid w:val="003F6AB9"/>
    <w:rsid w:val="003F72BC"/>
    <w:rsid w:val="00402849"/>
    <w:rsid w:val="00404F9A"/>
    <w:rsid w:val="0040587A"/>
    <w:rsid w:val="004068FB"/>
    <w:rsid w:val="004069FC"/>
    <w:rsid w:val="00406AFE"/>
    <w:rsid w:val="004100C9"/>
    <w:rsid w:val="00410D12"/>
    <w:rsid w:val="00410E6D"/>
    <w:rsid w:val="00411B29"/>
    <w:rsid w:val="00412504"/>
    <w:rsid w:val="00413636"/>
    <w:rsid w:val="00415E36"/>
    <w:rsid w:val="0041616C"/>
    <w:rsid w:val="004163F7"/>
    <w:rsid w:val="00417104"/>
    <w:rsid w:val="00420213"/>
    <w:rsid w:val="0042057B"/>
    <w:rsid w:val="00420584"/>
    <w:rsid w:val="00420C35"/>
    <w:rsid w:val="004223D2"/>
    <w:rsid w:val="00423858"/>
    <w:rsid w:val="00424FC5"/>
    <w:rsid w:val="004268CF"/>
    <w:rsid w:val="00426A6B"/>
    <w:rsid w:val="00426FA7"/>
    <w:rsid w:val="0042728D"/>
    <w:rsid w:val="00427377"/>
    <w:rsid w:val="0042781F"/>
    <w:rsid w:val="00430536"/>
    <w:rsid w:val="00431762"/>
    <w:rsid w:val="00432945"/>
    <w:rsid w:val="00434B4B"/>
    <w:rsid w:val="00434C08"/>
    <w:rsid w:val="00435041"/>
    <w:rsid w:val="00436F76"/>
    <w:rsid w:val="00437C93"/>
    <w:rsid w:val="004402E4"/>
    <w:rsid w:val="004407C2"/>
    <w:rsid w:val="00441746"/>
    <w:rsid w:val="00441F80"/>
    <w:rsid w:val="004425CB"/>
    <w:rsid w:val="00442CC1"/>
    <w:rsid w:val="004432CE"/>
    <w:rsid w:val="00444510"/>
    <w:rsid w:val="0045034D"/>
    <w:rsid w:val="004508EE"/>
    <w:rsid w:val="00452260"/>
    <w:rsid w:val="0045252F"/>
    <w:rsid w:val="0045263B"/>
    <w:rsid w:val="00453FA4"/>
    <w:rsid w:val="00454223"/>
    <w:rsid w:val="00454A0A"/>
    <w:rsid w:val="0045619B"/>
    <w:rsid w:val="0045633F"/>
    <w:rsid w:val="00457902"/>
    <w:rsid w:val="00461B1F"/>
    <w:rsid w:val="004625B0"/>
    <w:rsid w:val="004626B0"/>
    <w:rsid w:val="004633A6"/>
    <w:rsid w:val="00464B4E"/>
    <w:rsid w:val="00464DC9"/>
    <w:rsid w:val="004657F7"/>
    <w:rsid w:val="004658F4"/>
    <w:rsid w:val="00466230"/>
    <w:rsid w:val="004677C5"/>
    <w:rsid w:val="00472539"/>
    <w:rsid w:val="00473735"/>
    <w:rsid w:val="00473CE6"/>
    <w:rsid w:val="00474C4E"/>
    <w:rsid w:val="004755CA"/>
    <w:rsid w:val="00475651"/>
    <w:rsid w:val="004761BD"/>
    <w:rsid w:val="00476705"/>
    <w:rsid w:val="0047792E"/>
    <w:rsid w:val="00481FFD"/>
    <w:rsid w:val="004822FB"/>
    <w:rsid w:val="00483F15"/>
    <w:rsid w:val="00484F5C"/>
    <w:rsid w:val="00487E5B"/>
    <w:rsid w:val="00490C32"/>
    <w:rsid w:val="004912E3"/>
    <w:rsid w:val="004920F6"/>
    <w:rsid w:val="00492BE8"/>
    <w:rsid w:val="0049316A"/>
    <w:rsid w:val="004936FB"/>
    <w:rsid w:val="00493C79"/>
    <w:rsid w:val="004959F3"/>
    <w:rsid w:val="004A126C"/>
    <w:rsid w:val="004A1659"/>
    <w:rsid w:val="004A260A"/>
    <w:rsid w:val="004A3736"/>
    <w:rsid w:val="004A3D30"/>
    <w:rsid w:val="004A3E53"/>
    <w:rsid w:val="004A4A52"/>
    <w:rsid w:val="004A6E64"/>
    <w:rsid w:val="004B02D0"/>
    <w:rsid w:val="004B0816"/>
    <w:rsid w:val="004B0FF0"/>
    <w:rsid w:val="004B3602"/>
    <w:rsid w:val="004B755E"/>
    <w:rsid w:val="004C06C2"/>
    <w:rsid w:val="004C14C9"/>
    <w:rsid w:val="004C27A1"/>
    <w:rsid w:val="004C47F4"/>
    <w:rsid w:val="004C538F"/>
    <w:rsid w:val="004C6387"/>
    <w:rsid w:val="004C7C2B"/>
    <w:rsid w:val="004D14CB"/>
    <w:rsid w:val="004D24AE"/>
    <w:rsid w:val="004D39C3"/>
    <w:rsid w:val="004D4951"/>
    <w:rsid w:val="004D5C3A"/>
    <w:rsid w:val="004D6190"/>
    <w:rsid w:val="004D631B"/>
    <w:rsid w:val="004D6C35"/>
    <w:rsid w:val="004E0787"/>
    <w:rsid w:val="004E1AE9"/>
    <w:rsid w:val="004E4284"/>
    <w:rsid w:val="004E7576"/>
    <w:rsid w:val="004E75A4"/>
    <w:rsid w:val="004F13F9"/>
    <w:rsid w:val="004F1D5E"/>
    <w:rsid w:val="004F32EB"/>
    <w:rsid w:val="004F4231"/>
    <w:rsid w:val="004F69AF"/>
    <w:rsid w:val="005006DC"/>
    <w:rsid w:val="00500B57"/>
    <w:rsid w:val="005014FC"/>
    <w:rsid w:val="00501E49"/>
    <w:rsid w:val="00502DC6"/>
    <w:rsid w:val="005034C4"/>
    <w:rsid w:val="00504F0A"/>
    <w:rsid w:val="005050C9"/>
    <w:rsid w:val="005072EC"/>
    <w:rsid w:val="005104C7"/>
    <w:rsid w:val="005108C3"/>
    <w:rsid w:val="00510F5E"/>
    <w:rsid w:val="005114A6"/>
    <w:rsid w:val="00512BD3"/>
    <w:rsid w:val="00512C60"/>
    <w:rsid w:val="00513348"/>
    <w:rsid w:val="00514ED1"/>
    <w:rsid w:val="005156C3"/>
    <w:rsid w:val="00515DB1"/>
    <w:rsid w:val="005163A2"/>
    <w:rsid w:val="00516723"/>
    <w:rsid w:val="00516CA4"/>
    <w:rsid w:val="00517472"/>
    <w:rsid w:val="00520687"/>
    <w:rsid w:val="005207D2"/>
    <w:rsid w:val="00521E01"/>
    <w:rsid w:val="005221E4"/>
    <w:rsid w:val="005222AA"/>
    <w:rsid w:val="005225B9"/>
    <w:rsid w:val="00523498"/>
    <w:rsid w:val="00524075"/>
    <w:rsid w:val="00525BD2"/>
    <w:rsid w:val="005263D2"/>
    <w:rsid w:val="00527039"/>
    <w:rsid w:val="00531AC0"/>
    <w:rsid w:val="00532807"/>
    <w:rsid w:val="005334D1"/>
    <w:rsid w:val="00533D71"/>
    <w:rsid w:val="00535FE7"/>
    <w:rsid w:val="00541332"/>
    <w:rsid w:val="00541463"/>
    <w:rsid w:val="00541E20"/>
    <w:rsid w:val="005428B3"/>
    <w:rsid w:val="00544E41"/>
    <w:rsid w:val="00545053"/>
    <w:rsid w:val="00545817"/>
    <w:rsid w:val="00547768"/>
    <w:rsid w:val="0055362A"/>
    <w:rsid w:val="0055493B"/>
    <w:rsid w:val="00554BDE"/>
    <w:rsid w:val="00554ECD"/>
    <w:rsid w:val="00555369"/>
    <w:rsid w:val="00555CFA"/>
    <w:rsid w:val="005605FE"/>
    <w:rsid w:val="0056185E"/>
    <w:rsid w:val="005622AF"/>
    <w:rsid w:val="0056275B"/>
    <w:rsid w:val="00564CA3"/>
    <w:rsid w:val="0056728E"/>
    <w:rsid w:val="00567813"/>
    <w:rsid w:val="0057178A"/>
    <w:rsid w:val="00572759"/>
    <w:rsid w:val="0057381B"/>
    <w:rsid w:val="00576E84"/>
    <w:rsid w:val="00577EB8"/>
    <w:rsid w:val="00582088"/>
    <w:rsid w:val="00582752"/>
    <w:rsid w:val="00582BED"/>
    <w:rsid w:val="005843EA"/>
    <w:rsid w:val="00584BF8"/>
    <w:rsid w:val="005856F2"/>
    <w:rsid w:val="00587773"/>
    <w:rsid w:val="00590D00"/>
    <w:rsid w:val="00591476"/>
    <w:rsid w:val="00592DC1"/>
    <w:rsid w:val="00593865"/>
    <w:rsid w:val="005949C5"/>
    <w:rsid w:val="00597B37"/>
    <w:rsid w:val="00597D36"/>
    <w:rsid w:val="005A1A57"/>
    <w:rsid w:val="005A2E25"/>
    <w:rsid w:val="005A2FF0"/>
    <w:rsid w:val="005A314A"/>
    <w:rsid w:val="005A37DD"/>
    <w:rsid w:val="005A3834"/>
    <w:rsid w:val="005A4540"/>
    <w:rsid w:val="005A6D17"/>
    <w:rsid w:val="005A6DC7"/>
    <w:rsid w:val="005A797C"/>
    <w:rsid w:val="005B06EB"/>
    <w:rsid w:val="005B0C17"/>
    <w:rsid w:val="005B0D33"/>
    <w:rsid w:val="005B1FCB"/>
    <w:rsid w:val="005B2F3D"/>
    <w:rsid w:val="005B59F7"/>
    <w:rsid w:val="005B6000"/>
    <w:rsid w:val="005B7600"/>
    <w:rsid w:val="005B7C22"/>
    <w:rsid w:val="005B7E5F"/>
    <w:rsid w:val="005C2AA1"/>
    <w:rsid w:val="005C32EE"/>
    <w:rsid w:val="005C4185"/>
    <w:rsid w:val="005C495D"/>
    <w:rsid w:val="005C546E"/>
    <w:rsid w:val="005C67CB"/>
    <w:rsid w:val="005C6C1C"/>
    <w:rsid w:val="005C6FAB"/>
    <w:rsid w:val="005C7764"/>
    <w:rsid w:val="005D023B"/>
    <w:rsid w:val="005D14C3"/>
    <w:rsid w:val="005D171E"/>
    <w:rsid w:val="005D2E1D"/>
    <w:rsid w:val="005D4202"/>
    <w:rsid w:val="005D4876"/>
    <w:rsid w:val="005D6252"/>
    <w:rsid w:val="005D6705"/>
    <w:rsid w:val="005E0D6D"/>
    <w:rsid w:val="005E12BF"/>
    <w:rsid w:val="005E2531"/>
    <w:rsid w:val="005E4472"/>
    <w:rsid w:val="005E4870"/>
    <w:rsid w:val="005E5618"/>
    <w:rsid w:val="005E57FC"/>
    <w:rsid w:val="005E5B3D"/>
    <w:rsid w:val="005E6936"/>
    <w:rsid w:val="005E6AF1"/>
    <w:rsid w:val="005E6BE4"/>
    <w:rsid w:val="005E76AA"/>
    <w:rsid w:val="005E7A9B"/>
    <w:rsid w:val="005F02DC"/>
    <w:rsid w:val="005F41C6"/>
    <w:rsid w:val="005F421E"/>
    <w:rsid w:val="005F642F"/>
    <w:rsid w:val="005F6849"/>
    <w:rsid w:val="005F6C7B"/>
    <w:rsid w:val="005F6DA8"/>
    <w:rsid w:val="00603107"/>
    <w:rsid w:val="006041DD"/>
    <w:rsid w:val="00605E9E"/>
    <w:rsid w:val="006075BA"/>
    <w:rsid w:val="00607B04"/>
    <w:rsid w:val="00610885"/>
    <w:rsid w:val="00613240"/>
    <w:rsid w:val="0061512C"/>
    <w:rsid w:val="00617BCE"/>
    <w:rsid w:val="00620DDF"/>
    <w:rsid w:val="00621F7E"/>
    <w:rsid w:val="00622A43"/>
    <w:rsid w:val="00622B4C"/>
    <w:rsid w:val="00623213"/>
    <w:rsid w:val="00624038"/>
    <w:rsid w:val="006244FD"/>
    <w:rsid w:val="00625B58"/>
    <w:rsid w:val="006266E8"/>
    <w:rsid w:val="00630EFD"/>
    <w:rsid w:val="00632F82"/>
    <w:rsid w:val="0063300F"/>
    <w:rsid w:val="00633753"/>
    <w:rsid w:val="00633A22"/>
    <w:rsid w:val="00633F6F"/>
    <w:rsid w:val="006342F7"/>
    <w:rsid w:val="006360D2"/>
    <w:rsid w:val="00636B31"/>
    <w:rsid w:val="00640B05"/>
    <w:rsid w:val="00641DDF"/>
    <w:rsid w:val="006428ED"/>
    <w:rsid w:val="0064320E"/>
    <w:rsid w:val="00643B4F"/>
    <w:rsid w:val="00644CBB"/>
    <w:rsid w:val="00645DF9"/>
    <w:rsid w:val="006466D9"/>
    <w:rsid w:val="00646C4A"/>
    <w:rsid w:val="006508A2"/>
    <w:rsid w:val="00650CE9"/>
    <w:rsid w:val="006538CD"/>
    <w:rsid w:val="00655754"/>
    <w:rsid w:val="00657245"/>
    <w:rsid w:val="0065748C"/>
    <w:rsid w:val="00660507"/>
    <w:rsid w:val="00660E6D"/>
    <w:rsid w:val="006611DA"/>
    <w:rsid w:val="00661C8F"/>
    <w:rsid w:val="006621CE"/>
    <w:rsid w:val="006627DB"/>
    <w:rsid w:val="00663063"/>
    <w:rsid w:val="0066557B"/>
    <w:rsid w:val="00666781"/>
    <w:rsid w:val="00666B3E"/>
    <w:rsid w:val="00670F43"/>
    <w:rsid w:val="00671B3C"/>
    <w:rsid w:val="006736B1"/>
    <w:rsid w:val="006739AE"/>
    <w:rsid w:val="00674D85"/>
    <w:rsid w:val="00677ECB"/>
    <w:rsid w:val="006812CB"/>
    <w:rsid w:val="00681BEE"/>
    <w:rsid w:val="00684430"/>
    <w:rsid w:val="006849DF"/>
    <w:rsid w:val="00685769"/>
    <w:rsid w:val="00686641"/>
    <w:rsid w:val="006878FE"/>
    <w:rsid w:val="006879F0"/>
    <w:rsid w:val="00691D0A"/>
    <w:rsid w:val="00691E39"/>
    <w:rsid w:val="00693BED"/>
    <w:rsid w:val="0069599B"/>
    <w:rsid w:val="00696293"/>
    <w:rsid w:val="006973CA"/>
    <w:rsid w:val="006A0F7D"/>
    <w:rsid w:val="006A19C2"/>
    <w:rsid w:val="006A1DBD"/>
    <w:rsid w:val="006A3F9E"/>
    <w:rsid w:val="006A525B"/>
    <w:rsid w:val="006A6072"/>
    <w:rsid w:val="006A687D"/>
    <w:rsid w:val="006A705D"/>
    <w:rsid w:val="006B1315"/>
    <w:rsid w:val="006B18FC"/>
    <w:rsid w:val="006B19D2"/>
    <w:rsid w:val="006B1C6F"/>
    <w:rsid w:val="006B284C"/>
    <w:rsid w:val="006B2A38"/>
    <w:rsid w:val="006B367E"/>
    <w:rsid w:val="006B3AA3"/>
    <w:rsid w:val="006B4C21"/>
    <w:rsid w:val="006B50E3"/>
    <w:rsid w:val="006B59DE"/>
    <w:rsid w:val="006B754F"/>
    <w:rsid w:val="006B76F3"/>
    <w:rsid w:val="006B7F3A"/>
    <w:rsid w:val="006C07B7"/>
    <w:rsid w:val="006C09A0"/>
    <w:rsid w:val="006C172A"/>
    <w:rsid w:val="006C3ECA"/>
    <w:rsid w:val="006C5089"/>
    <w:rsid w:val="006C68E3"/>
    <w:rsid w:val="006D0469"/>
    <w:rsid w:val="006D0A23"/>
    <w:rsid w:val="006D1186"/>
    <w:rsid w:val="006D2587"/>
    <w:rsid w:val="006D3E7E"/>
    <w:rsid w:val="006D4E17"/>
    <w:rsid w:val="006D4E3C"/>
    <w:rsid w:val="006D64CF"/>
    <w:rsid w:val="006D7822"/>
    <w:rsid w:val="006E08F9"/>
    <w:rsid w:val="006E0BBA"/>
    <w:rsid w:val="006E29B2"/>
    <w:rsid w:val="006E4D75"/>
    <w:rsid w:val="006E5B77"/>
    <w:rsid w:val="006E7BEB"/>
    <w:rsid w:val="006F0A4B"/>
    <w:rsid w:val="006F188E"/>
    <w:rsid w:val="006F2F7B"/>
    <w:rsid w:val="006F4327"/>
    <w:rsid w:val="006F4E91"/>
    <w:rsid w:val="006F533C"/>
    <w:rsid w:val="006F582F"/>
    <w:rsid w:val="006F68F8"/>
    <w:rsid w:val="006F7312"/>
    <w:rsid w:val="006F7D4E"/>
    <w:rsid w:val="00702153"/>
    <w:rsid w:val="00702D54"/>
    <w:rsid w:val="00702D93"/>
    <w:rsid w:val="00703522"/>
    <w:rsid w:val="0070500D"/>
    <w:rsid w:val="00713FCB"/>
    <w:rsid w:val="00714C69"/>
    <w:rsid w:val="00715AF3"/>
    <w:rsid w:val="0072010C"/>
    <w:rsid w:val="00720CC0"/>
    <w:rsid w:val="00721B7E"/>
    <w:rsid w:val="0072404A"/>
    <w:rsid w:val="0072426F"/>
    <w:rsid w:val="00724EA8"/>
    <w:rsid w:val="0072627C"/>
    <w:rsid w:val="00726C46"/>
    <w:rsid w:val="0073085D"/>
    <w:rsid w:val="00730F0E"/>
    <w:rsid w:val="0073110A"/>
    <w:rsid w:val="00731353"/>
    <w:rsid w:val="00731B2A"/>
    <w:rsid w:val="0073328A"/>
    <w:rsid w:val="00735428"/>
    <w:rsid w:val="00736439"/>
    <w:rsid w:val="00737ED3"/>
    <w:rsid w:val="00740489"/>
    <w:rsid w:val="007414D0"/>
    <w:rsid w:val="007414E4"/>
    <w:rsid w:val="0074155A"/>
    <w:rsid w:val="00741F0D"/>
    <w:rsid w:val="00741FD8"/>
    <w:rsid w:val="0074329E"/>
    <w:rsid w:val="00744B12"/>
    <w:rsid w:val="00744C56"/>
    <w:rsid w:val="007450BB"/>
    <w:rsid w:val="0074560E"/>
    <w:rsid w:val="007474AB"/>
    <w:rsid w:val="00751DAC"/>
    <w:rsid w:val="00753896"/>
    <w:rsid w:val="00753DB7"/>
    <w:rsid w:val="00754739"/>
    <w:rsid w:val="00754989"/>
    <w:rsid w:val="00755222"/>
    <w:rsid w:val="0075739C"/>
    <w:rsid w:val="007579CD"/>
    <w:rsid w:val="00760EE3"/>
    <w:rsid w:val="0076264E"/>
    <w:rsid w:val="00762D29"/>
    <w:rsid w:val="00763052"/>
    <w:rsid w:val="007631DC"/>
    <w:rsid w:val="00763FC8"/>
    <w:rsid w:val="007642A8"/>
    <w:rsid w:val="007653C2"/>
    <w:rsid w:val="00765F66"/>
    <w:rsid w:val="00766B5C"/>
    <w:rsid w:val="00766E85"/>
    <w:rsid w:val="00767847"/>
    <w:rsid w:val="007707AC"/>
    <w:rsid w:val="00773723"/>
    <w:rsid w:val="00773C8A"/>
    <w:rsid w:val="0077615C"/>
    <w:rsid w:val="00776D61"/>
    <w:rsid w:val="007779BB"/>
    <w:rsid w:val="00780317"/>
    <w:rsid w:val="00781731"/>
    <w:rsid w:val="00782183"/>
    <w:rsid w:val="00782F8A"/>
    <w:rsid w:val="0078355D"/>
    <w:rsid w:val="00783ED0"/>
    <w:rsid w:val="0079114C"/>
    <w:rsid w:val="007965E8"/>
    <w:rsid w:val="00797987"/>
    <w:rsid w:val="007A250B"/>
    <w:rsid w:val="007A2720"/>
    <w:rsid w:val="007A307A"/>
    <w:rsid w:val="007A33D5"/>
    <w:rsid w:val="007A3495"/>
    <w:rsid w:val="007A350B"/>
    <w:rsid w:val="007A697A"/>
    <w:rsid w:val="007B2971"/>
    <w:rsid w:val="007B489E"/>
    <w:rsid w:val="007B494A"/>
    <w:rsid w:val="007B4F94"/>
    <w:rsid w:val="007B5BFF"/>
    <w:rsid w:val="007B7A6E"/>
    <w:rsid w:val="007C2E5B"/>
    <w:rsid w:val="007C4AF5"/>
    <w:rsid w:val="007D0366"/>
    <w:rsid w:val="007D23AF"/>
    <w:rsid w:val="007D3199"/>
    <w:rsid w:val="007D7C52"/>
    <w:rsid w:val="007E0996"/>
    <w:rsid w:val="007E11F8"/>
    <w:rsid w:val="007E166B"/>
    <w:rsid w:val="007E1D24"/>
    <w:rsid w:val="007E59F2"/>
    <w:rsid w:val="007E5E76"/>
    <w:rsid w:val="007F067B"/>
    <w:rsid w:val="007F0EA4"/>
    <w:rsid w:val="007F24CA"/>
    <w:rsid w:val="007F36CE"/>
    <w:rsid w:val="007F4C73"/>
    <w:rsid w:val="007F4FD9"/>
    <w:rsid w:val="007F5ECB"/>
    <w:rsid w:val="007F6031"/>
    <w:rsid w:val="00802CC1"/>
    <w:rsid w:val="00802D91"/>
    <w:rsid w:val="00803056"/>
    <w:rsid w:val="00803BBA"/>
    <w:rsid w:val="00803BC1"/>
    <w:rsid w:val="00803D1E"/>
    <w:rsid w:val="008041D6"/>
    <w:rsid w:val="00805D33"/>
    <w:rsid w:val="008118E0"/>
    <w:rsid w:val="008125E7"/>
    <w:rsid w:val="008128DB"/>
    <w:rsid w:val="0081345C"/>
    <w:rsid w:val="008136D0"/>
    <w:rsid w:val="00813C76"/>
    <w:rsid w:val="008149FD"/>
    <w:rsid w:val="00814BA1"/>
    <w:rsid w:val="00815624"/>
    <w:rsid w:val="00816FD5"/>
    <w:rsid w:val="008220B1"/>
    <w:rsid w:val="00822AA5"/>
    <w:rsid w:val="00823A46"/>
    <w:rsid w:val="00825ABB"/>
    <w:rsid w:val="00827527"/>
    <w:rsid w:val="00827FF8"/>
    <w:rsid w:val="00831248"/>
    <w:rsid w:val="00831A72"/>
    <w:rsid w:val="008327DB"/>
    <w:rsid w:val="00832B05"/>
    <w:rsid w:val="008341AA"/>
    <w:rsid w:val="00835894"/>
    <w:rsid w:val="00835C9D"/>
    <w:rsid w:val="00836F32"/>
    <w:rsid w:val="00837304"/>
    <w:rsid w:val="00840590"/>
    <w:rsid w:val="00841A6A"/>
    <w:rsid w:val="00844625"/>
    <w:rsid w:val="00845281"/>
    <w:rsid w:val="0084715A"/>
    <w:rsid w:val="00847EBF"/>
    <w:rsid w:val="00851192"/>
    <w:rsid w:val="008511BD"/>
    <w:rsid w:val="008517CD"/>
    <w:rsid w:val="0085282D"/>
    <w:rsid w:val="00855170"/>
    <w:rsid w:val="008553E7"/>
    <w:rsid w:val="00856DAA"/>
    <w:rsid w:val="00857CA6"/>
    <w:rsid w:val="00861DCD"/>
    <w:rsid w:val="00862652"/>
    <w:rsid w:val="008629FF"/>
    <w:rsid w:val="008631A1"/>
    <w:rsid w:val="00863E97"/>
    <w:rsid w:val="00865F4A"/>
    <w:rsid w:val="00865F7F"/>
    <w:rsid w:val="00867D86"/>
    <w:rsid w:val="00873542"/>
    <w:rsid w:val="0087380C"/>
    <w:rsid w:val="00873B0D"/>
    <w:rsid w:val="008776B1"/>
    <w:rsid w:val="00880F45"/>
    <w:rsid w:val="00881602"/>
    <w:rsid w:val="00881953"/>
    <w:rsid w:val="00887B6F"/>
    <w:rsid w:val="00891610"/>
    <w:rsid w:val="00891BCD"/>
    <w:rsid w:val="00893DFF"/>
    <w:rsid w:val="00894682"/>
    <w:rsid w:val="00894775"/>
    <w:rsid w:val="008956C8"/>
    <w:rsid w:val="00897248"/>
    <w:rsid w:val="008A0628"/>
    <w:rsid w:val="008A20EA"/>
    <w:rsid w:val="008A219C"/>
    <w:rsid w:val="008A3A0A"/>
    <w:rsid w:val="008A50D3"/>
    <w:rsid w:val="008A7D16"/>
    <w:rsid w:val="008B01D0"/>
    <w:rsid w:val="008B1399"/>
    <w:rsid w:val="008B2302"/>
    <w:rsid w:val="008B26E0"/>
    <w:rsid w:val="008B2EA4"/>
    <w:rsid w:val="008B3539"/>
    <w:rsid w:val="008B4587"/>
    <w:rsid w:val="008B4DA6"/>
    <w:rsid w:val="008B5D7C"/>
    <w:rsid w:val="008B6D74"/>
    <w:rsid w:val="008B7213"/>
    <w:rsid w:val="008B737C"/>
    <w:rsid w:val="008C0F4A"/>
    <w:rsid w:val="008C174A"/>
    <w:rsid w:val="008C2C6A"/>
    <w:rsid w:val="008C3F8A"/>
    <w:rsid w:val="008C5F4D"/>
    <w:rsid w:val="008C6098"/>
    <w:rsid w:val="008C6C9B"/>
    <w:rsid w:val="008C7332"/>
    <w:rsid w:val="008D0070"/>
    <w:rsid w:val="008D07EF"/>
    <w:rsid w:val="008D36E7"/>
    <w:rsid w:val="008D4744"/>
    <w:rsid w:val="008D59E3"/>
    <w:rsid w:val="008D5E78"/>
    <w:rsid w:val="008E0112"/>
    <w:rsid w:val="008E1614"/>
    <w:rsid w:val="008E1740"/>
    <w:rsid w:val="008E66AB"/>
    <w:rsid w:val="008E6847"/>
    <w:rsid w:val="008E710B"/>
    <w:rsid w:val="008E7C61"/>
    <w:rsid w:val="008F001B"/>
    <w:rsid w:val="008F02F5"/>
    <w:rsid w:val="008F1491"/>
    <w:rsid w:val="008F36A7"/>
    <w:rsid w:val="008F7614"/>
    <w:rsid w:val="00900217"/>
    <w:rsid w:val="00900AA2"/>
    <w:rsid w:val="00901825"/>
    <w:rsid w:val="00901988"/>
    <w:rsid w:val="00902996"/>
    <w:rsid w:val="00904996"/>
    <w:rsid w:val="009059B3"/>
    <w:rsid w:val="00907602"/>
    <w:rsid w:val="00910E00"/>
    <w:rsid w:val="00912EF1"/>
    <w:rsid w:val="009157A4"/>
    <w:rsid w:val="00917F88"/>
    <w:rsid w:val="00920353"/>
    <w:rsid w:val="00920D27"/>
    <w:rsid w:val="00921E11"/>
    <w:rsid w:val="009224BA"/>
    <w:rsid w:val="00923AD1"/>
    <w:rsid w:val="00923CAB"/>
    <w:rsid w:val="00924A46"/>
    <w:rsid w:val="00931877"/>
    <w:rsid w:val="00934FDB"/>
    <w:rsid w:val="0094211E"/>
    <w:rsid w:val="00943562"/>
    <w:rsid w:val="009503D5"/>
    <w:rsid w:val="00950881"/>
    <w:rsid w:val="00952F84"/>
    <w:rsid w:val="00954789"/>
    <w:rsid w:val="0095500F"/>
    <w:rsid w:val="009561F2"/>
    <w:rsid w:val="009573EE"/>
    <w:rsid w:val="00957842"/>
    <w:rsid w:val="00960322"/>
    <w:rsid w:val="00961760"/>
    <w:rsid w:val="00961D53"/>
    <w:rsid w:val="0096248B"/>
    <w:rsid w:val="00962704"/>
    <w:rsid w:val="00964C69"/>
    <w:rsid w:val="009652C3"/>
    <w:rsid w:val="0096656E"/>
    <w:rsid w:val="00967925"/>
    <w:rsid w:val="00967D6F"/>
    <w:rsid w:val="0097106B"/>
    <w:rsid w:val="00971A60"/>
    <w:rsid w:val="00971D66"/>
    <w:rsid w:val="00972C0B"/>
    <w:rsid w:val="00974765"/>
    <w:rsid w:val="00974C61"/>
    <w:rsid w:val="009775B6"/>
    <w:rsid w:val="00977F0E"/>
    <w:rsid w:val="00985991"/>
    <w:rsid w:val="00985B1D"/>
    <w:rsid w:val="00985F26"/>
    <w:rsid w:val="0098626A"/>
    <w:rsid w:val="00986D9B"/>
    <w:rsid w:val="0098733A"/>
    <w:rsid w:val="00987971"/>
    <w:rsid w:val="00990C7B"/>
    <w:rsid w:val="00990D09"/>
    <w:rsid w:val="00993606"/>
    <w:rsid w:val="00993A41"/>
    <w:rsid w:val="00993A65"/>
    <w:rsid w:val="00993CE6"/>
    <w:rsid w:val="00994DC3"/>
    <w:rsid w:val="00994EFE"/>
    <w:rsid w:val="009963A0"/>
    <w:rsid w:val="009970A7"/>
    <w:rsid w:val="0099751B"/>
    <w:rsid w:val="00997675"/>
    <w:rsid w:val="00997766"/>
    <w:rsid w:val="009A0222"/>
    <w:rsid w:val="009A05D2"/>
    <w:rsid w:val="009A0CD6"/>
    <w:rsid w:val="009A3F9C"/>
    <w:rsid w:val="009A48DB"/>
    <w:rsid w:val="009A5221"/>
    <w:rsid w:val="009A580A"/>
    <w:rsid w:val="009A7118"/>
    <w:rsid w:val="009A7B0D"/>
    <w:rsid w:val="009B00B1"/>
    <w:rsid w:val="009B10EA"/>
    <w:rsid w:val="009B39BE"/>
    <w:rsid w:val="009B39C3"/>
    <w:rsid w:val="009B3DDC"/>
    <w:rsid w:val="009B3FDA"/>
    <w:rsid w:val="009B4542"/>
    <w:rsid w:val="009B489C"/>
    <w:rsid w:val="009B56C3"/>
    <w:rsid w:val="009B72AC"/>
    <w:rsid w:val="009B76D5"/>
    <w:rsid w:val="009C2120"/>
    <w:rsid w:val="009C3347"/>
    <w:rsid w:val="009C4458"/>
    <w:rsid w:val="009C510A"/>
    <w:rsid w:val="009C5A5E"/>
    <w:rsid w:val="009C5DC4"/>
    <w:rsid w:val="009C60CB"/>
    <w:rsid w:val="009C6839"/>
    <w:rsid w:val="009C7DC9"/>
    <w:rsid w:val="009D095F"/>
    <w:rsid w:val="009D1931"/>
    <w:rsid w:val="009D207D"/>
    <w:rsid w:val="009D3453"/>
    <w:rsid w:val="009D366A"/>
    <w:rsid w:val="009D477C"/>
    <w:rsid w:val="009D4A05"/>
    <w:rsid w:val="009D4B1F"/>
    <w:rsid w:val="009E056C"/>
    <w:rsid w:val="009E0D6D"/>
    <w:rsid w:val="009E118B"/>
    <w:rsid w:val="009E1CAC"/>
    <w:rsid w:val="009E1D57"/>
    <w:rsid w:val="009E2057"/>
    <w:rsid w:val="009E2CDE"/>
    <w:rsid w:val="009E7809"/>
    <w:rsid w:val="009F0209"/>
    <w:rsid w:val="009F05CC"/>
    <w:rsid w:val="009F10FF"/>
    <w:rsid w:val="009F239B"/>
    <w:rsid w:val="009F3FDA"/>
    <w:rsid w:val="009F470E"/>
    <w:rsid w:val="009F7D8F"/>
    <w:rsid w:val="00A00773"/>
    <w:rsid w:val="00A00857"/>
    <w:rsid w:val="00A02095"/>
    <w:rsid w:val="00A03273"/>
    <w:rsid w:val="00A035E8"/>
    <w:rsid w:val="00A038AC"/>
    <w:rsid w:val="00A038E7"/>
    <w:rsid w:val="00A04309"/>
    <w:rsid w:val="00A05F30"/>
    <w:rsid w:val="00A113C4"/>
    <w:rsid w:val="00A13A88"/>
    <w:rsid w:val="00A17A1A"/>
    <w:rsid w:val="00A17C07"/>
    <w:rsid w:val="00A20408"/>
    <w:rsid w:val="00A21A51"/>
    <w:rsid w:val="00A2346E"/>
    <w:rsid w:val="00A26874"/>
    <w:rsid w:val="00A271A9"/>
    <w:rsid w:val="00A277B2"/>
    <w:rsid w:val="00A301EA"/>
    <w:rsid w:val="00A30AA8"/>
    <w:rsid w:val="00A30FF9"/>
    <w:rsid w:val="00A34618"/>
    <w:rsid w:val="00A349D7"/>
    <w:rsid w:val="00A40117"/>
    <w:rsid w:val="00A41CBC"/>
    <w:rsid w:val="00A42652"/>
    <w:rsid w:val="00A435DE"/>
    <w:rsid w:val="00A442F4"/>
    <w:rsid w:val="00A45B27"/>
    <w:rsid w:val="00A46968"/>
    <w:rsid w:val="00A474E1"/>
    <w:rsid w:val="00A47C63"/>
    <w:rsid w:val="00A50711"/>
    <w:rsid w:val="00A51870"/>
    <w:rsid w:val="00A53087"/>
    <w:rsid w:val="00A53827"/>
    <w:rsid w:val="00A53B86"/>
    <w:rsid w:val="00A54CDA"/>
    <w:rsid w:val="00A6356F"/>
    <w:rsid w:val="00A653A1"/>
    <w:rsid w:val="00A65529"/>
    <w:rsid w:val="00A66CC5"/>
    <w:rsid w:val="00A67317"/>
    <w:rsid w:val="00A6766B"/>
    <w:rsid w:val="00A71CC7"/>
    <w:rsid w:val="00A758AC"/>
    <w:rsid w:val="00A77348"/>
    <w:rsid w:val="00A7770A"/>
    <w:rsid w:val="00A77CB6"/>
    <w:rsid w:val="00A824D8"/>
    <w:rsid w:val="00A831A7"/>
    <w:rsid w:val="00A83A7D"/>
    <w:rsid w:val="00A859A6"/>
    <w:rsid w:val="00A85D1A"/>
    <w:rsid w:val="00A87ED7"/>
    <w:rsid w:val="00A9021A"/>
    <w:rsid w:val="00A90B90"/>
    <w:rsid w:val="00A9150D"/>
    <w:rsid w:val="00A919A3"/>
    <w:rsid w:val="00A9447D"/>
    <w:rsid w:val="00A949C0"/>
    <w:rsid w:val="00A94B50"/>
    <w:rsid w:val="00A960C0"/>
    <w:rsid w:val="00A9665F"/>
    <w:rsid w:val="00A97267"/>
    <w:rsid w:val="00AA003F"/>
    <w:rsid w:val="00AA0184"/>
    <w:rsid w:val="00AA01CD"/>
    <w:rsid w:val="00AA060E"/>
    <w:rsid w:val="00AA3574"/>
    <w:rsid w:val="00AA396B"/>
    <w:rsid w:val="00AA468F"/>
    <w:rsid w:val="00AB0ED1"/>
    <w:rsid w:val="00AB1F24"/>
    <w:rsid w:val="00AB2875"/>
    <w:rsid w:val="00AB2DE6"/>
    <w:rsid w:val="00AB4463"/>
    <w:rsid w:val="00AB45DC"/>
    <w:rsid w:val="00AB4725"/>
    <w:rsid w:val="00AB4CF4"/>
    <w:rsid w:val="00AB530D"/>
    <w:rsid w:val="00AB5429"/>
    <w:rsid w:val="00AB55EC"/>
    <w:rsid w:val="00AB5A25"/>
    <w:rsid w:val="00AB7F54"/>
    <w:rsid w:val="00AB7FB8"/>
    <w:rsid w:val="00AB7FE9"/>
    <w:rsid w:val="00AC108F"/>
    <w:rsid w:val="00AC16AE"/>
    <w:rsid w:val="00AC3611"/>
    <w:rsid w:val="00AC364A"/>
    <w:rsid w:val="00AC42D5"/>
    <w:rsid w:val="00AC50E5"/>
    <w:rsid w:val="00AC5389"/>
    <w:rsid w:val="00AC6244"/>
    <w:rsid w:val="00AC6722"/>
    <w:rsid w:val="00AC6FF2"/>
    <w:rsid w:val="00AC711B"/>
    <w:rsid w:val="00AC77B4"/>
    <w:rsid w:val="00AC7DD0"/>
    <w:rsid w:val="00AD0443"/>
    <w:rsid w:val="00AD0817"/>
    <w:rsid w:val="00AD0C12"/>
    <w:rsid w:val="00AD47CB"/>
    <w:rsid w:val="00AD527B"/>
    <w:rsid w:val="00AD55AD"/>
    <w:rsid w:val="00AD70B0"/>
    <w:rsid w:val="00AD7949"/>
    <w:rsid w:val="00AE007A"/>
    <w:rsid w:val="00AE3712"/>
    <w:rsid w:val="00AE4C86"/>
    <w:rsid w:val="00AE56CF"/>
    <w:rsid w:val="00AE710D"/>
    <w:rsid w:val="00AE74AD"/>
    <w:rsid w:val="00AE7E1C"/>
    <w:rsid w:val="00AF0784"/>
    <w:rsid w:val="00AF365D"/>
    <w:rsid w:val="00AF4E31"/>
    <w:rsid w:val="00AF5008"/>
    <w:rsid w:val="00AF53E2"/>
    <w:rsid w:val="00AF5B62"/>
    <w:rsid w:val="00AF70F0"/>
    <w:rsid w:val="00AF7DFB"/>
    <w:rsid w:val="00AF7FDF"/>
    <w:rsid w:val="00B00162"/>
    <w:rsid w:val="00B00B56"/>
    <w:rsid w:val="00B00BD9"/>
    <w:rsid w:val="00B05110"/>
    <w:rsid w:val="00B05ABD"/>
    <w:rsid w:val="00B05F21"/>
    <w:rsid w:val="00B0783F"/>
    <w:rsid w:val="00B11617"/>
    <w:rsid w:val="00B11F7D"/>
    <w:rsid w:val="00B1398B"/>
    <w:rsid w:val="00B16214"/>
    <w:rsid w:val="00B16887"/>
    <w:rsid w:val="00B20465"/>
    <w:rsid w:val="00B2060C"/>
    <w:rsid w:val="00B22191"/>
    <w:rsid w:val="00B238AF"/>
    <w:rsid w:val="00B23D86"/>
    <w:rsid w:val="00B23ECA"/>
    <w:rsid w:val="00B25816"/>
    <w:rsid w:val="00B27075"/>
    <w:rsid w:val="00B324AC"/>
    <w:rsid w:val="00B338A9"/>
    <w:rsid w:val="00B37118"/>
    <w:rsid w:val="00B401A3"/>
    <w:rsid w:val="00B40CD8"/>
    <w:rsid w:val="00B40D88"/>
    <w:rsid w:val="00B41086"/>
    <w:rsid w:val="00B43C9B"/>
    <w:rsid w:val="00B4448A"/>
    <w:rsid w:val="00B4449C"/>
    <w:rsid w:val="00B455CC"/>
    <w:rsid w:val="00B45789"/>
    <w:rsid w:val="00B478AF"/>
    <w:rsid w:val="00B50914"/>
    <w:rsid w:val="00B5092A"/>
    <w:rsid w:val="00B542CB"/>
    <w:rsid w:val="00B554DC"/>
    <w:rsid w:val="00B55761"/>
    <w:rsid w:val="00B562B3"/>
    <w:rsid w:val="00B56E9D"/>
    <w:rsid w:val="00B56F3A"/>
    <w:rsid w:val="00B578D9"/>
    <w:rsid w:val="00B601BE"/>
    <w:rsid w:val="00B62B03"/>
    <w:rsid w:val="00B62DD5"/>
    <w:rsid w:val="00B630AF"/>
    <w:rsid w:val="00B632BC"/>
    <w:rsid w:val="00B64BE7"/>
    <w:rsid w:val="00B67C36"/>
    <w:rsid w:val="00B710C4"/>
    <w:rsid w:val="00B7200E"/>
    <w:rsid w:val="00B723BC"/>
    <w:rsid w:val="00B74704"/>
    <w:rsid w:val="00B80521"/>
    <w:rsid w:val="00B806EE"/>
    <w:rsid w:val="00B80E64"/>
    <w:rsid w:val="00B81864"/>
    <w:rsid w:val="00B81B1F"/>
    <w:rsid w:val="00B82713"/>
    <w:rsid w:val="00B84544"/>
    <w:rsid w:val="00B84E5C"/>
    <w:rsid w:val="00B85459"/>
    <w:rsid w:val="00B85B51"/>
    <w:rsid w:val="00B86F4C"/>
    <w:rsid w:val="00B87748"/>
    <w:rsid w:val="00B9032D"/>
    <w:rsid w:val="00B9319C"/>
    <w:rsid w:val="00B93705"/>
    <w:rsid w:val="00B94D78"/>
    <w:rsid w:val="00B9516C"/>
    <w:rsid w:val="00B96D3D"/>
    <w:rsid w:val="00BA04FE"/>
    <w:rsid w:val="00BA0A46"/>
    <w:rsid w:val="00BA398B"/>
    <w:rsid w:val="00BA7143"/>
    <w:rsid w:val="00BB0749"/>
    <w:rsid w:val="00BB290D"/>
    <w:rsid w:val="00BB2BD4"/>
    <w:rsid w:val="00BB3AE5"/>
    <w:rsid w:val="00BB6DBF"/>
    <w:rsid w:val="00BC04DD"/>
    <w:rsid w:val="00BC1013"/>
    <w:rsid w:val="00BC10EF"/>
    <w:rsid w:val="00BC1733"/>
    <w:rsid w:val="00BC2096"/>
    <w:rsid w:val="00BC2CE0"/>
    <w:rsid w:val="00BC2FF6"/>
    <w:rsid w:val="00BC3688"/>
    <w:rsid w:val="00BC4CEC"/>
    <w:rsid w:val="00BC4D75"/>
    <w:rsid w:val="00BC5C18"/>
    <w:rsid w:val="00BD07B1"/>
    <w:rsid w:val="00BD0885"/>
    <w:rsid w:val="00BD0E0E"/>
    <w:rsid w:val="00BD3049"/>
    <w:rsid w:val="00BD3BFC"/>
    <w:rsid w:val="00BD3FBD"/>
    <w:rsid w:val="00BD564A"/>
    <w:rsid w:val="00BD6D06"/>
    <w:rsid w:val="00BD7F49"/>
    <w:rsid w:val="00BE0799"/>
    <w:rsid w:val="00BE1657"/>
    <w:rsid w:val="00BE3B6D"/>
    <w:rsid w:val="00BE46EF"/>
    <w:rsid w:val="00BE773C"/>
    <w:rsid w:val="00BE7763"/>
    <w:rsid w:val="00BE7F85"/>
    <w:rsid w:val="00BF095B"/>
    <w:rsid w:val="00BF1C4E"/>
    <w:rsid w:val="00BF5871"/>
    <w:rsid w:val="00BF5AB1"/>
    <w:rsid w:val="00BF63FB"/>
    <w:rsid w:val="00BF7CCC"/>
    <w:rsid w:val="00C00EFD"/>
    <w:rsid w:val="00C01D51"/>
    <w:rsid w:val="00C02762"/>
    <w:rsid w:val="00C027CD"/>
    <w:rsid w:val="00C043EA"/>
    <w:rsid w:val="00C050EC"/>
    <w:rsid w:val="00C05BAA"/>
    <w:rsid w:val="00C05C91"/>
    <w:rsid w:val="00C0763A"/>
    <w:rsid w:val="00C10D68"/>
    <w:rsid w:val="00C120E1"/>
    <w:rsid w:val="00C13DD3"/>
    <w:rsid w:val="00C14081"/>
    <w:rsid w:val="00C145A3"/>
    <w:rsid w:val="00C16F76"/>
    <w:rsid w:val="00C20375"/>
    <w:rsid w:val="00C216CB"/>
    <w:rsid w:val="00C21792"/>
    <w:rsid w:val="00C232D2"/>
    <w:rsid w:val="00C23860"/>
    <w:rsid w:val="00C25831"/>
    <w:rsid w:val="00C264D8"/>
    <w:rsid w:val="00C265B1"/>
    <w:rsid w:val="00C26F55"/>
    <w:rsid w:val="00C277D2"/>
    <w:rsid w:val="00C30220"/>
    <w:rsid w:val="00C308E2"/>
    <w:rsid w:val="00C31341"/>
    <w:rsid w:val="00C330C5"/>
    <w:rsid w:val="00C3478C"/>
    <w:rsid w:val="00C34ED4"/>
    <w:rsid w:val="00C35BFC"/>
    <w:rsid w:val="00C35EE7"/>
    <w:rsid w:val="00C3662D"/>
    <w:rsid w:val="00C41A12"/>
    <w:rsid w:val="00C425FF"/>
    <w:rsid w:val="00C43417"/>
    <w:rsid w:val="00C4615B"/>
    <w:rsid w:val="00C46811"/>
    <w:rsid w:val="00C4794F"/>
    <w:rsid w:val="00C47CD2"/>
    <w:rsid w:val="00C504E4"/>
    <w:rsid w:val="00C5150E"/>
    <w:rsid w:val="00C517EA"/>
    <w:rsid w:val="00C52C28"/>
    <w:rsid w:val="00C53424"/>
    <w:rsid w:val="00C556BE"/>
    <w:rsid w:val="00C57E39"/>
    <w:rsid w:val="00C601E2"/>
    <w:rsid w:val="00C62D0C"/>
    <w:rsid w:val="00C64345"/>
    <w:rsid w:val="00C64A7A"/>
    <w:rsid w:val="00C6730A"/>
    <w:rsid w:val="00C6797E"/>
    <w:rsid w:val="00C70D78"/>
    <w:rsid w:val="00C713E9"/>
    <w:rsid w:val="00C74467"/>
    <w:rsid w:val="00C7458E"/>
    <w:rsid w:val="00C7472C"/>
    <w:rsid w:val="00C74A33"/>
    <w:rsid w:val="00C76C33"/>
    <w:rsid w:val="00C77028"/>
    <w:rsid w:val="00C770A0"/>
    <w:rsid w:val="00C82D41"/>
    <w:rsid w:val="00C849F8"/>
    <w:rsid w:val="00C85A79"/>
    <w:rsid w:val="00C85B26"/>
    <w:rsid w:val="00C863AC"/>
    <w:rsid w:val="00C87946"/>
    <w:rsid w:val="00C90EDE"/>
    <w:rsid w:val="00C91B24"/>
    <w:rsid w:val="00C91F17"/>
    <w:rsid w:val="00C9265D"/>
    <w:rsid w:val="00C93A03"/>
    <w:rsid w:val="00C93EFA"/>
    <w:rsid w:val="00C951F2"/>
    <w:rsid w:val="00C95F0E"/>
    <w:rsid w:val="00C97335"/>
    <w:rsid w:val="00CA10AA"/>
    <w:rsid w:val="00CA2EC1"/>
    <w:rsid w:val="00CA4747"/>
    <w:rsid w:val="00CA7132"/>
    <w:rsid w:val="00CA7556"/>
    <w:rsid w:val="00CB0360"/>
    <w:rsid w:val="00CB2F4B"/>
    <w:rsid w:val="00CB462D"/>
    <w:rsid w:val="00CB49B9"/>
    <w:rsid w:val="00CB4AC6"/>
    <w:rsid w:val="00CB4F93"/>
    <w:rsid w:val="00CB5A87"/>
    <w:rsid w:val="00CB7605"/>
    <w:rsid w:val="00CB7CAD"/>
    <w:rsid w:val="00CC1218"/>
    <w:rsid w:val="00CC27F5"/>
    <w:rsid w:val="00CC300F"/>
    <w:rsid w:val="00CC52E9"/>
    <w:rsid w:val="00CD082B"/>
    <w:rsid w:val="00CD11D6"/>
    <w:rsid w:val="00CD13F1"/>
    <w:rsid w:val="00CD1D46"/>
    <w:rsid w:val="00CD424F"/>
    <w:rsid w:val="00CD5C3E"/>
    <w:rsid w:val="00CD6364"/>
    <w:rsid w:val="00CD764F"/>
    <w:rsid w:val="00CD7A87"/>
    <w:rsid w:val="00CE0192"/>
    <w:rsid w:val="00CE19BB"/>
    <w:rsid w:val="00CE1B83"/>
    <w:rsid w:val="00CE28CC"/>
    <w:rsid w:val="00CE34B8"/>
    <w:rsid w:val="00CE5BFF"/>
    <w:rsid w:val="00CE61FC"/>
    <w:rsid w:val="00CF0089"/>
    <w:rsid w:val="00CF2EC6"/>
    <w:rsid w:val="00CF3BAE"/>
    <w:rsid w:val="00CF3F64"/>
    <w:rsid w:val="00CF465B"/>
    <w:rsid w:val="00D0272A"/>
    <w:rsid w:val="00D037C9"/>
    <w:rsid w:val="00D041DB"/>
    <w:rsid w:val="00D048E1"/>
    <w:rsid w:val="00D04922"/>
    <w:rsid w:val="00D0725A"/>
    <w:rsid w:val="00D11AB4"/>
    <w:rsid w:val="00D12B6C"/>
    <w:rsid w:val="00D12E5B"/>
    <w:rsid w:val="00D14BB0"/>
    <w:rsid w:val="00D150F7"/>
    <w:rsid w:val="00D15C5C"/>
    <w:rsid w:val="00D15CCB"/>
    <w:rsid w:val="00D1698F"/>
    <w:rsid w:val="00D20AB0"/>
    <w:rsid w:val="00D210AF"/>
    <w:rsid w:val="00D24DA2"/>
    <w:rsid w:val="00D25C68"/>
    <w:rsid w:val="00D261F1"/>
    <w:rsid w:val="00D30CC4"/>
    <w:rsid w:val="00D30FE0"/>
    <w:rsid w:val="00D3112D"/>
    <w:rsid w:val="00D31567"/>
    <w:rsid w:val="00D3220E"/>
    <w:rsid w:val="00D34512"/>
    <w:rsid w:val="00D3487A"/>
    <w:rsid w:val="00D35CA5"/>
    <w:rsid w:val="00D40FB2"/>
    <w:rsid w:val="00D41CC5"/>
    <w:rsid w:val="00D42571"/>
    <w:rsid w:val="00D42AFD"/>
    <w:rsid w:val="00D42E19"/>
    <w:rsid w:val="00D44345"/>
    <w:rsid w:val="00D462DB"/>
    <w:rsid w:val="00D46ABA"/>
    <w:rsid w:val="00D46C82"/>
    <w:rsid w:val="00D5041C"/>
    <w:rsid w:val="00D51334"/>
    <w:rsid w:val="00D5195D"/>
    <w:rsid w:val="00D525EB"/>
    <w:rsid w:val="00D527B8"/>
    <w:rsid w:val="00D53003"/>
    <w:rsid w:val="00D536F2"/>
    <w:rsid w:val="00D53919"/>
    <w:rsid w:val="00D53B49"/>
    <w:rsid w:val="00D55007"/>
    <w:rsid w:val="00D55BAF"/>
    <w:rsid w:val="00D5656A"/>
    <w:rsid w:val="00D573D5"/>
    <w:rsid w:val="00D57E49"/>
    <w:rsid w:val="00D57EFA"/>
    <w:rsid w:val="00D61FA4"/>
    <w:rsid w:val="00D645B6"/>
    <w:rsid w:val="00D64B66"/>
    <w:rsid w:val="00D64D06"/>
    <w:rsid w:val="00D6706B"/>
    <w:rsid w:val="00D700B8"/>
    <w:rsid w:val="00D70A45"/>
    <w:rsid w:val="00D7233B"/>
    <w:rsid w:val="00D748D8"/>
    <w:rsid w:val="00D801EE"/>
    <w:rsid w:val="00D806DA"/>
    <w:rsid w:val="00D80E9D"/>
    <w:rsid w:val="00D81E09"/>
    <w:rsid w:val="00D82EFC"/>
    <w:rsid w:val="00D83670"/>
    <w:rsid w:val="00D85B1C"/>
    <w:rsid w:val="00D86C28"/>
    <w:rsid w:val="00D8758F"/>
    <w:rsid w:val="00D905F0"/>
    <w:rsid w:val="00D9101B"/>
    <w:rsid w:val="00D91DAF"/>
    <w:rsid w:val="00D91F9B"/>
    <w:rsid w:val="00D92CCA"/>
    <w:rsid w:val="00D94C19"/>
    <w:rsid w:val="00D94D5A"/>
    <w:rsid w:val="00D95FB7"/>
    <w:rsid w:val="00D96454"/>
    <w:rsid w:val="00DA052A"/>
    <w:rsid w:val="00DA0D82"/>
    <w:rsid w:val="00DA0DBE"/>
    <w:rsid w:val="00DA0DD3"/>
    <w:rsid w:val="00DA2551"/>
    <w:rsid w:val="00DA2EDB"/>
    <w:rsid w:val="00DA6A0E"/>
    <w:rsid w:val="00DB259A"/>
    <w:rsid w:val="00DB284F"/>
    <w:rsid w:val="00DB5FE4"/>
    <w:rsid w:val="00DB6638"/>
    <w:rsid w:val="00DC1350"/>
    <w:rsid w:val="00DC2604"/>
    <w:rsid w:val="00DC4A8B"/>
    <w:rsid w:val="00DC50B0"/>
    <w:rsid w:val="00DC678A"/>
    <w:rsid w:val="00DC6F03"/>
    <w:rsid w:val="00DC75BE"/>
    <w:rsid w:val="00DD079F"/>
    <w:rsid w:val="00DD0ABB"/>
    <w:rsid w:val="00DD1AEB"/>
    <w:rsid w:val="00DD2049"/>
    <w:rsid w:val="00DD325C"/>
    <w:rsid w:val="00DD5544"/>
    <w:rsid w:val="00DD5B5F"/>
    <w:rsid w:val="00DD67B0"/>
    <w:rsid w:val="00DD6C3A"/>
    <w:rsid w:val="00DD771D"/>
    <w:rsid w:val="00DE11E6"/>
    <w:rsid w:val="00DE1657"/>
    <w:rsid w:val="00DE24B2"/>
    <w:rsid w:val="00DE2AA4"/>
    <w:rsid w:val="00DE2B1B"/>
    <w:rsid w:val="00DE39AE"/>
    <w:rsid w:val="00DE4821"/>
    <w:rsid w:val="00DE4AAE"/>
    <w:rsid w:val="00DE6531"/>
    <w:rsid w:val="00DE7B48"/>
    <w:rsid w:val="00DE7FE0"/>
    <w:rsid w:val="00DF08B8"/>
    <w:rsid w:val="00DF2E35"/>
    <w:rsid w:val="00DF31B7"/>
    <w:rsid w:val="00DF338A"/>
    <w:rsid w:val="00DF33A2"/>
    <w:rsid w:val="00DF37FF"/>
    <w:rsid w:val="00DF3C84"/>
    <w:rsid w:val="00DF78FC"/>
    <w:rsid w:val="00E01E01"/>
    <w:rsid w:val="00E020B8"/>
    <w:rsid w:val="00E0316D"/>
    <w:rsid w:val="00E03BD3"/>
    <w:rsid w:val="00E06B59"/>
    <w:rsid w:val="00E07A54"/>
    <w:rsid w:val="00E07DFC"/>
    <w:rsid w:val="00E103FA"/>
    <w:rsid w:val="00E1040A"/>
    <w:rsid w:val="00E12216"/>
    <w:rsid w:val="00E126B6"/>
    <w:rsid w:val="00E16560"/>
    <w:rsid w:val="00E16D9A"/>
    <w:rsid w:val="00E17579"/>
    <w:rsid w:val="00E17B88"/>
    <w:rsid w:val="00E17F69"/>
    <w:rsid w:val="00E223F6"/>
    <w:rsid w:val="00E2260C"/>
    <w:rsid w:val="00E234DA"/>
    <w:rsid w:val="00E24C4E"/>
    <w:rsid w:val="00E313B0"/>
    <w:rsid w:val="00E31DAC"/>
    <w:rsid w:val="00E329C2"/>
    <w:rsid w:val="00E3510F"/>
    <w:rsid w:val="00E36E44"/>
    <w:rsid w:val="00E37846"/>
    <w:rsid w:val="00E40E8B"/>
    <w:rsid w:val="00E40F6A"/>
    <w:rsid w:val="00E433F9"/>
    <w:rsid w:val="00E4412C"/>
    <w:rsid w:val="00E45098"/>
    <w:rsid w:val="00E50A26"/>
    <w:rsid w:val="00E50A5E"/>
    <w:rsid w:val="00E50F05"/>
    <w:rsid w:val="00E53765"/>
    <w:rsid w:val="00E54801"/>
    <w:rsid w:val="00E54B7C"/>
    <w:rsid w:val="00E55A38"/>
    <w:rsid w:val="00E6003B"/>
    <w:rsid w:val="00E62CB3"/>
    <w:rsid w:val="00E63E5A"/>
    <w:rsid w:val="00E64CD6"/>
    <w:rsid w:val="00E64D2F"/>
    <w:rsid w:val="00E65DD5"/>
    <w:rsid w:val="00E673DB"/>
    <w:rsid w:val="00E706CB"/>
    <w:rsid w:val="00E74C4C"/>
    <w:rsid w:val="00E751E1"/>
    <w:rsid w:val="00E763B1"/>
    <w:rsid w:val="00E7768F"/>
    <w:rsid w:val="00E814B2"/>
    <w:rsid w:val="00E81C0B"/>
    <w:rsid w:val="00E82053"/>
    <w:rsid w:val="00E82FC8"/>
    <w:rsid w:val="00E84B35"/>
    <w:rsid w:val="00E8599D"/>
    <w:rsid w:val="00E876B0"/>
    <w:rsid w:val="00E91973"/>
    <w:rsid w:val="00E94380"/>
    <w:rsid w:val="00E97E1E"/>
    <w:rsid w:val="00EA1787"/>
    <w:rsid w:val="00EA20A3"/>
    <w:rsid w:val="00EA21A2"/>
    <w:rsid w:val="00EA25DD"/>
    <w:rsid w:val="00EA38D7"/>
    <w:rsid w:val="00EA5020"/>
    <w:rsid w:val="00EA5D5E"/>
    <w:rsid w:val="00EA7724"/>
    <w:rsid w:val="00EA7FC4"/>
    <w:rsid w:val="00EB0845"/>
    <w:rsid w:val="00EB1911"/>
    <w:rsid w:val="00EB1B75"/>
    <w:rsid w:val="00EB1C3D"/>
    <w:rsid w:val="00EB1C6D"/>
    <w:rsid w:val="00EB200C"/>
    <w:rsid w:val="00EB2C9A"/>
    <w:rsid w:val="00EB5E88"/>
    <w:rsid w:val="00EB7471"/>
    <w:rsid w:val="00EC044C"/>
    <w:rsid w:val="00EC084A"/>
    <w:rsid w:val="00EC09C3"/>
    <w:rsid w:val="00EC2D34"/>
    <w:rsid w:val="00EC5006"/>
    <w:rsid w:val="00EC518C"/>
    <w:rsid w:val="00EC5819"/>
    <w:rsid w:val="00EC60DF"/>
    <w:rsid w:val="00EC6BBB"/>
    <w:rsid w:val="00ED01F0"/>
    <w:rsid w:val="00ED1633"/>
    <w:rsid w:val="00ED295A"/>
    <w:rsid w:val="00ED29EA"/>
    <w:rsid w:val="00ED3B7C"/>
    <w:rsid w:val="00ED53C1"/>
    <w:rsid w:val="00ED543A"/>
    <w:rsid w:val="00ED63DD"/>
    <w:rsid w:val="00EE02E9"/>
    <w:rsid w:val="00EE1081"/>
    <w:rsid w:val="00EE245D"/>
    <w:rsid w:val="00EE3811"/>
    <w:rsid w:val="00EE418B"/>
    <w:rsid w:val="00EE5DBD"/>
    <w:rsid w:val="00EE726E"/>
    <w:rsid w:val="00EF079B"/>
    <w:rsid w:val="00EF1047"/>
    <w:rsid w:val="00EF162C"/>
    <w:rsid w:val="00EF1A95"/>
    <w:rsid w:val="00EF33A2"/>
    <w:rsid w:val="00EF3FCE"/>
    <w:rsid w:val="00EF516D"/>
    <w:rsid w:val="00EF63C8"/>
    <w:rsid w:val="00EF73AE"/>
    <w:rsid w:val="00EF7B8B"/>
    <w:rsid w:val="00F00D27"/>
    <w:rsid w:val="00F01101"/>
    <w:rsid w:val="00F040C4"/>
    <w:rsid w:val="00F04455"/>
    <w:rsid w:val="00F0575E"/>
    <w:rsid w:val="00F05AEF"/>
    <w:rsid w:val="00F06333"/>
    <w:rsid w:val="00F07498"/>
    <w:rsid w:val="00F120A2"/>
    <w:rsid w:val="00F125CE"/>
    <w:rsid w:val="00F136D4"/>
    <w:rsid w:val="00F14B43"/>
    <w:rsid w:val="00F1545C"/>
    <w:rsid w:val="00F15EAD"/>
    <w:rsid w:val="00F16112"/>
    <w:rsid w:val="00F16ABA"/>
    <w:rsid w:val="00F17010"/>
    <w:rsid w:val="00F1703F"/>
    <w:rsid w:val="00F171E2"/>
    <w:rsid w:val="00F2049F"/>
    <w:rsid w:val="00F20A4B"/>
    <w:rsid w:val="00F2123D"/>
    <w:rsid w:val="00F213D4"/>
    <w:rsid w:val="00F243C8"/>
    <w:rsid w:val="00F25261"/>
    <w:rsid w:val="00F255F8"/>
    <w:rsid w:val="00F25E8C"/>
    <w:rsid w:val="00F26A33"/>
    <w:rsid w:val="00F26C8B"/>
    <w:rsid w:val="00F2794B"/>
    <w:rsid w:val="00F3017F"/>
    <w:rsid w:val="00F310DA"/>
    <w:rsid w:val="00F33D3C"/>
    <w:rsid w:val="00F355A5"/>
    <w:rsid w:val="00F35F99"/>
    <w:rsid w:val="00F40065"/>
    <w:rsid w:val="00F4026B"/>
    <w:rsid w:val="00F4042C"/>
    <w:rsid w:val="00F410C1"/>
    <w:rsid w:val="00F43B96"/>
    <w:rsid w:val="00F43C84"/>
    <w:rsid w:val="00F444E3"/>
    <w:rsid w:val="00F456F1"/>
    <w:rsid w:val="00F469D4"/>
    <w:rsid w:val="00F46BF3"/>
    <w:rsid w:val="00F47A1C"/>
    <w:rsid w:val="00F50DE1"/>
    <w:rsid w:val="00F50EBF"/>
    <w:rsid w:val="00F518C6"/>
    <w:rsid w:val="00F51CF9"/>
    <w:rsid w:val="00F544FB"/>
    <w:rsid w:val="00F559C3"/>
    <w:rsid w:val="00F570AB"/>
    <w:rsid w:val="00F5716A"/>
    <w:rsid w:val="00F611D9"/>
    <w:rsid w:val="00F62C59"/>
    <w:rsid w:val="00F6426D"/>
    <w:rsid w:val="00F65A29"/>
    <w:rsid w:val="00F65F55"/>
    <w:rsid w:val="00F66D79"/>
    <w:rsid w:val="00F675D4"/>
    <w:rsid w:val="00F711CC"/>
    <w:rsid w:val="00F72AED"/>
    <w:rsid w:val="00F72D31"/>
    <w:rsid w:val="00F74A32"/>
    <w:rsid w:val="00F766FB"/>
    <w:rsid w:val="00F77CC4"/>
    <w:rsid w:val="00F804DE"/>
    <w:rsid w:val="00F81EE6"/>
    <w:rsid w:val="00F82192"/>
    <w:rsid w:val="00F82DCD"/>
    <w:rsid w:val="00F84372"/>
    <w:rsid w:val="00F84B8A"/>
    <w:rsid w:val="00F84EA9"/>
    <w:rsid w:val="00F8633A"/>
    <w:rsid w:val="00F86829"/>
    <w:rsid w:val="00F87966"/>
    <w:rsid w:val="00F90D31"/>
    <w:rsid w:val="00F943E0"/>
    <w:rsid w:val="00F95350"/>
    <w:rsid w:val="00F95A48"/>
    <w:rsid w:val="00F9687B"/>
    <w:rsid w:val="00FA20C9"/>
    <w:rsid w:val="00FA3CDA"/>
    <w:rsid w:val="00FA3D39"/>
    <w:rsid w:val="00FA43AE"/>
    <w:rsid w:val="00FA5BA0"/>
    <w:rsid w:val="00FB129D"/>
    <w:rsid w:val="00FB2BC1"/>
    <w:rsid w:val="00FB3440"/>
    <w:rsid w:val="00FB38B8"/>
    <w:rsid w:val="00FB38E1"/>
    <w:rsid w:val="00FB4343"/>
    <w:rsid w:val="00FB43E9"/>
    <w:rsid w:val="00FB5704"/>
    <w:rsid w:val="00FB5F40"/>
    <w:rsid w:val="00FB64AE"/>
    <w:rsid w:val="00FC099B"/>
    <w:rsid w:val="00FC136C"/>
    <w:rsid w:val="00FC23BE"/>
    <w:rsid w:val="00FC2A25"/>
    <w:rsid w:val="00FC2CBD"/>
    <w:rsid w:val="00FC3080"/>
    <w:rsid w:val="00FC3ED4"/>
    <w:rsid w:val="00FC417F"/>
    <w:rsid w:val="00FC4FF2"/>
    <w:rsid w:val="00FC5A6A"/>
    <w:rsid w:val="00FC5C15"/>
    <w:rsid w:val="00FC7416"/>
    <w:rsid w:val="00FD0748"/>
    <w:rsid w:val="00FD0D18"/>
    <w:rsid w:val="00FD0F03"/>
    <w:rsid w:val="00FD0F06"/>
    <w:rsid w:val="00FD16C9"/>
    <w:rsid w:val="00FD26BB"/>
    <w:rsid w:val="00FD344F"/>
    <w:rsid w:val="00FD529F"/>
    <w:rsid w:val="00FD52B4"/>
    <w:rsid w:val="00FD559C"/>
    <w:rsid w:val="00FD5734"/>
    <w:rsid w:val="00FD5F7E"/>
    <w:rsid w:val="00FD706C"/>
    <w:rsid w:val="00FD7F2F"/>
    <w:rsid w:val="00FE0006"/>
    <w:rsid w:val="00FE0F03"/>
    <w:rsid w:val="00FE12C2"/>
    <w:rsid w:val="00FE22CB"/>
    <w:rsid w:val="00FE562B"/>
    <w:rsid w:val="00FE5BEB"/>
    <w:rsid w:val="00FE79E5"/>
    <w:rsid w:val="00FE7DE5"/>
    <w:rsid w:val="00FF0100"/>
    <w:rsid w:val="00FF0DA9"/>
    <w:rsid w:val="00FF1F73"/>
    <w:rsid w:val="00FF20BB"/>
    <w:rsid w:val="00FF288E"/>
    <w:rsid w:val="00FF2D89"/>
    <w:rsid w:val="00FF3440"/>
    <w:rsid w:val="00FF4906"/>
    <w:rsid w:val="00FF56D4"/>
    <w:rsid w:val="00FF6741"/>
    <w:rsid w:val="00FF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B0F6A"/>
  <w15:docId w15:val="{002CCDCC-6BBD-40C4-8A72-06C74EBF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4" w:unhideWhenUsed="1"/>
    <w:lsdException w:name="heading 5" w:unhideWhenUsed="1"/>
    <w:lsdException w:name="heading 6" w:unhideWhenUsed="1"/>
    <w:lsdException w:name="heading 7" w:unhideWhenUsed="1"/>
    <w:lsdException w:name="heading 8" w:unhideWhenUsed="1"/>
    <w:lsdException w:name="heading 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A20A3"/>
    <w:pPr>
      <w:spacing w:before="120" w:after="120"/>
      <w:ind w:left="284" w:firstLine="567"/>
      <w:jc w:val="both"/>
    </w:pPr>
    <w:rPr>
      <w:rFonts w:ascii="Calibri" w:hAnsi="Calibri"/>
      <w:sz w:val="24"/>
      <w:szCs w:val="24"/>
      <w:lang w:val="pt-BR" w:eastAsia="pt-BR"/>
    </w:rPr>
  </w:style>
  <w:style w:type="paragraph" w:styleId="Heading1">
    <w:name w:val="heading 1"/>
    <w:basedOn w:val="Normal"/>
    <w:next w:val="Normal"/>
    <w:link w:val="Heading1Char"/>
    <w:uiPriority w:val="99"/>
    <w:qFormat/>
    <w:rsid w:val="00EA20A3"/>
    <w:pPr>
      <w:keepLines/>
      <w:widowControl w:val="0"/>
      <w:numPr>
        <w:numId w:val="17"/>
      </w:numPr>
      <w:outlineLvl w:val="0"/>
    </w:pPr>
    <w:rPr>
      <w:rFonts w:asciiTheme="minorHAnsi" w:hAnsiTheme="minorHAnsi"/>
      <w:b/>
      <w:bCs/>
      <w:color w:val="000000"/>
    </w:rPr>
  </w:style>
  <w:style w:type="paragraph" w:styleId="Heading2">
    <w:name w:val="heading 2"/>
    <w:basedOn w:val="Normal"/>
    <w:next w:val="Normal"/>
    <w:link w:val="Heading2Char"/>
    <w:uiPriority w:val="99"/>
    <w:qFormat/>
    <w:rsid w:val="00EA20A3"/>
    <w:pPr>
      <w:keepNext/>
      <w:numPr>
        <w:ilvl w:val="1"/>
        <w:numId w:val="17"/>
      </w:numPr>
      <w:ind w:left="964" w:hanging="567"/>
      <w:outlineLvl w:val="1"/>
    </w:pPr>
    <w:rPr>
      <w:rFonts w:asciiTheme="minorHAnsi" w:eastAsia="Arial Unicode MS" w:hAnsiTheme="minorHAnsi"/>
      <w:bCs/>
      <w:i/>
      <w:color w:val="000000"/>
    </w:rPr>
  </w:style>
  <w:style w:type="paragraph" w:styleId="Heading3">
    <w:name w:val="heading 3"/>
    <w:basedOn w:val="Normal"/>
    <w:next w:val="Normal"/>
    <w:link w:val="Heading3Char"/>
    <w:uiPriority w:val="99"/>
    <w:rsid w:val="00803056"/>
    <w:pPr>
      <w:keepNext/>
      <w:spacing w:before="240" w:after="60" w:line="480" w:lineRule="auto"/>
      <w:outlineLvl w:val="2"/>
    </w:pPr>
    <w:rPr>
      <w:b/>
      <w:bCs/>
      <w:color w:val="000000"/>
    </w:rPr>
  </w:style>
  <w:style w:type="paragraph" w:styleId="Heading4">
    <w:name w:val="heading 4"/>
    <w:basedOn w:val="Normal"/>
    <w:next w:val="Normal"/>
    <w:link w:val="Heading4Char"/>
    <w:uiPriority w:val="99"/>
    <w:rsid w:val="00803056"/>
    <w:pPr>
      <w:keepNext/>
      <w:autoSpaceDE w:val="0"/>
      <w:autoSpaceDN w:val="0"/>
      <w:adjustRightInd w:val="0"/>
      <w:spacing w:before="240" w:after="60" w:line="480" w:lineRule="auto"/>
      <w:outlineLvl w:val="3"/>
    </w:pPr>
    <w:rPr>
      <w:b/>
      <w:bCs/>
      <w:color w:val="000000"/>
    </w:rPr>
  </w:style>
  <w:style w:type="paragraph" w:styleId="Heading5">
    <w:name w:val="heading 5"/>
    <w:basedOn w:val="Normal"/>
    <w:next w:val="Normal"/>
    <w:link w:val="Heading5Char"/>
    <w:uiPriority w:val="99"/>
    <w:rsid w:val="00803056"/>
    <w:pPr>
      <w:keepNext/>
      <w:spacing w:before="240" w:after="60" w:line="480" w:lineRule="auto"/>
      <w:outlineLvl w:val="4"/>
    </w:pPr>
    <w:rPr>
      <w:b/>
      <w:bCs/>
      <w:color w:val="000000"/>
    </w:rPr>
  </w:style>
  <w:style w:type="paragraph" w:styleId="Heading6">
    <w:name w:val="heading 6"/>
    <w:basedOn w:val="Normal"/>
    <w:next w:val="Normal"/>
    <w:link w:val="Heading6Char"/>
    <w:uiPriority w:val="99"/>
    <w:rsid w:val="00803056"/>
    <w:pPr>
      <w:keepNext/>
      <w:jc w:val="center"/>
      <w:outlineLvl w:val="5"/>
    </w:pPr>
    <w:rPr>
      <w:rFonts w:ascii="Arial" w:hAnsi="Arial" w:cs="Arial"/>
      <w:b/>
      <w:bCs/>
      <w:sz w:val="28"/>
      <w:szCs w:val="28"/>
    </w:rPr>
  </w:style>
  <w:style w:type="paragraph" w:styleId="Heading7">
    <w:name w:val="heading 7"/>
    <w:basedOn w:val="Normal"/>
    <w:next w:val="Normal"/>
    <w:link w:val="Heading7Char"/>
    <w:uiPriority w:val="99"/>
    <w:rsid w:val="00803056"/>
    <w:pPr>
      <w:keepNext/>
      <w:jc w:val="center"/>
      <w:outlineLvl w:val="6"/>
    </w:pPr>
    <w:rPr>
      <w:b/>
      <w:bCs/>
      <w:sz w:val="20"/>
      <w:szCs w:val="20"/>
    </w:rPr>
  </w:style>
  <w:style w:type="paragraph" w:styleId="Heading8">
    <w:name w:val="heading 8"/>
    <w:basedOn w:val="Normal"/>
    <w:next w:val="Normal"/>
    <w:link w:val="Heading8Char"/>
    <w:uiPriority w:val="99"/>
    <w:rsid w:val="00803056"/>
    <w:pPr>
      <w:keepNext/>
      <w:jc w:val="center"/>
      <w:outlineLvl w:val="7"/>
    </w:pPr>
    <w:rPr>
      <w:b/>
      <w:bCs/>
      <w:sz w:val="16"/>
      <w:szCs w:val="16"/>
    </w:rPr>
  </w:style>
  <w:style w:type="paragraph" w:styleId="Heading9">
    <w:name w:val="heading 9"/>
    <w:basedOn w:val="Normal"/>
    <w:next w:val="Normal"/>
    <w:link w:val="Heading9Char"/>
    <w:uiPriority w:val="99"/>
    <w:rsid w:val="00803056"/>
    <w:pPr>
      <w:keepNext/>
      <w:jc w:val="cente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EA20A3"/>
    <w:rPr>
      <w:rFonts w:asciiTheme="minorHAnsi" w:hAnsiTheme="minorHAnsi"/>
      <w:b/>
      <w:bCs/>
      <w:color w:val="000000"/>
      <w:sz w:val="24"/>
      <w:szCs w:val="24"/>
      <w:lang w:val="pt-BR" w:eastAsia="pt-BR"/>
    </w:rPr>
  </w:style>
  <w:style w:type="character" w:customStyle="1" w:styleId="Heading2Char">
    <w:name w:val="Heading 2 Char"/>
    <w:link w:val="Heading2"/>
    <w:uiPriority w:val="99"/>
    <w:rsid w:val="00EA20A3"/>
    <w:rPr>
      <w:rFonts w:asciiTheme="minorHAnsi" w:eastAsia="Arial Unicode MS" w:hAnsiTheme="minorHAnsi"/>
      <w:bCs/>
      <w:i/>
      <w:color w:val="000000"/>
      <w:sz w:val="24"/>
      <w:szCs w:val="24"/>
      <w:lang w:val="pt-BR" w:eastAsia="pt-BR"/>
    </w:rPr>
  </w:style>
  <w:style w:type="character" w:customStyle="1" w:styleId="Heading3Char">
    <w:name w:val="Heading 3 Char"/>
    <w:link w:val="Heading3"/>
    <w:uiPriority w:val="99"/>
    <w:rsid w:val="002C13FD"/>
    <w:rPr>
      <w:b/>
      <w:bCs/>
      <w:color w:val="000000"/>
      <w:sz w:val="26"/>
      <w:szCs w:val="26"/>
    </w:rPr>
  </w:style>
  <w:style w:type="character" w:customStyle="1" w:styleId="Heading4Char">
    <w:name w:val="Heading 4 Char"/>
    <w:link w:val="Heading4"/>
    <w:uiPriority w:val="99"/>
    <w:semiHidden/>
    <w:rsid w:val="00FB64AE"/>
    <w:rPr>
      <w:rFonts w:ascii="Calibri" w:hAnsi="Calibri" w:cs="Calibri"/>
      <w:b/>
      <w:bCs/>
      <w:sz w:val="28"/>
      <w:szCs w:val="28"/>
      <w:lang w:val="pt-BR" w:eastAsia="pt-BR"/>
    </w:rPr>
  </w:style>
  <w:style w:type="character" w:customStyle="1" w:styleId="Heading5Char">
    <w:name w:val="Heading 5 Char"/>
    <w:link w:val="Heading5"/>
    <w:uiPriority w:val="99"/>
    <w:semiHidden/>
    <w:rsid w:val="00FB64AE"/>
    <w:rPr>
      <w:rFonts w:ascii="Calibri" w:hAnsi="Calibri" w:cs="Calibri"/>
      <w:b/>
      <w:bCs/>
      <w:i/>
      <w:iCs/>
      <w:sz w:val="26"/>
      <w:szCs w:val="26"/>
      <w:lang w:val="pt-BR" w:eastAsia="pt-BR"/>
    </w:rPr>
  </w:style>
  <w:style w:type="character" w:customStyle="1" w:styleId="Heading6Char">
    <w:name w:val="Heading 6 Char"/>
    <w:link w:val="Heading6"/>
    <w:uiPriority w:val="99"/>
    <w:semiHidden/>
    <w:rsid w:val="00FB64AE"/>
    <w:rPr>
      <w:rFonts w:ascii="Calibri" w:hAnsi="Calibri" w:cs="Calibri"/>
      <w:b/>
      <w:bCs/>
      <w:lang w:val="pt-BR" w:eastAsia="pt-BR"/>
    </w:rPr>
  </w:style>
  <w:style w:type="character" w:customStyle="1" w:styleId="Heading7Char">
    <w:name w:val="Heading 7 Char"/>
    <w:link w:val="Heading7"/>
    <w:uiPriority w:val="99"/>
    <w:semiHidden/>
    <w:rsid w:val="00FB64AE"/>
    <w:rPr>
      <w:rFonts w:ascii="Calibri" w:hAnsi="Calibri" w:cs="Calibri"/>
      <w:sz w:val="24"/>
      <w:szCs w:val="24"/>
      <w:lang w:val="pt-BR" w:eastAsia="pt-BR"/>
    </w:rPr>
  </w:style>
  <w:style w:type="character" w:customStyle="1" w:styleId="Heading8Char">
    <w:name w:val="Heading 8 Char"/>
    <w:link w:val="Heading8"/>
    <w:uiPriority w:val="99"/>
    <w:semiHidden/>
    <w:rsid w:val="00FB64AE"/>
    <w:rPr>
      <w:rFonts w:ascii="Calibri" w:hAnsi="Calibri" w:cs="Calibri"/>
      <w:i/>
      <w:iCs/>
      <w:sz w:val="24"/>
      <w:szCs w:val="24"/>
      <w:lang w:val="pt-BR" w:eastAsia="pt-BR"/>
    </w:rPr>
  </w:style>
  <w:style w:type="character" w:customStyle="1" w:styleId="Heading9Char">
    <w:name w:val="Heading 9 Char"/>
    <w:link w:val="Heading9"/>
    <w:uiPriority w:val="99"/>
    <w:semiHidden/>
    <w:rsid w:val="00FB64AE"/>
    <w:rPr>
      <w:rFonts w:ascii="Cambria" w:hAnsi="Cambria" w:cs="Cambria"/>
      <w:lang w:val="pt-BR" w:eastAsia="pt-BR"/>
    </w:rPr>
  </w:style>
  <w:style w:type="paragraph" w:styleId="BodyText">
    <w:name w:val="Body Text"/>
    <w:basedOn w:val="Normal"/>
    <w:link w:val="BodyTextChar"/>
    <w:uiPriority w:val="99"/>
    <w:rsid w:val="00803056"/>
    <w:pPr>
      <w:spacing w:line="480" w:lineRule="auto"/>
    </w:pPr>
  </w:style>
  <w:style w:type="character" w:customStyle="1" w:styleId="BodyTextChar">
    <w:name w:val="Body Text Char"/>
    <w:link w:val="BodyText"/>
    <w:uiPriority w:val="99"/>
    <w:rsid w:val="006973CA"/>
    <w:rPr>
      <w:sz w:val="24"/>
      <w:szCs w:val="24"/>
    </w:rPr>
  </w:style>
  <w:style w:type="paragraph" w:styleId="Header">
    <w:name w:val="header"/>
    <w:basedOn w:val="Normal"/>
    <w:link w:val="HeaderChar"/>
    <w:uiPriority w:val="99"/>
    <w:rsid w:val="00803056"/>
    <w:pPr>
      <w:tabs>
        <w:tab w:val="center" w:pos="4419"/>
        <w:tab w:val="right" w:pos="8838"/>
      </w:tabs>
    </w:pPr>
  </w:style>
  <w:style w:type="character" w:customStyle="1" w:styleId="HeaderChar">
    <w:name w:val="Header Char"/>
    <w:link w:val="Header"/>
    <w:uiPriority w:val="99"/>
    <w:rsid w:val="001C70E7"/>
    <w:rPr>
      <w:sz w:val="24"/>
      <w:szCs w:val="24"/>
    </w:rPr>
  </w:style>
  <w:style w:type="paragraph" w:styleId="BodyTextIndent">
    <w:name w:val="Body Text Indent"/>
    <w:basedOn w:val="Normal"/>
    <w:link w:val="BodyTextIndentChar"/>
    <w:uiPriority w:val="99"/>
    <w:rsid w:val="00803056"/>
    <w:pPr>
      <w:spacing w:line="480" w:lineRule="auto"/>
      <w:ind w:firstLine="720"/>
    </w:pPr>
  </w:style>
  <w:style w:type="character" w:customStyle="1" w:styleId="BodyTextIndentChar">
    <w:name w:val="Body Text Indent Char"/>
    <w:link w:val="BodyTextIndent"/>
    <w:uiPriority w:val="99"/>
    <w:rsid w:val="006E08F9"/>
    <w:rPr>
      <w:sz w:val="24"/>
      <w:szCs w:val="24"/>
    </w:rPr>
  </w:style>
  <w:style w:type="paragraph" w:styleId="BodyTextIndent2">
    <w:name w:val="Body Text Indent 2"/>
    <w:basedOn w:val="Normal"/>
    <w:link w:val="BodyTextIndent2Char"/>
    <w:uiPriority w:val="99"/>
    <w:semiHidden/>
    <w:rsid w:val="00803056"/>
    <w:pPr>
      <w:spacing w:line="480" w:lineRule="auto"/>
      <w:ind w:firstLine="709"/>
    </w:pPr>
  </w:style>
  <w:style w:type="character" w:customStyle="1" w:styleId="BodyTextIndent2Char">
    <w:name w:val="Body Text Indent 2 Char"/>
    <w:link w:val="BodyTextIndent2"/>
    <w:uiPriority w:val="99"/>
    <w:semiHidden/>
    <w:rsid w:val="00FB64AE"/>
    <w:rPr>
      <w:sz w:val="24"/>
      <w:szCs w:val="24"/>
      <w:lang w:val="pt-BR" w:eastAsia="pt-BR"/>
    </w:rPr>
  </w:style>
  <w:style w:type="character" w:styleId="CommentReference">
    <w:name w:val="annotation reference"/>
    <w:uiPriority w:val="99"/>
    <w:semiHidden/>
    <w:rsid w:val="00803056"/>
    <w:rPr>
      <w:sz w:val="16"/>
      <w:szCs w:val="16"/>
    </w:rPr>
  </w:style>
  <w:style w:type="character" w:styleId="FootnoteReference">
    <w:name w:val="footnote reference"/>
    <w:uiPriority w:val="99"/>
    <w:semiHidden/>
    <w:rsid w:val="00803056"/>
    <w:rPr>
      <w:vertAlign w:val="superscript"/>
    </w:rPr>
  </w:style>
  <w:style w:type="paragraph" w:styleId="Title">
    <w:name w:val="Title"/>
    <w:basedOn w:val="Normal"/>
    <w:link w:val="TitleChar"/>
    <w:uiPriority w:val="99"/>
    <w:qFormat/>
    <w:rsid w:val="00EA20A3"/>
    <w:pPr>
      <w:ind w:left="0" w:firstLine="0"/>
      <w:jc w:val="center"/>
    </w:pPr>
    <w:rPr>
      <w:b/>
      <w:bCs/>
      <w:caps/>
      <w:noProof/>
      <w:sz w:val="40"/>
      <w:szCs w:val="52"/>
    </w:rPr>
  </w:style>
  <w:style w:type="character" w:customStyle="1" w:styleId="TitleChar">
    <w:name w:val="Title Char"/>
    <w:link w:val="Title"/>
    <w:uiPriority w:val="99"/>
    <w:rsid w:val="00EA20A3"/>
    <w:rPr>
      <w:rFonts w:ascii="Calibri" w:hAnsi="Calibri"/>
      <w:b/>
      <w:bCs/>
      <w:caps/>
      <w:noProof/>
      <w:sz w:val="40"/>
      <w:szCs w:val="52"/>
      <w:lang w:val="pt-BR" w:eastAsia="pt-BR"/>
    </w:rPr>
  </w:style>
  <w:style w:type="paragraph" w:styleId="NormalWeb">
    <w:name w:val="Normal (Web)"/>
    <w:basedOn w:val="Normal"/>
    <w:uiPriority w:val="99"/>
    <w:rsid w:val="00803056"/>
    <w:pPr>
      <w:widowControl w:val="0"/>
      <w:spacing w:before="100" w:after="100"/>
    </w:pPr>
    <w:rPr>
      <w:rFonts w:ascii="Arial Unicode MS" w:eastAsia="Arial Unicode MS" w:cs="Arial Unicode MS"/>
      <w:noProof/>
      <w:color w:val="FFFF00"/>
    </w:rPr>
  </w:style>
  <w:style w:type="paragraph" w:styleId="BodyTextIndent3">
    <w:name w:val="Body Text Indent 3"/>
    <w:basedOn w:val="Normal"/>
    <w:link w:val="BodyTextIndent3Char"/>
    <w:uiPriority w:val="99"/>
    <w:semiHidden/>
    <w:rsid w:val="00803056"/>
    <w:pPr>
      <w:spacing w:line="480" w:lineRule="auto"/>
      <w:ind w:firstLine="360"/>
    </w:pPr>
  </w:style>
  <w:style w:type="character" w:customStyle="1" w:styleId="BodyTextIndent3Char">
    <w:name w:val="Body Text Indent 3 Char"/>
    <w:link w:val="BodyTextIndent3"/>
    <w:uiPriority w:val="99"/>
    <w:semiHidden/>
    <w:rsid w:val="002C13FD"/>
    <w:rPr>
      <w:sz w:val="24"/>
      <w:szCs w:val="24"/>
    </w:rPr>
  </w:style>
  <w:style w:type="paragraph" w:styleId="FootnoteText">
    <w:name w:val="footnote text"/>
    <w:basedOn w:val="Normal"/>
    <w:link w:val="FootnoteTextChar"/>
    <w:uiPriority w:val="99"/>
    <w:semiHidden/>
    <w:rsid w:val="00803056"/>
    <w:rPr>
      <w:sz w:val="20"/>
      <w:szCs w:val="20"/>
    </w:rPr>
  </w:style>
  <w:style w:type="character" w:customStyle="1" w:styleId="FootnoteTextChar">
    <w:name w:val="Footnote Text Char"/>
    <w:basedOn w:val="DefaultParagraphFont"/>
    <w:link w:val="FootnoteText"/>
    <w:uiPriority w:val="99"/>
    <w:semiHidden/>
    <w:rsid w:val="002C13FD"/>
  </w:style>
  <w:style w:type="character" w:styleId="PageNumber">
    <w:name w:val="page number"/>
    <w:basedOn w:val="DefaultParagraphFont"/>
    <w:uiPriority w:val="99"/>
    <w:rsid w:val="00803056"/>
  </w:style>
  <w:style w:type="paragraph" w:styleId="Footer">
    <w:name w:val="footer"/>
    <w:basedOn w:val="Normal"/>
    <w:link w:val="FooterChar"/>
    <w:uiPriority w:val="99"/>
    <w:rsid w:val="00803056"/>
    <w:pPr>
      <w:tabs>
        <w:tab w:val="center" w:pos="4419"/>
        <w:tab w:val="right" w:pos="8838"/>
      </w:tabs>
    </w:pPr>
  </w:style>
  <w:style w:type="character" w:customStyle="1" w:styleId="FooterChar">
    <w:name w:val="Footer Char"/>
    <w:link w:val="Footer"/>
    <w:uiPriority w:val="99"/>
    <w:semiHidden/>
    <w:rsid w:val="000C31ED"/>
    <w:rPr>
      <w:sz w:val="24"/>
      <w:szCs w:val="24"/>
    </w:rPr>
  </w:style>
  <w:style w:type="paragraph" w:styleId="CommentText">
    <w:name w:val="annotation text"/>
    <w:basedOn w:val="Normal"/>
    <w:link w:val="CommentTextChar"/>
    <w:uiPriority w:val="99"/>
    <w:semiHidden/>
    <w:rsid w:val="00803056"/>
    <w:rPr>
      <w:sz w:val="20"/>
      <w:szCs w:val="20"/>
    </w:rPr>
  </w:style>
  <w:style w:type="character" w:customStyle="1" w:styleId="CommentTextChar">
    <w:name w:val="Comment Text Char"/>
    <w:link w:val="CommentText"/>
    <w:uiPriority w:val="99"/>
    <w:semiHidden/>
    <w:rsid w:val="00FB64AE"/>
    <w:rPr>
      <w:sz w:val="20"/>
      <w:szCs w:val="20"/>
      <w:lang w:val="pt-BR" w:eastAsia="pt-BR"/>
    </w:rPr>
  </w:style>
  <w:style w:type="paragraph" w:styleId="BodyText3">
    <w:name w:val="Body Text 3"/>
    <w:basedOn w:val="Normal"/>
    <w:link w:val="BodyText3Char"/>
    <w:uiPriority w:val="99"/>
    <w:semiHidden/>
    <w:rsid w:val="00803056"/>
    <w:pPr>
      <w:jc w:val="center"/>
    </w:pPr>
    <w:rPr>
      <w:b/>
      <w:bCs/>
      <w:sz w:val="22"/>
      <w:szCs w:val="22"/>
    </w:rPr>
  </w:style>
  <w:style w:type="character" w:customStyle="1" w:styleId="BodyText3Char">
    <w:name w:val="Body Text 3 Char"/>
    <w:link w:val="BodyText3"/>
    <w:uiPriority w:val="99"/>
    <w:semiHidden/>
    <w:rsid w:val="000C31ED"/>
    <w:rPr>
      <w:b/>
      <w:bCs/>
      <w:sz w:val="22"/>
      <w:szCs w:val="22"/>
    </w:rPr>
  </w:style>
  <w:style w:type="paragraph" w:styleId="TableofFigures">
    <w:name w:val="table of figures"/>
    <w:basedOn w:val="Normal"/>
    <w:next w:val="Normal"/>
    <w:uiPriority w:val="99"/>
    <w:rsid w:val="00803056"/>
    <w:pPr>
      <w:ind w:left="480" w:hanging="480"/>
    </w:pPr>
  </w:style>
  <w:style w:type="paragraph" w:styleId="Caption">
    <w:name w:val="caption"/>
    <w:basedOn w:val="Normal"/>
    <w:next w:val="Normal"/>
    <w:uiPriority w:val="35"/>
    <w:qFormat/>
    <w:rsid w:val="00803056"/>
    <w:rPr>
      <w:b/>
      <w:bCs/>
      <w:sz w:val="20"/>
      <w:szCs w:val="20"/>
    </w:rPr>
  </w:style>
  <w:style w:type="character" w:styleId="Hyperlink">
    <w:name w:val="Hyperlink"/>
    <w:uiPriority w:val="99"/>
    <w:rsid w:val="00803056"/>
    <w:rPr>
      <w:color w:val="0000FF"/>
      <w:u w:val="single"/>
    </w:rPr>
  </w:style>
  <w:style w:type="paragraph" w:styleId="TOC1">
    <w:name w:val="toc 1"/>
    <w:basedOn w:val="Normal"/>
    <w:next w:val="Normal"/>
    <w:autoRedefine/>
    <w:uiPriority w:val="39"/>
    <w:rsid w:val="003A1E43"/>
    <w:pPr>
      <w:spacing w:line="360" w:lineRule="auto"/>
      <w:ind w:left="0"/>
    </w:pPr>
    <w:rPr>
      <w:b/>
      <w:bCs/>
      <w:szCs w:val="20"/>
    </w:rPr>
  </w:style>
  <w:style w:type="paragraph" w:styleId="TOC2">
    <w:name w:val="toc 2"/>
    <w:basedOn w:val="Normal"/>
    <w:next w:val="Normal"/>
    <w:autoRedefine/>
    <w:uiPriority w:val="39"/>
    <w:rsid w:val="003A1E43"/>
    <w:rPr>
      <w:szCs w:val="20"/>
    </w:rPr>
  </w:style>
  <w:style w:type="paragraph" w:styleId="TOC3">
    <w:name w:val="toc 3"/>
    <w:basedOn w:val="Normal"/>
    <w:next w:val="Normal"/>
    <w:autoRedefine/>
    <w:uiPriority w:val="39"/>
    <w:rsid w:val="003A1E43"/>
    <w:pPr>
      <w:ind w:left="480"/>
    </w:pPr>
    <w:rPr>
      <w:i/>
      <w:iCs/>
      <w:szCs w:val="20"/>
    </w:rPr>
  </w:style>
  <w:style w:type="paragraph" w:styleId="TOC4">
    <w:name w:val="toc 4"/>
    <w:basedOn w:val="Normal"/>
    <w:next w:val="Normal"/>
    <w:autoRedefine/>
    <w:uiPriority w:val="99"/>
    <w:semiHidden/>
    <w:rsid w:val="00803056"/>
    <w:pPr>
      <w:ind w:left="720"/>
    </w:pPr>
    <w:rPr>
      <w:sz w:val="18"/>
      <w:szCs w:val="18"/>
    </w:rPr>
  </w:style>
  <w:style w:type="paragraph" w:styleId="TOC5">
    <w:name w:val="toc 5"/>
    <w:basedOn w:val="Normal"/>
    <w:next w:val="Normal"/>
    <w:autoRedefine/>
    <w:uiPriority w:val="99"/>
    <w:semiHidden/>
    <w:rsid w:val="00803056"/>
    <w:pPr>
      <w:ind w:left="960"/>
    </w:pPr>
    <w:rPr>
      <w:sz w:val="18"/>
      <w:szCs w:val="18"/>
    </w:rPr>
  </w:style>
  <w:style w:type="paragraph" w:styleId="TOC6">
    <w:name w:val="toc 6"/>
    <w:basedOn w:val="Normal"/>
    <w:next w:val="Normal"/>
    <w:autoRedefine/>
    <w:uiPriority w:val="99"/>
    <w:semiHidden/>
    <w:rsid w:val="00803056"/>
    <w:pPr>
      <w:ind w:left="1200"/>
    </w:pPr>
    <w:rPr>
      <w:sz w:val="18"/>
      <w:szCs w:val="18"/>
    </w:rPr>
  </w:style>
  <w:style w:type="paragraph" w:styleId="TOC7">
    <w:name w:val="toc 7"/>
    <w:basedOn w:val="Normal"/>
    <w:next w:val="Normal"/>
    <w:autoRedefine/>
    <w:uiPriority w:val="99"/>
    <w:semiHidden/>
    <w:rsid w:val="00803056"/>
    <w:pPr>
      <w:ind w:left="1440"/>
    </w:pPr>
    <w:rPr>
      <w:sz w:val="18"/>
      <w:szCs w:val="18"/>
    </w:rPr>
  </w:style>
  <w:style w:type="paragraph" w:styleId="TOC8">
    <w:name w:val="toc 8"/>
    <w:basedOn w:val="Normal"/>
    <w:next w:val="Normal"/>
    <w:autoRedefine/>
    <w:uiPriority w:val="99"/>
    <w:semiHidden/>
    <w:rsid w:val="00803056"/>
    <w:pPr>
      <w:ind w:left="1680"/>
    </w:pPr>
    <w:rPr>
      <w:sz w:val="18"/>
      <w:szCs w:val="18"/>
    </w:rPr>
  </w:style>
  <w:style w:type="paragraph" w:styleId="TOC9">
    <w:name w:val="toc 9"/>
    <w:basedOn w:val="Normal"/>
    <w:next w:val="Normal"/>
    <w:autoRedefine/>
    <w:uiPriority w:val="99"/>
    <w:semiHidden/>
    <w:rsid w:val="00803056"/>
    <w:pPr>
      <w:ind w:left="1920"/>
    </w:pPr>
    <w:rPr>
      <w:sz w:val="18"/>
      <w:szCs w:val="18"/>
    </w:rPr>
  </w:style>
  <w:style w:type="paragraph" w:styleId="BodyText2">
    <w:name w:val="Body Text 2"/>
    <w:basedOn w:val="Normal"/>
    <w:link w:val="BodyText2Char"/>
    <w:uiPriority w:val="99"/>
    <w:semiHidden/>
    <w:rsid w:val="00803056"/>
    <w:pPr>
      <w:spacing w:before="240" w:after="60"/>
    </w:pPr>
    <w:rPr>
      <w:b/>
      <w:bCs/>
    </w:rPr>
  </w:style>
  <w:style w:type="character" w:customStyle="1" w:styleId="BodyText2Char">
    <w:name w:val="Body Text 2 Char"/>
    <w:link w:val="BodyText2"/>
    <w:uiPriority w:val="99"/>
    <w:semiHidden/>
    <w:rsid w:val="00FB64AE"/>
    <w:rPr>
      <w:sz w:val="24"/>
      <w:szCs w:val="24"/>
      <w:lang w:val="pt-BR" w:eastAsia="pt-BR"/>
    </w:rPr>
  </w:style>
  <w:style w:type="character" w:styleId="FollowedHyperlink">
    <w:name w:val="FollowedHyperlink"/>
    <w:uiPriority w:val="99"/>
    <w:semiHidden/>
    <w:rsid w:val="00803056"/>
    <w:rPr>
      <w:color w:val="800080"/>
      <w:u w:val="single"/>
    </w:rPr>
  </w:style>
  <w:style w:type="paragraph" w:customStyle="1" w:styleId="Classif">
    <w:name w:val="Classif"/>
    <w:uiPriority w:val="99"/>
    <w:rsid w:val="00803056"/>
    <w:pPr>
      <w:ind w:left="288"/>
      <w:jc w:val="center"/>
    </w:pPr>
    <w:rPr>
      <w:lang w:val="pt-BR" w:eastAsia="pt-BR"/>
    </w:rPr>
  </w:style>
  <w:style w:type="paragraph" w:customStyle="1" w:styleId="DatReg">
    <w:name w:val="DatReg"/>
    <w:uiPriority w:val="99"/>
    <w:rsid w:val="00803056"/>
    <w:pPr>
      <w:ind w:left="288"/>
      <w:jc w:val="center"/>
    </w:pPr>
    <w:rPr>
      <w:lang w:val="pt-BR" w:eastAsia="pt-BR"/>
    </w:rPr>
  </w:style>
  <w:style w:type="paragraph" w:customStyle="1" w:styleId="NroReg">
    <w:name w:val="NroReg"/>
    <w:uiPriority w:val="99"/>
    <w:rsid w:val="00803056"/>
    <w:pPr>
      <w:ind w:left="288"/>
      <w:jc w:val="center"/>
    </w:pPr>
    <w:rPr>
      <w:sz w:val="18"/>
      <w:szCs w:val="18"/>
      <w:lang w:val="pt-BR" w:eastAsia="pt-BR"/>
    </w:rPr>
  </w:style>
  <w:style w:type="paragraph" w:customStyle="1" w:styleId="Paginacao">
    <w:name w:val="Paginacao"/>
    <w:uiPriority w:val="99"/>
    <w:rsid w:val="00803056"/>
    <w:pPr>
      <w:ind w:left="288"/>
      <w:jc w:val="center"/>
    </w:pPr>
    <w:rPr>
      <w:lang w:val="pt-BR" w:eastAsia="pt-BR"/>
    </w:rPr>
  </w:style>
  <w:style w:type="paragraph" w:customStyle="1" w:styleId="TituloTese">
    <w:name w:val="TituloTese"/>
    <w:uiPriority w:val="99"/>
    <w:rsid w:val="00803056"/>
    <w:pPr>
      <w:ind w:left="288"/>
      <w:jc w:val="both"/>
    </w:pPr>
    <w:rPr>
      <w:lang w:val="pt-BR" w:eastAsia="pt-BR"/>
    </w:rPr>
  </w:style>
  <w:style w:type="paragraph" w:customStyle="1" w:styleId="Autor">
    <w:name w:val="Autor"/>
    <w:uiPriority w:val="99"/>
    <w:rsid w:val="00803056"/>
    <w:pPr>
      <w:ind w:left="288"/>
      <w:jc w:val="both"/>
    </w:pPr>
    <w:rPr>
      <w:b/>
      <w:bCs/>
      <w:lang w:val="pt-BR" w:eastAsia="pt-BR"/>
    </w:rPr>
  </w:style>
  <w:style w:type="paragraph" w:customStyle="1" w:styleId="Instituicao">
    <w:name w:val="Instituicao"/>
    <w:uiPriority w:val="99"/>
    <w:rsid w:val="00803056"/>
    <w:pPr>
      <w:numPr>
        <w:ilvl w:val="12"/>
      </w:numPr>
      <w:ind w:left="288"/>
      <w:jc w:val="both"/>
    </w:pPr>
    <w:rPr>
      <w:lang w:val="pt-BR" w:eastAsia="pt-BR"/>
    </w:rPr>
  </w:style>
  <w:style w:type="paragraph" w:customStyle="1" w:styleId="Palchavsug">
    <w:name w:val="Palchavsug"/>
    <w:uiPriority w:val="99"/>
    <w:rsid w:val="00803056"/>
    <w:pPr>
      <w:numPr>
        <w:ilvl w:val="12"/>
      </w:numPr>
      <w:ind w:left="288"/>
      <w:jc w:val="both"/>
    </w:pPr>
    <w:rPr>
      <w:lang w:val="pt-BR" w:eastAsia="pt-BR"/>
    </w:rPr>
  </w:style>
  <w:style w:type="paragraph" w:customStyle="1" w:styleId="Apresent">
    <w:name w:val="Apresent"/>
    <w:uiPriority w:val="99"/>
    <w:rsid w:val="00803056"/>
    <w:pPr>
      <w:numPr>
        <w:ilvl w:val="12"/>
      </w:numPr>
      <w:ind w:left="288"/>
      <w:jc w:val="both"/>
    </w:pPr>
    <w:rPr>
      <w:lang w:val="pt-BR" w:eastAsia="pt-BR"/>
    </w:rPr>
  </w:style>
  <w:style w:type="paragraph" w:customStyle="1" w:styleId="Resumo">
    <w:name w:val="Resumo"/>
    <w:uiPriority w:val="99"/>
    <w:rsid w:val="00803056"/>
    <w:pPr>
      <w:numPr>
        <w:ilvl w:val="12"/>
      </w:numPr>
      <w:ind w:left="288"/>
      <w:jc w:val="both"/>
    </w:pPr>
    <w:rPr>
      <w:lang w:val="pt-BR" w:eastAsia="pt-BR"/>
    </w:rPr>
  </w:style>
  <w:style w:type="paragraph" w:styleId="BalloonText">
    <w:name w:val="Balloon Text"/>
    <w:basedOn w:val="Normal"/>
    <w:link w:val="BalloonTextChar"/>
    <w:uiPriority w:val="99"/>
    <w:semiHidden/>
    <w:rsid w:val="0045034D"/>
    <w:rPr>
      <w:rFonts w:ascii="Tahoma" w:hAnsi="Tahoma" w:cs="Tahoma"/>
      <w:sz w:val="16"/>
      <w:szCs w:val="16"/>
    </w:rPr>
  </w:style>
  <w:style w:type="character" w:customStyle="1" w:styleId="BalloonTextChar">
    <w:name w:val="Balloon Text Char"/>
    <w:link w:val="BalloonText"/>
    <w:uiPriority w:val="99"/>
    <w:semiHidden/>
    <w:rsid w:val="0045034D"/>
    <w:rPr>
      <w:rFonts w:ascii="Tahoma" w:hAnsi="Tahoma" w:cs="Tahoma"/>
      <w:sz w:val="16"/>
      <w:szCs w:val="16"/>
    </w:rPr>
  </w:style>
  <w:style w:type="paragraph" w:styleId="Revision">
    <w:name w:val="Revision"/>
    <w:hidden/>
    <w:uiPriority w:val="99"/>
    <w:semiHidden/>
    <w:rsid w:val="0045034D"/>
    <w:pPr>
      <w:ind w:left="288"/>
    </w:pPr>
    <w:rPr>
      <w:sz w:val="24"/>
      <w:szCs w:val="24"/>
      <w:lang w:val="pt-BR" w:eastAsia="pt-BR"/>
    </w:rPr>
  </w:style>
  <w:style w:type="paragraph" w:customStyle="1" w:styleId="Pa8">
    <w:name w:val="Pa8"/>
    <w:basedOn w:val="Normal"/>
    <w:next w:val="Normal"/>
    <w:uiPriority w:val="99"/>
    <w:rsid w:val="004407C2"/>
    <w:pPr>
      <w:autoSpaceDE w:val="0"/>
      <w:autoSpaceDN w:val="0"/>
      <w:adjustRightInd w:val="0"/>
      <w:spacing w:line="211" w:lineRule="atLeast"/>
    </w:pPr>
    <w:rPr>
      <w:rFonts w:ascii="Times" w:hAnsi="Times" w:cs="Times"/>
    </w:rPr>
  </w:style>
  <w:style w:type="paragraph" w:customStyle="1" w:styleId="Default">
    <w:name w:val="Default"/>
    <w:uiPriority w:val="99"/>
    <w:rsid w:val="007A697A"/>
    <w:pPr>
      <w:autoSpaceDE w:val="0"/>
      <w:autoSpaceDN w:val="0"/>
      <w:adjustRightInd w:val="0"/>
      <w:ind w:left="288"/>
    </w:pPr>
    <w:rPr>
      <w:rFonts w:ascii="Times" w:hAnsi="Times" w:cs="Times"/>
      <w:color w:val="000000"/>
      <w:sz w:val="24"/>
      <w:szCs w:val="24"/>
      <w:lang w:val="pt-BR" w:eastAsia="pt-BR"/>
    </w:rPr>
  </w:style>
  <w:style w:type="paragraph" w:customStyle="1" w:styleId="Pa11">
    <w:name w:val="Pa11"/>
    <w:basedOn w:val="Default"/>
    <w:next w:val="Default"/>
    <w:uiPriority w:val="99"/>
    <w:rsid w:val="00DD0ABB"/>
    <w:pPr>
      <w:spacing w:line="231" w:lineRule="atLeast"/>
    </w:pPr>
    <w:rPr>
      <w:rFonts w:ascii="Helvetica" w:hAnsi="Helvetica" w:cs="Helvetica"/>
      <w:color w:val="auto"/>
    </w:rPr>
  </w:style>
  <w:style w:type="paragraph" w:customStyle="1" w:styleId="Pa3">
    <w:name w:val="Pa3"/>
    <w:basedOn w:val="Default"/>
    <w:next w:val="Default"/>
    <w:uiPriority w:val="99"/>
    <w:rsid w:val="00DD0ABB"/>
    <w:pPr>
      <w:spacing w:line="211" w:lineRule="atLeast"/>
    </w:pPr>
    <w:rPr>
      <w:rFonts w:ascii="Palatino Linotype" w:hAnsi="Palatino Linotype" w:cs="Palatino Linotype"/>
      <w:color w:val="auto"/>
    </w:rPr>
  </w:style>
  <w:style w:type="paragraph" w:customStyle="1" w:styleId="Pa10">
    <w:name w:val="Pa10"/>
    <w:basedOn w:val="Default"/>
    <w:next w:val="Default"/>
    <w:uiPriority w:val="99"/>
    <w:rsid w:val="00DD0ABB"/>
    <w:pPr>
      <w:spacing w:line="211" w:lineRule="atLeast"/>
    </w:pPr>
    <w:rPr>
      <w:rFonts w:ascii="Palatino Linotype" w:hAnsi="Palatino Linotype" w:cs="Palatino Linotype"/>
      <w:color w:val="auto"/>
    </w:rPr>
  </w:style>
  <w:style w:type="table" w:styleId="TableGrid">
    <w:name w:val="Table Grid"/>
    <w:basedOn w:val="TableNormal"/>
    <w:uiPriority w:val="99"/>
    <w:rsid w:val="00DE6531"/>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99"/>
    <w:rsid w:val="000C31ED"/>
    <w:rPr>
      <w:b/>
      <w:bCs/>
    </w:rPr>
  </w:style>
  <w:style w:type="paragraph" w:styleId="ListParagraph">
    <w:name w:val="List Paragraph"/>
    <w:basedOn w:val="Normal"/>
    <w:uiPriority w:val="99"/>
    <w:rsid w:val="000C31ED"/>
    <w:pPr>
      <w:ind w:left="720"/>
      <w:contextualSpacing/>
    </w:pPr>
  </w:style>
  <w:style w:type="character" w:customStyle="1" w:styleId="Fotnotsreferens">
    <w:name w:val="Fotnotsreferens"/>
    <w:uiPriority w:val="99"/>
    <w:rsid w:val="00545817"/>
    <w:rPr>
      <w:color w:val="000000"/>
    </w:rPr>
  </w:style>
  <w:style w:type="character" w:styleId="Strong">
    <w:name w:val="Strong"/>
    <w:uiPriority w:val="99"/>
    <w:rsid w:val="008F1491"/>
    <w:rPr>
      <w:b/>
      <w:bCs/>
    </w:rPr>
  </w:style>
  <w:style w:type="character" w:customStyle="1" w:styleId="gt-icon-text1">
    <w:name w:val="gt-icon-text1"/>
    <w:basedOn w:val="DefaultParagraphFont"/>
    <w:uiPriority w:val="99"/>
    <w:rsid w:val="00C601E2"/>
  </w:style>
  <w:style w:type="paragraph" w:customStyle="1" w:styleId="tituazul">
    <w:name w:val="titu_azul"/>
    <w:basedOn w:val="Normal"/>
    <w:uiPriority w:val="99"/>
    <w:rsid w:val="00510F5E"/>
    <w:pPr>
      <w:spacing w:before="100" w:beforeAutospacing="1" w:after="100" w:afterAutospacing="1"/>
    </w:pPr>
    <w:rPr>
      <w:rFonts w:ascii="Arial" w:hAnsi="Arial" w:cs="Arial"/>
      <w:b/>
      <w:bCs/>
      <w:color w:val="2F2677"/>
      <w:sz w:val="12"/>
      <w:szCs w:val="12"/>
    </w:rPr>
  </w:style>
  <w:style w:type="paragraph" w:styleId="z-TopofForm">
    <w:name w:val="HTML Top of Form"/>
    <w:basedOn w:val="Normal"/>
    <w:next w:val="Normal"/>
    <w:link w:val="z-TopofFormChar"/>
    <w:hidden/>
    <w:uiPriority w:val="99"/>
    <w:semiHidden/>
    <w:rsid w:val="00510F5E"/>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uiPriority w:val="99"/>
    <w:semiHidden/>
    <w:rsid w:val="00510F5E"/>
    <w:rPr>
      <w:rFonts w:ascii="Arial" w:hAnsi="Arial" w:cs="Arial"/>
      <w:vanish/>
      <w:sz w:val="16"/>
      <w:szCs w:val="16"/>
    </w:rPr>
  </w:style>
  <w:style w:type="paragraph" w:styleId="z-BottomofForm">
    <w:name w:val="HTML Bottom of Form"/>
    <w:basedOn w:val="Normal"/>
    <w:next w:val="Normal"/>
    <w:link w:val="z-BottomofFormChar"/>
    <w:hidden/>
    <w:uiPriority w:val="99"/>
    <w:semiHidden/>
    <w:rsid w:val="00510F5E"/>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uiPriority w:val="99"/>
    <w:semiHidden/>
    <w:rsid w:val="00510F5E"/>
    <w:rPr>
      <w:rFonts w:ascii="Arial" w:hAnsi="Arial" w:cs="Arial"/>
      <w:vanish/>
      <w:sz w:val="16"/>
      <w:szCs w:val="16"/>
    </w:rPr>
  </w:style>
  <w:style w:type="character" w:customStyle="1" w:styleId="A2">
    <w:name w:val="A2"/>
    <w:uiPriority w:val="99"/>
    <w:rsid w:val="00BE1657"/>
    <w:rPr>
      <w:b/>
      <w:bCs/>
      <w:color w:val="000000"/>
      <w:sz w:val="11"/>
      <w:szCs w:val="11"/>
    </w:rPr>
  </w:style>
  <w:style w:type="character" w:customStyle="1" w:styleId="A9">
    <w:name w:val="A9"/>
    <w:uiPriority w:val="99"/>
    <w:rsid w:val="00BE1657"/>
    <w:rPr>
      <w:color w:val="000000"/>
      <w:sz w:val="18"/>
      <w:szCs w:val="18"/>
    </w:rPr>
  </w:style>
  <w:style w:type="paragraph" w:customStyle="1" w:styleId="Pa0">
    <w:name w:val="Pa0"/>
    <w:basedOn w:val="Default"/>
    <w:next w:val="Default"/>
    <w:uiPriority w:val="99"/>
    <w:rsid w:val="00CE0192"/>
    <w:pPr>
      <w:spacing w:line="281" w:lineRule="atLeast"/>
    </w:pPr>
    <w:rPr>
      <w:rFonts w:ascii="Helvetica" w:hAnsi="Helvetica" w:cs="Helvetica"/>
      <w:color w:val="auto"/>
    </w:rPr>
  </w:style>
  <w:style w:type="character" w:customStyle="1" w:styleId="longtext">
    <w:name w:val="long_text"/>
    <w:basedOn w:val="DefaultParagraphFont"/>
    <w:uiPriority w:val="99"/>
    <w:rsid w:val="00EA5020"/>
  </w:style>
  <w:style w:type="paragraph" w:customStyle="1" w:styleId="CorpodeTexto">
    <w:name w:val="Corpo de Texto"/>
    <w:basedOn w:val="Normal"/>
    <w:uiPriority w:val="99"/>
    <w:semiHidden/>
    <w:rsid w:val="00EA5020"/>
    <w:pPr>
      <w:spacing w:line="360" w:lineRule="auto"/>
    </w:pPr>
    <w:rPr>
      <w:rFonts w:ascii="Arial" w:eastAsia="MS Mincho" w:hAnsi="Arial" w:cs="Arial"/>
      <w:sz w:val="20"/>
      <w:szCs w:val="20"/>
    </w:rPr>
  </w:style>
  <w:style w:type="character" w:styleId="LineNumber">
    <w:name w:val="line number"/>
    <w:basedOn w:val="DefaultParagraphFont"/>
    <w:uiPriority w:val="99"/>
    <w:semiHidden/>
    <w:rsid w:val="00E751E1"/>
  </w:style>
  <w:style w:type="paragraph" w:styleId="NoSpacing">
    <w:name w:val="No Spacing"/>
    <w:uiPriority w:val="1"/>
    <w:rsid w:val="00831A72"/>
    <w:pPr>
      <w:ind w:left="288"/>
    </w:pPr>
    <w:rPr>
      <w:sz w:val="24"/>
      <w:szCs w:val="24"/>
      <w:lang w:val="pt-BR" w:eastAsia="pt-BR"/>
    </w:rPr>
  </w:style>
  <w:style w:type="paragraph" w:styleId="Subtitle">
    <w:name w:val="Subtitle"/>
    <w:basedOn w:val="Normal"/>
    <w:next w:val="Normal"/>
    <w:link w:val="SubtitleChar"/>
    <w:uiPriority w:val="11"/>
    <w:rsid w:val="00831A72"/>
    <w:pPr>
      <w:numPr>
        <w:ilvl w:val="1"/>
      </w:numPr>
      <w:spacing w:after="160"/>
      <w:ind w:left="288" w:firstLine="56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831A72"/>
    <w:rPr>
      <w:rFonts w:asciiTheme="minorHAnsi" w:eastAsiaTheme="minorEastAsia" w:hAnsiTheme="minorHAnsi" w:cstheme="minorBidi"/>
      <w:color w:val="5A5A5A" w:themeColor="text1" w:themeTint="A5"/>
      <w:spacing w:val="15"/>
      <w:sz w:val="22"/>
      <w:szCs w:val="22"/>
      <w:lang w:val="pt-BR" w:eastAsia="pt-BR"/>
    </w:rPr>
  </w:style>
  <w:style w:type="character" w:styleId="UnresolvedMention">
    <w:name w:val="Unresolved Mention"/>
    <w:basedOn w:val="DefaultParagraphFont"/>
    <w:uiPriority w:val="99"/>
    <w:rsid w:val="00323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596202">
      <w:marLeft w:val="0"/>
      <w:marRight w:val="0"/>
      <w:marTop w:val="0"/>
      <w:marBottom w:val="0"/>
      <w:divBdr>
        <w:top w:val="none" w:sz="0" w:space="0" w:color="auto"/>
        <w:left w:val="none" w:sz="0" w:space="0" w:color="auto"/>
        <w:bottom w:val="none" w:sz="0" w:space="0" w:color="auto"/>
        <w:right w:val="none" w:sz="0" w:space="0" w:color="auto"/>
      </w:divBdr>
    </w:div>
    <w:div w:id="882596206">
      <w:marLeft w:val="0"/>
      <w:marRight w:val="0"/>
      <w:marTop w:val="0"/>
      <w:marBottom w:val="0"/>
      <w:divBdr>
        <w:top w:val="none" w:sz="0" w:space="0" w:color="auto"/>
        <w:left w:val="none" w:sz="0" w:space="0" w:color="auto"/>
        <w:bottom w:val="none" w:sz="0" w:space="0" w:color="auto"/>
        <w:right w:val="none" w:sz="0" w:space="0" w:color="auto"/>
      </w:divBdr>
    </w:div>
    <w:div w:id="882596208">
      <w:marLeft w:val="0"/>
      <w:marRight w:val="0"/>
      <w:marTop w:val="0"/>
      <w:marBottom w:val="0"/>
      <w:divBdr>
        <w:top w:val="none" w:sz="0" w:space="0" w:color="auto"/>
        <w:left w:val="none" w:sz="0" w:space="0" w:color="auto"/>
        <w:bottom w:val="none" w:sz="0" w:space="0" w:color="auto"/>
        <w:right w:val="none" w:sz="0" w:space="0" w:color="auto"/>
      </w:divBdr>
      <w:divsChild>
        <w:div w:id="882596237">
          <w:marLeft w:val="0"/>
          <w:marRight w:val="0"/>
          <w:marTop w:val="0"/>
          <w:marBottom w:val="0"/>
          <w:divBdr>
            <w:top w:val="none" w:sz="0" w:space="0" w:color="auto"/>
            <w:left w:val="none" w:sz="0" w:space="0" w:color="auto"/>
            <w:bottom w:val="none" w:sz="0" w:space="0" w:color="auto"/>
            <w:right w:val="none" w:sz="0" w:space="0" w:color="auto"/>
          </w:divBdr>
          <w:divsChild>
            <w:div w:id="8825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11">
      <w:marLeft w:val="0"/>
      <w:marRight w:val="0"/>
      <w:marTop w:val="0"/>
      <w:marBottom w:val="0"/>
      <w:divBdr>
        <w:top w:val="none" w:sz="0" w:space="0" w:color="auto"/>
        <w:left w:val="none" w:sz="0" w:space="0" w:color="auto"/>
        <w:bottom w:val="none" w:sz="0" w:space="0" w:color="auto"/>
        <w:right w:val="none" w:sz="0" w:space="0" w:color="auto"/>
      </w:divBdr>
    </w:div>
    <w:div w:id="882596214">
      <w:marLeft w:val="0"/>
      <w:marRight w:val="0"/>
      <w:marTop w:val="0"/>
      <w:marBottom w:val="0"/>
      <w:divBdr>
        <w:top w:val="none" w:sz="0" w:space="0" w:color="auto"/>
        <w:left w:val="none" w:sz="0" w:space="0" w:color="auto"/>
        <w:bottom w:val="none" w:sz="0" w:space="0" w:color="auto"/>
        <w:right w:val="none" w:sz="0" w:space="0" w:color="auto"/>
      </w:divBdr>
    </w:div>
    <w:div w:id="882596226">
      <w:marLeft w:val="0"/>
      <w:marRight w:val="0"/>
      <w:marTop w:val="0"/>
      <w:marBottom w:val="0"/>
      <w:divBdr>
        <w:top w:val="none" w:sz="0" w:space="0" w:color="auto"/>
        <w:left w:val="none" w:sz="0" w:space="0" w:color="auto"/>
        <w:bottom w:val="none" w:sz="0" w:space="0" w:color="auto"/>
        <w:right w:val="none" w:sz="0" w:space="0" w:color="auto"/>
      </w:divBdr>
      <w:divsChild>
        <w:div w:id="882596276">
          <w:marLeft w:val="0"/>
          <w:marRight w:val="0"/>
          <w:marTop w:val="480"/>
          <w:marBottom w:val="0"/>
          <w:divBdr>
            <w:top w:val="none" w:sz="0" w:space="0" w:color="auto"/>
            <w:left w:val="none" w:sz="0" w:space="0" w:color="auto"/>
            <w:bottom w:val="none" w:sz="0" w:space="0" w:color="auto"/>
            <w:right w:val="none" w:sz="0" w:space="0" w:color="auto"/>
          </w:divBdr>
        </w:div>
      </w:divsChild>
    </w:div>
    <w:div w:id="882596227">
      <w:marLeft w:val="0"/>
      <w:marRight w:val="0"/>
      <w:marTop w:val="0"/>
      <w:marBottom w:val="0"/>
      <w:divBdr>
        <w:top w:val="none" w:sz="0" w:space="0" w:color="auto"/>
        <w:left w:val="none" w:sz="0" w:space="0" w:color="auto"/>
        <w:bottom w:val="none" w:sz="0" w:space="0" w:color="auto"/>
        <w:right w:val="none" w:sz="0" w:space="0" w:color="auto"/>
      </w:divBdr>
      <w:divsChild>
        <w:div w:id="882596267">
          <w:marLeft w:val="0"/>
          <w:marRight w:val="0"/>
          <w:marTop w:val="288"/>
          <w:marBottom w:val="0"/>
          <w:divBdr>
            <w:top w:val="none" w:sz="0" w:space="0" w:color="auto"/>
            <w:left w:val="none" w:sz="0" w:space="0" w:color="auto"/>
            <w:bottom w:val="none" w:sz="0" w:space="0" w:color="auto"/>
            <w:right w:val="none" w:sz="0" w:space="0" w:color="auto"/>
          </w:divBdr>
        </w:div>
      </w:divsChild>
    </w:div>
    <w:div w:id="882596229">
      <w:marLeft w:val="0"/>
      <w:marRight w:val="0"/>
      <w:marTop w:val="0"/>
      <w:marBottom w:val="0"/>
      <w:divBdr>
        <w:top w:val="none" w:sz="0" w:space="0" w:color="auto"/>
        <w:left w:val="none" w:sz="0" w:space="0" w:color="auto"/>
        <w:bottom w:val="none" w:sz="0" w:space="0" w:color="auto"/>
        <w:right w:val="none" w:sz="0" w:space="0" w:color="auto"/>
      </w:divBdr>
      <w:divsChild>
        <w:div w:id="882596259">
          <w:marLeft w:val="0"/>
          <w:marRight w:val="0"/>
          <w:marTop w:val="0"/>
          <w:marBottom w:val="0"/>
          <w:divBdr>
            <w:top w:val="none" w:sz="0" w:space="0" w:color="auto"/>
            <w:left w:val="none" w:sz="0" w:space="0" w:color="auto"/>
            <w:bottom w:val="none" w:sz="0" w:space="0" w:color="auto"/>
            <w:right w:val="none" w:sz="0" w:space="0" w:color="auto"/>
          </w:divBdr>
          <w:divsChild>
            <w:div w:id="882596257">
              <w:marLeft w:val="0"/>
              <w:marRight w:val="0"/>
              <w:marTop w:val="0"/>
              <w:marBottom w:val="0"/>
              <w:divBdr>
                <w:top w:val="none" w:sz="0" w:space="0" w:color="auto"/>
                <w:left w:val="none" w:sz="0" w:space="0" w:color="auto"/>
                <w:bottom w:val="none" w:sz="0" w:space="0" w:color="auto"/>
                <w:right w:val="none" w:sz="0" w:space="0" w:color="auto"/>
              </w:divBdr>
              <w:divsChild>
                <w:div w:id="882596236">
                  <w:marLeft w:val="0"/>
                  <w:marRight w:val="0"/>
                  <w:marTop w:val="0"/>
                  <w:marBottom w:val="0"/>
                  <w:divBdr>
                    <w:top w:val="none" w:sz="0" w:space="0" w:color="auto"/>
                    <w:left w:val="none" w:sz="0" w:space="0" w:color="auto"/>
                    <w:bottom w:val="none" w:sz="0" w:space="0" w:color="auto"/>
                    <w:right w:val="none" w:sz="0" w:space="0" w:color="auto"/>
                  </w:divBdr>
                  <w:divsChild>
                    <w:div w:id="882596242">
                      <w:marLeft w:val="0"/>
                      <w:marRight w:val="0"/>
                      <w:marTop w:val="0"/>
                      <w:marBottom w:val="0"/>
                      <w:divBdr>
                        <w:top w:val="none" w:sz="0" w:space="0" w:color="auto"/>
                        <w:left w:val="none" w:sz="0" w:space="0" w:color="auto"/>
                        <w:bottom w:val="none" w:sz="0" w:space="0" w:color="auto"/>
                        <w:right w:val="none" w:sz="0" w:space="0" w:color="auto"/>
                      </w:divBdr>
                      <w:divsChild>
                        <w:div w:id="882596275">
                          <w:marLeft w:val="0"/>
                          <w:marRight w:val="0"/>
                          <w:marTop w:val="0"/>
                          <w:marBottom w:val="0"/>
                          <w:divBdr>
                            <w:top w:val="none" w:sz="0" w:space="0" w:color="auto"/>
                            <w:left w:val="none" w:sz="0" w:space="0" w:color="auto"/>
                            <w:bottom w:val="none" w:sz="0" w:space="0" w:color="auto"/>
                            <w:right w:val="none" w:sz="0" w:space="0" w:color="auto"/>
                          </w:divBdr>
                          <w:divsChild>
                            <w:div w:id="882596220">
                              <w:marLeft w:val="0"/>
                              <w:marRight w:val="0"/>
                              <w:marTop w:val="0"/>
                              <w:marBottom w:val="0"/>
                              <w:divBdr>
                                <w:top w:val="none" w:sz="0" w:space="0" w:color="auto"/>
                                <w:left w:val="none" w:sz="0" w:space="0" w:color="auto"/>
                                <w:bottom w:val="none" w:sz="0" w:space="0" w:color="auto"/>
                                <w:right w:val="none" w:sz="0" w:space="0" w:color="auto"/>
                              </w:divBdr>
                              <w:divsChild>
                                <w:div w:id="882596199">
                                  <w:marLeft w:val="0"/>
                                  <w:marRight w:val="0"/>
                                  <w:marTop w:val="0"/>
                                  <w:marBottom w:val="0"/>
                                  <w:divBdr>
                                    <w:top w:val="none" w:sz="0" w:space="0" w:color="auto"/>
                                    <w:left w:val="none" w:sz="0" w:space="0" w:color="auto"/>
                                    <w:bottom w:val="none" w:sz="0" w:space="0" w:color="auto"/>
                                    <w:right w:val="none" w:sz="0" w:space="0" w:color="auto"/>
                                  </w:divBdr>
                                  <w:divsChild>
                                    <w:div w:id="8825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6282">
                  <w:marLeft w:val="0"/>
                  <w:marRight w:val="0"/>
                  <w:marTop w:val="0"/>
                  <w:marBottom w:val="0"/>
                  <w:divBdr>
                    <w:top w:val="none" w:sz="0" w:space="0" w:color="auto"/>
                    <w:left w:val="none" w:sz="0" w:space="0" w:color="auto"/>
                    <w:bottom w:val="none" w:sz="0" w:space="0" w:color="auto"/>
                    <w:right w:val="none" w:sz="0" w:space="0" w:color="auto"/>
                  </w:divBdr>
                  <w:divsChild>
                    <w:div w:id="882596223">
                      <w:marLeft w:val="0"/>
                      <w:marRight w:val="0"/>
                      <w:marTop w:val="0"/>
                      <w:marBottom w:val="0"/>
                      <w:divBdr>
                        <w:top w:val="none" w:sz="0" w:space="0" w:color="auto"/>
                        <w:left w:val="none" w:sz="0" w:space="0" w:color="auto"/>
                        <w:bottom w:val="none" w:sz="0" w:space="0" w:color="auto"/>
                        <w:right w:val="none" w:sz="0" w:space="0" w:color="auto"/>
                      </w:divBdr>
                      <w:divsChild>
                        <w:div w:id="882596210">
                          <w:marLeft w:val="0"/>
                          <w:marRight w:val="0"/>
                          <w:marTop w:val="0"/>
                          <w:marBottom w:val="0"/>
                          <w:divBdr>
                            <w:top w:val="none" w:sz="0" w:space="0" w:color="auto"/>
                            <w:left w:val="none" w:sz="0" w:space="0" w:color="auto"/>
                            <w:bottom w:val="none" w:sz="0" w:space="0" w:color="auto"/>
                            <w:right w:val="none" w:sz="0" w:space="0" w:color="auto"/>
                          </w:divBdr>
                        </w:div>
                        <w:div w:id="882596243">
                          <w:marLeft w:val="0"/>
                          <w:marRight w:val="0"/>
                          <w:marTop w:val="20"/>
                          <w:marBottom w:val="0"/>
                          <w:divBdr>
                            <w:top w:val="none" w:sz="0" w:space="0" w:color="auto"/>
                            <w:left w:val="none" w:sz="0" w:space="0" w:color="auto"/>
                            <w:bottom w:val="none" w:sz="0" w:space="0" w:color="auto"/>
                            <w:right w:val="none" w:sz="0" w:space="0" w:color="auto"/>
                          </w:divBdr>
                          <w:divsChild>
                            <w:div w:id="882596245">
                              <w:marLeft w:val="81"/>
                              <w:marRight w:val="240"/>
                              <w:marTop w:val="0"/>
                              <w:marBottom w:val="0"/>
                              <w:divBdr>
                                <w:top w:val="none" w:sz="0" w:space="0" w:color="auto"/>
                                <w:left w:val="none" w:sz="0" w:space="0" w:color="auto"/>
                                <w:bottom w:val="none" w:sz="0" w:space="0" w:color="auto"/>
                                <w:right w:val="none" w:sz="0" w:space="0" w:color="auto"/>
                              </w:divBdr>
                            </w:div>
                          </w:divsChild>
                        </w:div>
                        <w:div w:id="882596248">
                          <w:marLeft w:val="0"/>
                          <w:marRight w:val="0"/>
                          <w:marTop w:val="0"/>
                          <w:marBottom w:val="0"/>
                          <w:divBdr>
                            <w:top w:val="single" w:sz="4" w:space="12" w:color="999999"/>
                            <w:left w:val="single" w:sz="4" w:space="12" w:color="999999"/>
                            <w:bottom w:val="single" w:sz="4" w:space="12" w:color="999999"/>
                            <w:right w:val="single" w:sz="4" w:space="12" w:color="999999"/>
                          </w:divBdr>
                          <w:divsChild>
                            <w:div w:id="882596247">
                              <w:marLeft w:val="0"/>
                              <w:marRight w:val="0"/>
                              <w:marTop w:val="0"/>
                              <w:marBottom w:val="0"/>
                              <w:divBdr>
                                <w:top w:val="none" w:sz="0" w:space="0" w:color="auto"/>
                                <w:left w:val="none" w:sz="0" w:space="0" w:color="auto"/>
                                <w:bottom w:val="none" w:sz="0" w:space="0" w:color="auto"/>
                                <w:right w:val="none" w:sz="0" w:space="0" w:color="auto"/>
                              </w:divBdr>
                            </w:div>
                          </w:divsChild>
                        </w:div>
                        <w:div w:id="882596254">
                          <w:marLeft w:val="0"/>
                          <w:marRight w:val="0"/>
                          <w:marTop w:val="0"/>
                          <w:marBottom w:val="0"/>
                          <w:divBdr>
                            <w:top w:val="none" w:sz="0" w:space="0" w:color="auto"/>
                            <w:left w:val="none" w:sz="0" w:space="0" w:color="auto"/>
                            <w:bottom w:val="none" w:sz="0" w:space="0" w:color="auto"/>
                            <w:right w:val="none" w:sz="0" w:space="0" w:color="auto"/>
                          </w:divBdr>
                        </w:div>
                        <w:div w:id="882596277">
                          <w:marLeft w:val="0"/>
                          <w:marRight w:val="0"/>
                          <w:marTop w:val="0"/>
                          <w:marBottom w:val="0"/>
                          <w:divBdr>
                            <w:top w:val="none" w:sz="0" w:space="0" w:color="auto"/>
                            <w:left w:val="none" w:sz="0" w:space="0" w:color="auto"/>
                            <w:bottom w:val="none" w:sz="0" w:space="0" w:color="auto"/>
                            <w:right w:val="none" w:sz="0" w:space="0" w:color="auto"/>
                          </w:divBdr>
                        </w:div>
                        <w:div w:id="882596287">
                          <w:marLeft w:val="0"/>
                          <w:marRight w:val="0"/>
                          <w:marTop w:val="0"/>
                          <w:marBottom w:val="0"/>
                          <w:divBdr>
                            <w:top w:val="single" w:sz="2" w:space="3" w:color="999999"/>
                            <w:left w:val="single" w:sz="4" w:space="2" w:color="CCCCCC"/>
                            <w:bottom w:val="single" w:sz="4" w:space="3" w:color="999999"/>
                            <w:right w:val="single" w:sz="4" w:space="2" w:color="999999"/>
                          </w:divBdr>
                        </w:div>
                      </w:divsChild>
                    </w:div>
                  </w:divsChild>
                </w:div>
              </w:divsChild>
            </w:div>
          </w:divsChild>
        </w:div>
      </w:divsChild>
    </w:div>
    <w:div w:id="882596233">
      <w:marLeft w:val="0"/>
      <w:marRight w:val="0"/>
      <w:marTop w:val="0"/>
      <w:marBottom w:val="0"/>
      <w:divBdr>
        <w:top w:val="none" w:sz="0" w:space="0" w:color="auto"/>
        <w:left w:val="none" w:sz="0" w:space="0" w:color="auto"/>
        <w:bottom w:val="none" w:sz="0" w:space="0" w:color="auto"/>
        <w:right w:val="none" w:sz="0" w:space="0" w:color="auto"/>
      </w:divBdr>
      <w:divsChild>
        <w:div w:id="882596278">
          <w:marLeft w:val="0"/>
          <w:marRight w:val="0"/>
          <w:marTop w:val="0"/>
          <w:marBottom w:val="0"/>
          <w:divBdr>
            <w:top w:val="none" w:sz="0" w:space="0" w:color="auto"/>
            <w:left w:val="none" w:sz="0" w:space="0" w:color="auto"/>
            <w:bottom w:val="none" w:sz="0" w:space="0" w:color="auto"/>
            <w:right w:val="none" w:sz="0" w:space="0" w:color="auto"/>
          </w:divBdr>
          <w:divsChild>
            <w:div w:id="882596261">
              <w:marLeft w:val="0"/>
              <w:marRight w:val="0"/>
              <w:marTop w:val="0"/>
              <w:marBottom w:val="0"/>
              <w:divBdr>
                <w:top w:val="none" w:sz="0" w:space="0" w:color="auto"/>
                <w:left w:val="none" w:sz="0" w:space="0" w:color="auto"/>
                <w:bottom w:val="none" w:sz="0" w:space="0" w:color="auto"/>
                <w:right w:val="none" w:sz="0" w:space="0" w:color="auto"/>
              </w:divBdr>
              <w:divsChild>
                <w:div w:id="882596286">
                  <w:marLeft w:val="0"/>
                  <w:marRight w:val="0"/>
                  <w:marTop w:val="0"/>
                  <w:marBottom w:val="0"/>
                  <w:divBdr>
                    <w:top w:val="none" w:sz="0" w:space="0" w:color="auto"/>
                    <w:left w:val="none" w:sz="0" w:space="0" w:color="auto"/>
                    <w:bottom w:val="none" w:sz="0" w:space="0" w:color="auto"/>
                    <w:right w:val="none" w:sz="0" w:space="0" w:color="auto"/>
                  </w:divBdr>
                  <w:divsChild>
                    <w:div w:id="882596272">
                      <w:marLeft w:val="0"/>
                      <w:marRight w:val="0"/>
                      <w:marTop w:val="0"/>
                      <w:marBottom w:val="0"/>
                      <w:divBdr>
                        <w:top w:val="none" w:sz="0" w:space="0" w:color="auto"/>
                        <w:left w:val="none" w:sz="0" w:space="0" w:color="auto"/>
                        <w:bottom w:val="none" w:sz="0" w:space="0" w:color="auto"/>
                        <w:right w:val="none" w:sz="0" w:space="0" w:color="auto"/>
                      </w:divBdr>
                      <w:divsChild>
                        <w:div w:id="882596234">
                          <w:marLeft w:val="0"/>
                          <w:marRight w:val="0"/>
                          <w:marTop w:val="0"/>
                          <w:marBottom w:val="0"/>
                          <w:divBdr>
                            <w:top w:val="none" w:sz="0" w:space="0" w:color="auto"/>
                            <w:left w:val="none" w:sz="0" w:space="0" w:color="auto"/>
                            <w:bottom w:val="none" w:sz="0" w:space="0" w:color="auto"/>
                            <w:right w:val="none" w:sz="0" w:space="0" w:color="auto"/>
                          </w:divBdr>
                          <w:divsChild>
                            <w:div w:id="882596228">
                              <w:marLeft w:val="0"/>
                              <w:marRight w:val="0"/>
                              <w:marTop w:val="0"/>
                              <w:marBottom w:val="0"/>
                              <w:divBdr>
                                <w:top w:val="none" w:sz="0" w:space="0" w:color="auto"/>
                                <w:left w:val="none" w:sz="0" w:space="0" w:color="auto"/>
                                <w:bottom w:val="none" w:sz="0" w:space="0" w:color="auto"/>
                                <w:right w:val="none" w:sz="0" w:space="0" w:color="auto"/>
                              </w:divBdr>
                              <w:divsChild>
                                <w:div w:id="8825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38">
      <w:marLeft w:val="0"/>
      <w:marRight w:val="0"/>
      <w:marTop w:val="0"/>
      <w:marBottom w:val="0"/>
      <w:divBdr>
        <w:top w:val="none" w:sz="0" w:space="0" w:color="auto"/>
        <w:left w:val="none" w:sz="0" w:space="0" w:color="auto"/>
        <w:bottom w:val="none" w:sz="0" w:space="0" w:color="auto"/>
        <w:right w:val="none" w:sz="0" w:space="0" w:color="auto"/>
      </w:divBdr>
      <w:divsChild>
        <w:div w:id="882596209">
          <w:marLeft w:val="0"/>
          <w:marRight w:val="0"/>
          <w:marTop w:val="0"/>
          <w:marBottom w:val="0"/>
          <w:divBdr>
            <w:top w:val="none" w:sz="0" w:space="0" w:color="auto"/>
            <w:left w:val="none" w:sz="0" w:space="0" w:color="auto"/>
            <w:bottom w:val="none" w:sz="0" w:space="0" w:color="auto"/>
            <w:right w:val="none" w:sz="0" w:space="0" w:color="auto"/>
          </w:divBdr>
          <w:divsChild>
            <w:div w:id="882596258">
              <w:marLeft w:val="0"/>
              <w:marRight w:val="0"/>
              <w:marTop w:val="0"/>
              <w:marBottom w:val="0"/>
              <w:divBdr>
                <w:top w:val="none" w:sz="0" w:space="0" w:color="auto"/>
                <w:left w:val="none" w:sz="0" w:space="0" w:color="auto"/>
                <w:bottom w:val="none" w:sz="0" w:space="0" w:color="auto"/>
                <w:right w:val="none" w:sz="0" w:space="0" w:color="auto"/>
              </w:divBdr>
              <w:divsChild>
                <w:div w:id="882596253">
                  <w:marLeft w:val="0"/>
                  <w:marRight w:val="0"/>
                  <w:marTop w:val="0"/>
                  <w:marBottom w:val="0"/>
                  <w:divBdr>
                    <w:top w:val="none" w:sz="0" w:space="0" w:color="auto"/>
                    <w:left w:val="none" w:sz="0" w:space="0" w:color="auto"/>
                    <w:bottom w:val="none" w:sz="0" w:space="0" w:color="auto"/>
                    <w:right w:val="none" w:sz="0" w:space="0" w:color="auto"/>
                  </w:divBdr>
                  <w:divsChild>
                    <w:div w:id="882596265">
                      <w:marLeft w:val="0"/>
                      <w:marRight w:val="0"/>
                      <w:marTop w:val="0"/>
                      <w:marBottom w:val="0"/>
                      <w:divBdr>
                        <w:top w:val="none" w:sz="0" w:space="0" w:color="auto"/>
                        <w:left w:val="none" w:sz="0" w:space="0" w:color="auto"/>
                        <w:bottom w:val="none" w:sz="0" w:space="0" w:color="auto"/>
                        <w:right w:val="none" w:sz="0" w:space="0" w:color="auto"/>
                      </w:divBdr>
                      <w:divsChild>
                        <w:div w:id="882596280">
                          <w:marLeft w:val="0"/>
                          <w:marRight w:val="0"/>
                          <w:marTop w:val="0"/>
                          <w:marBottom w:val="0"/>
                          <w:divBdr>
                            <w:top w:val="none" w:sz="0" w:space="0" w:color="auto"/>
                            <w:left w:val="none" w:sz="0" w:space="0" w:color="auto"/>
                            <w:bottom w:val="none" w:sz="0" w:space="0" w:color="auto"/>
                            <w:right w:val="none" w:sz="0" w:space="0" w:color="auto"/>
                          </w:divBdr>
                          <w:divsChild>
                            <w:div w:id="882596201">
                              <w:marLeft w:val="0"/>
                              <w:marRight w:val="0"/>
                              <w:marTop w:val="0"/>
                              <w:marBottom w:val="0"/>
                              <w:divBdr>
                                <w:top w:val="none" w:sz="0" w:space="0" w:color="auto"/>
                                <w:left w:val="none" w:sz="0" w:space="0" w:color="auto"/>
                                <w:bottom w:val="none" w:sz="0" w:space="0" w:color="auto"/>
                                <w:right w:val="none" w:sz="0" w:space="0" w:color="auto"/>
                              </w:divBdr>
                              <w:divsChild>
                                <w:div w:id="882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44">
      <w:marLeft w:val="0"/>
      <w:marRight w:val="0"/>
      <w:marTop w:val="0"/>
      <w:marBottom w:val="0"/>
      <w:divBdr>
        <w:top w:val="none" w:sz="0" w:space="0" w:color="auto"/>
        <w:left w:val="none" w:sz="0" w:space="0" w:color="auto"/>
        <w:bottom w:val="none" w:sz="0" w:space="0" w:color="auto"/>
        <w:right w:val="none" w:sz="0" w:space="0" w:color="auto"/>
      </w:divBdr>
      <w:divsChild>
        <w:div w:id="882596212">
          <w:marLeft w:val="0"/>
          <w:marRight w:val="0"/>
          <w:marTop w:val="336"/>
          <w:marBottom w:val="0"/>
          <w:divBdr>
            <w:top w:val="none" w:sz="0" w:space="0" w:color="auto"/>
            <w:left w:val="none" w:sz="0" w:space="0" w:color="auto"/>
            <w:bottom w:val="none" w:sz="0" w:space="0" w:color="auto"/>
            <w:right w:val="none" w:sz="0" w:space="0" w:color="auto"/>
          </w:divBdr>
        </w:div>
      </w:divsChild>
    </w:div>
    <w:div w:id="882596251">
      <w:marLeft w:val="0"/>
      <w:marRight w:val="0"/>
      <w:marTop w:val="0"/>
      <w:marBottom w:val="0"/>
      <w:divBdr>
        <w:top w:val="none" w:sz="0" w:space="0" w:color="auto"/>
        <w:left w:val="none" w:sz="0" w:space="0" w:color="auto"/>
        <w:bottom w:val="none" w:sz="0" w:space="0" w:color="auto"/>
        <w:right w:val="none" w:sz="0" w:space="0" w:color="auto"/>
      </w:divBdr>
      <w:divsChild>
        <w:div w:id="882596200">
          <w:marLeft w:val="0"/>
          <w:marRight w:val="0"/>
          <w:marTop w:val="0"/>
          <w:marBottom w:val="0"/>
          <w:divBdr>
            <w:top w:val="none" w:sz="0" w:space="0" w:color="auto"/>
            <w:left w:val="none" w:sz="0" w:space="0" w:color="auto"/>
            <w:bottom w:val="none" w:sz="0" w:space="0" w:color="auto"/>
            <w:right w:val="none" w:sz="0" w:space="0" w:color="auto"/>
          </w:divBdr>
          <w:divsChild>
            <w:div w:id="882596217">
              <w:marLeft w:val="0"/>
              <w:marRight w:val="0"/>
              <w:marTop w:val="0"/>
              <w:marBottom w:val="101"/>
              <w:divBdr>
                <w:top w:val="none" w:sz="0" w:space="0" w:color="auto"/>
                <w:left w:val="none" w:sz="0" w:space="0" w:color="auto"/>
                <w:bottom w:val="none" w:sz="0" w:space="0" w:color="auto"/>
                <w:right w:val="none" w:sz="0" w:space="0" w:color="auto"/>
              </w:divBdr>
              <w:divsChild>
                <w:div w:id="882596224">
                  <w:marLeft w:val="0"/>
                  <w:marRight w:val="0"/>
                  <w:marTop w:val="0"/>
                  <w:marBottom w:val="0"/>
                  <w:divBdr>
                    <w:top w:val="none" w:sz="0" w:space="0" w:color="auto"/>
                    <w:left w:val="none" w:sz="0" w:space="0" w:color="auto"/>
                    <w:bottom w:val="none" w:sz="0" w:space="0" w:color="auto"/>
                    <w:right w:val="none" w:sz="0" w:space="0" w:color="auto"/>
                  </w:divBdr>
                  <w:divsChild>
                    <w:div w:id="8825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52">
      <w:marLeft w:val="0"/>
      <w:marRight w:val="0"/>
      <w:marTop w:val="0"/>
      <w:marBottom w:val="0"/>
      <w:divBdr>
        <w:top w:val="none" w:sz="0" w:space="0" w:color="auto"/>
        <w:left w:val="none" w:sz="0" w:space="0" w:color="auto"/>
        <w:bottom w:val="none" w:sz="0" w:space="0" w:color="auto"/>
        <w:right w:val="none" w:sz="0" w:space="0" w:color="auto"/>
      </w:divBdr>
    </w:div>
    <w:div w:id="882596255">
      <w:marLeft w:val="0"/>
      <w:marRight w:val="0"/>
      <w:marTop w:val="0"/>
      <w:marBottom w:val="0"/>
      <w:divBdr>
        <w:top w:val="none" w:sz="0" w:space="0" w:color="auto"/>
        <w:left w:val="none" w:sz="0" w:space="0" w:color="auto"/>
        <w:bottom w:val="none" w:sz="0" w:space="0" w:color="auto"/>
        <w:right w:val="none" w:sz="0" w:space="0" w:color="auto"/>
      </w:divBdr>
      <w:divsChild>
        <w:div w:id="882596266">
          <w:marLeft w:val="0"/>
          <w:marRight w:val="0"/>
          <w:marTop w:val="0"/>
          <w:marBottom w:val="0"/>
          <w:divBdr>
            <w:top w:val="none" w:sz="0" w:space="0" w:color="auto"/>
            <w:left w:val="none" w:sz="0" w:space="0" w:color="auto"/>
            <w:bottom w:val="none" w:sz="0" w:space="0" w:color="auto"/>
            <w:right w:val="none" w:sz="0" w:space="0" w:color="auto"/>
          </w:divBdr>
          <w:divsChild>
            <w:div w:id="882596216">
              <w:marLeft w:val="0"/>
              <w:marRight w:val="0"/>
              <w:marTop w:val="0"/>
              <w:marBottom w:val="0"/>
              <w:divBdr>
                <w:top w:val="none" w:sz="0" w:space="0" w:color="auto"/>
                <w:left w:val="none" w:sz="0" w:space="0" w:color="auto"/>
                <w:bottom w:val="none" w:sz="0" w:space="0" w:color="auto"/>
                <w:right w:val="none" w:sz="0" w:space="0" w:color="auto"/>
              </w:divBdr>
              <w:divsChild>
                <w:div w:id="882596241">
                  <w:marLeft w:val="0"/>
                  <w:marRight w:val="0"/>
                  <w:marTop w:val="0"/>
                  <w:marBottom w:val="0"/>
                  <w:divBdr>
                    <w:top w:val="none" w:sz="0" w:space="0" w:color="auto"/>
                    <w:left w:val="none" w:sz="0" w:space="0" w:color="auto"/>
                    <w:bottom w:val="none" w:sz="0" w:space="0" w:color="auto"/>
                    <w:right w:val="none" w:sz="0" w:space="0" w:color="auto"/>
                  </w:divBdr>
                  <w:divsChild>
                    <w:div w:id="882596246">
                      <w:marLeft w:val="0"/>
                      <w:marRight w:val="0"/>
                      <w:marTop w:val="0"/>
                      <w:marBottom w:val="0"/>
                      <w:divBdr>
                        <w:top w:val="none" w:sz="0" w:space="0" w:color="auto"/>
                        <w:left w:val="none" w:sz="0" w:space="0" w:color="auto"/>
                        <w:bottom w:val="none" w:sz="0" w:space="0" w:color="auto"/>
                        <w:right w:val="none" w:sz="0" w:space="0" w:color="auto"/>
                      </w:divBdr>
                      <w:divsChild>
                        <w:div w:id="882596213">
                          <w:marLeft w:val="0"/>
                          <w:marRight w:val="0"/>
                          <w:marTop w:val="0"/>
                          <w:marBottom w:val="0"/>
                          <w:divBdr>
                            <w:top w:val="none" w:sz="0" w:space="0" w:color="auto"/>
                            <w:left w:val="none" w:sz="0" w:space="0" w:color="auto"/>
                            <w:bottom w:val="none" w:sz="0" w:space="0" w:color="auto"/>
                            <w:right w:val="none" w:sz="0" w:space="0" w:color="auto"/>
                          </w:divBdr>
                          <w:divsChild>
                            <w:div w:id="882596219">
                              <w:marLeft w:val="0"/>
                              <w:marRight w:val="0"/>
                              <w:marTop w:val="480"/>
                              <w:marBottom w:val="0"/>
                              <w:divBdr>
                                <w:top w:val="none" w:sz="0" w:space="0" w:color="auto"/>
                                <w:left w:val="none" w:sz="0" w:space="0" w:color="auto"/>
                                <w:bottom w:val="none" w:sz="0" w:space="0" w:color="auto"/>
                                <w:right w:val="none" w:sz="0" w:space="0" w:color="auto"/>
                              </w:divBdr>
                            </w:div>
                            <w:div w:id="882596230">
                              <w:marLeft w:val="0"/>
                              <w:marRight w:val="0"/>
                              <w:marTop w:val="0"/>
                              <w:marBottom w:val="0"/>
                              <w:divBdr>
                                <w:top w:val="none" w:sz="0" w:space="0" w:color="auto"/>
                                <w:left w:val="none" w:sz="0" w:space="0" w:color="auto"/>
                                <w:bottom w:val="none" w:sz="0" w:space="0" w:color="auto"/>
                                <w:right w:val="none" w:sz="0" w:space="0" w:color="auto"/>
                              </w:divBdr>
                            </w:div>
                            <w:div w:id="882596240">
                              <w:marLeft w:val="0"/>
                              <w:marRight w:val="0"/>
                              <w:marTop w:val="139"/>
                              <w:marBottom w:val="0"/>
                              <w:divBdr>
                                <w:top w:val="none" w:sz="0" w:space="0" w:color="auto"/>
                                <w:left w:val="none" w:sz="0" w:space="0" w:color="auto"/>
                                <w:bottom w:val="none" w:sz="0" w:space="0" w:color="auto"/>
                                <w:right w:val="none" w:sz="0" w:space="0" w:color="auto"/>
                              </w:divBdr>
                              <w:divsChild>
                                <w:div w:id="882596203">
                                  <w:marLeft w:val="0"/>
                                  <w:marRight w:val="240"/>
                                  <w:marTop w:val="0"/>
                                  <w:marBottom w:val="0"/>
                                  <w:divBdr>
                                    <w:top w:val="none" w:sz="0" w:space="0" w:color="auto"/>
                                    <w:left w:val="none" w:sz="0" w:space="0" w:color="auto"/>
                                    <w:bottom w:val="none" w:sz="0" w:space="0" w:color="auto"/>
                                    <w:right w:val="none" w:sz="0" w:space="0" w:color="auto"/>
                                  </w:divBdr>
                                </w:div>
                                <w:div w:id="882596269">
                                  <w:marLeft w:val="0"/>
                                  <w:marRight w:val="240"/>
                                  <w:marTop w:val="0"/>
                                  <w:marBottom w:val="0"/>
                                  <w:divBdr>
                                    <w:top w:val="none" w:sz="0" w:space="0" w:color="auto"/>
                                    <w:left w:val="none" w:sz="0" w:space="0" w:color="auto"/>
                                    <w:bottom w:val="none" w:sz="0" w:space="0" w:color="auto"/>
                                    <w:right w:val="none" w:sz="0" w:space="0" w:color="auto"/>
                                  </w:divBdr>
                                </w:div>
                              </w:divsChild>
                            </w:div>
                            <w:div w:id="882596274">
                              <w:marLeft w:val="0"/>
                              <w:marRight w:val="0"/>
                              <w:marTop w:val="0"/>
                              <w:marBottom w:val="0"/>
                              <w:divBdr>
                                <w:top w:val="none" w:sz="0" w:space="0" w:color="auto"/>
                                <w:left w:val="none" w:sz="0" w:space="0" w:color="auto"/>
                                <w:bottom w:val="none" w:sz="0" w:space="0" w:color="auto"/>
                                <w:right w:val="none" w:sz="0" w:space="0" w:color="auto"/>
                              </w:divBdr>
                              <w:divsChild>
                                <w:div w:id="8825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56">
      <w:marLeft w:val="0"/>
      <w:marRight w:val="0"/>
      <w:marTop w:val="0"/>
      <w:marBottom w:val="0"/>
      <w:divBdr>
        <w:top w:val="none" w:sz="0" w:space="0" w:color="auto"/>
        <w:left w:val="none" w:sz="0" w:space="0" w:color="auto"/>
        <w:bottom w:val="none" w:sz="0" w:space="0" w:color="auto"/>
        <w:right w:val="none" w:sz="0" w:space="0" w:color="auto"/>
      </w:divBdr>
      <w:divsChild>
        <w:div w:id="882596204">
          <w:marLeft w:val="0"/>
          <w:marRight w:val="0"/>
          <w:marTop w:val="288"/>
          <w:marBottom w:val="0"/>
          <w:divBdr>
            <w:top w:val="none" w:sz="0" w:space="0" w:color="auto"/>
            <w:left w:val="none" w:sz="0" w:space="0" w:color="auto"/>
            <w:bottom w:val="none" w:sz="0" w:space="0" w:color="auto"/>
            <w:right w:val="none" w:sz="0" w:space="0" w:color="auto"/>
          </w:divBdr>
        </w:div>
      </w:divsChild>
    </w:div>
    <w:div w:id="882596260">
      <w:marLeft w:val="0"/>
      <w:marRight w:val="0"/>
      <w:marTop w:val="0"/>
      <w:marBottom w:val="0"/>
      <w:divBdr>
        <w:top w:val="none" w:sz="0" w:space="0" w:color="auto"/>
        <w:left w:val="none" w:sz="0" w:space="0" w:color="auto"/>
        <w:bottom w:val="none" w:sz="0" w:space="0" w:color="auto"/>
        <w:right w:val="none" w:sz="0" w:space="0" w:color="auto"/>
      </w:divBdr>
    </w:div>
    <w:div w:id="882596264">
      <w:marLeft w:val="0"/>
      <w:marRight w:val="0"/>
      <w:marTop w:val="100"/>
      <w:marBottom w:val="100"/>
      <w:divBdr>
        <w:top w:val="none" w:sz="0" w:space="0" w:color="auto"/>
        <w:left w:val="none" w:sz="0" w:space="0" w:color="auto"/>
        <w:bottom w:val="none" w:sz="0" w:space="0" w:color="auto"/>
        <w:right w:val="none" w:sz="0" w:space="0" w:color="auto"/>
      </w:divBdr>
      <w:divsChild>
        <w:div w:id="882596249">
          <w:marLeft w:val="0"/>
          <w:marRight w:val="0"/>
          <w:marTop w:val="0"/>
          <w:marBottom w:val="0"/>
          <w:divBdr>
            <w:top w:val="none" w:sz="0" w:space="0" w:color="auto"/>
            <w:left w:val="none" w:sz="0" w:space="0" w:color="auto"/>
            <w:bottom w:val="none" w:sz="0" w:space="0" w:color="auto"/>
            <w:right w:val="none" w:sz="0" w:space="0" w:color="auto"/>
          </w:divBdr>
          <w:divsChild>
            <w:div w:id="882596221">
              <w:marLeft w:val="0"/>
              <w:marRight w:val="0"/>
              <w:marTop w:val="0"/>
              <w:marBottom w:val="0"/>
              <w:divBdr>
                <w:top w:val="none" w:sz="0" w:space="0" w:color="auto"/>
                <w:left w:val="none" w:sz="0" w:space="0" w:color="auto"/>
                <w:bottom w:val="none" w:sz="0" w:space="0" w:color="auto"/>
                <w:right w:val="none" w:sz="0" w:space="0" w:color="auto"/>
              </w:divBdr>
              <w:divsChild>
                <w:div w:id="882596218">
                  <w:marLeft w:val="0"/>
                  <w:marRight w:val="0"/>
                  <w:marTop w:val="0"/>
                  <w:marBottom w:val="0"/>
                  <w:divBdr>
                    <w:top w:val="none" w:sz="0" w:space="0" w:color="auto"/>
                    <w:left w:val="none" w:sz="0" w:space="0" w:color="auto"/>
                    <w:bottom w:val="none" w:sz="0" w:space="0" w:color="auto"/>
                    <w:right w:val="none" w:sz="0" w:space="0" w:color="auto"/>
                  </w:divBdr>
                  <w:divsChild>
                    <w:div w:id="882596215">
                      <w:marLeft w:val="20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70">
      <w:marLeft w:val="0"/>
      <w:marRight w:val="0"/>
      <w:marTop w:val="0"/>
      <w:marBottom w:val="0"/>
      <w:divBdr>
        <w:top w:val="none" w:sz="0" w:space="0" w:color="auto"/>
        <w:left w:val="none" w:sz="0" w:space="0" w:color="auto"/>
        <w:bottom w:val="none" w:sz="0" w:space="0" w:color="auto"/>
        <w:right w:val="none" w:sz="0" w:space="0" w:color="auto"/>
      </w:divBdr>
    </w:div>
    <w:div w:id="882596279">
      <w:marLeft w:val="0"/>
      <w:marRight w:val="0"/>
      <w:marTop w:val="0"/>
      <w:marBottom w:val="0"/>
      <w:divBdr>
        <w:top w:val="none" w:sz="0" w:space="0" w:color="auto"/>
        <w:left w:val="none" w:sz="0" w:space="0" w:color="auto"/>
        <w:bottom w:val="none" w:sz="0" w:space="0" w:color="auto"/>
        <w:right w:val="none" w:sz="0" w:space="0" w:color="auto"/>
      </w:divBdr>
      <w:divsChild>
        <w:div w:id="882596222">
          <w:marLeft w:val="0"/>
          <w:marRight w:val="0"/>
          <w:marTop w:val="0"/>
          <w:marBottom w:val="0"/>
          <w:divBdr>
            <w:top w:val="none" w:sz="0" w:space="0" w:color="auto"/>
            <w:left w:val="none" w:sz="0" w:space="0" w:color="auto"/>
            <w:bottom w:val="none" w:sz="0" w:space="0" w:color="auto"/>
            <w:right w:val="none" w:sz="0" w:space="0" w:color="auto"/>
          </w:divBdr>
          <w:divsChild>
            <w:div w:id="882596271">
              <w:marLeft w:val="0"/>
              <w:marRight w:val="0"/>
              <w:marTop w:val="0"/>
              <w:marBottom w:val="0"/>
              <w:divBdr>
                <w:top w:val="none" w:sz="0" w:space="0" w:color="auto"/>
                <w:left w:val="none" w:sz="0" w:space="0" w:color="auto"/>
                <w:bottom w:val="none" w:sz="0" w:space="0" w:color="auto"/>
                <w:right w:val="none" w:sz="0" w:space="0" w:color="auto"/>
              </w:divBdr>
              <w:divsChild>
                <w:div w:id="882596205">
                  <w:marLeft w:val="0"/>
                  <w:marRight w:val="0"/>
                  <w:marTop w:val="0"/>
                  <w:marBottom w:val="30"/>
                  <w:divBdr>
                    <w:top w:val="none" w:sz="0" w:space="0" w:color="auto"/>
                    <w:left w:val="none" w:sz="0" w:space="0" w:color="auto"/>
                    <w:bottom w:val="none" w:sz="0" w:space="0" w:color="auto"/>
                    <w:right w:val="none" w:sz="0" w:space="0" w:color="auto"/>
                  </w:divBdr>
                </w:div>
                <w:div w:id="88259623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882596283">
      <w:marLeft w:val="0"/>
      <w:marRight w:val="0"/>
      <w:marTop w:val="0"/>
      <w:marBottom w:val="0"/>
      <w:divBdr>
        <w:top w:val="none" w:sz="0" w:space="0" w:color="auto"/>
        <w:left w:val="none" w:sz="0" w:space="0" w:color="auto"/>
        <w:bottom w:val="none" w:sz="0" w:space="0" w:color="auto"/>
        <w:right w:val="none" w:sz="0" w:space="0" w:color="auto"/>
      </w:divBdr>
      <w:divsChild>
        <w:div w:id="882596207">
          <w:marLeft w:val="0"/>
          <w:marRight w:val="0"/>
          <w:marTop w:val="288"/>
          <w:marBottom w:val="0"/>
          <w:divBdr>
            <w:top w:val="none" w:sz="0" w:space="0" w:color="auto"/>
            <w:left w:val="none" w:sz="0" w:space="0" w:color="auto"/>
            <w:bottom w:val="none" w:sz="0" w:space="0" w:color="auto"/>
            <w:right w:val="none" w:sz="0" w:space="0" w:color="auto"/>
          </w:divBdr>
        </w:div>
        <w:div w:id="882596273">
          <w:marLeft w:val="0"/>
          <w:marRight w:val="0"/>
          <w:marTop w:val="288"/>
          <w:marBottom w:val="0"/>
          <w:divBdr>
            <w:top w:val="none" w:sz="0" w:space="0" w:color="auto"/>
            <w:left w:val="none" w:sz="0" w:space="0" w:color="auto"/>
            <w:bottom w:val="none" w:sz="0" w:space="0" w:color="auto"/>
            <w:right w:val="none" w:sz="0" w:space="0" w:color="auto"/>
          </w:divBdr>
        </w:div>
      </w:divsChild>
    </w:div>
    <w:div w:id="882596284">
      <w:marLeft w:val="0"/>
      <w:marRight w:val="0"/>
      <w:marTop w:val="0"/>
      <w:marBottom w:val="0"/>
      <w:divBdr>
        <w:top w:val="none" w:sz="0" w:space="0" w:color="auto"/>
        <w:left w:val="none" w:sz="0" w:space="0" w:color="auto"/>
        <w:bottom w:val="none" w:sz="0" w:space="0" w:color="auto"/>
        <w:right w:val="none" w:sz="0" w:space="0" w:color="auto"/>
      </w:divBdr>
      <w:divsChild>
        <w:div w:id="882596263">
          <w:marLeft w:val="0"/>
          <w:marRight w:val="0"/>
          <w:marTop w:val="288"/>
          <w:marBottom w:val="0"/>
          <w:divBdr>
            <w:top w:val="none" w:sz="0" w:space="0" w:color="auto"/>
            <w:left w:val="none" w:sz="0" w:space="0" w:color="auto"/>
            <w:bottom w:val="none" w:sz="0" w:space="0" w:color="auto"/>
            <w:right w:val="none" w:sz="0" w:space="0" w:color="auto"/>
          </w:divBdr>
        </w:div>
      </w:divsChild>
    </w:div>
    <w:div w:id="882596285">
      <w:marLeft w:val="0"/>
      <w:marRight w:val="0"/>
      <w:marTop w:val="0"/>
      <w:marBottom w:val="0"/>
      <w:divBdr>
        <w:top w:val="none" w:sz="0" w:space="0" w:color="auto"/>
        <w:left w:val="none" w:sz="0" w:space="0" w:color="auto"/>
        <w:bottom w:val="none" w:sz="0" w:space="0" w:color="auto"/>
        <w:right w:val="none" w:sz="0" w:space="0" w:color="auto"/>
      </w:divBdr>
      <w:divsChild>
        <w:div w:id="882596225">
          <w:marLeft w:val="0"/>
          <w:marRight w:val="0"/>
          <w:marTop w:val="288"/>
          <w:marBottom w:val="0"/>
          <w:divBdr>
            <w:top w:val="none" w:sz="0" w:space="0" w:color="auto"/>
            <w:left w:val="none" w:sz="0" w:space="0" w:color="auto"/>
            <w:bottom w:val="none" w:sz="0" w:space="0" w:color="auto"/>
            <w:right w:val="none" w:sz="0" w:space="0" w:color="auto"/>
          </w:divBdr>
        </w:div>
      </w:divsChild>
    </w:div>
    <w:div w:id="130508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69FBA-1319-B742-AA21-90D2EE595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5</Pages>
  <Words>1252</Words>
  <Characters>7137</Characters>
  <Application>Microsoft Office Word</Application>
  <DocSecurity>0</DocSecurity>
  <Lines>59</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Tese Doutorado Qualificação Reinaldo 18/06/2010</vt:lpstr>
      <vt:lpstr>Tese Doutorado Qualificação Reinaldo 18/06/2010</vt:lpstr>
    </vt:vector>
  </TitlesOfParts>
  <Company>Hewlett-Packard</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Tese Doutorado Qualificação Reinaldo 18/06/2010</dc:title>
  <dc:subject>SCM</dc:subject>
  <dc:creator>Reinaldo Fagundes dos Santos</dc:creator>
  <cp:lastModifiedBy>Marcus</cp:lastModifiedBy>
  <cp:revision>17</cp:revision>
  <cp:lastPrinted>2011-06-20T19:51:00Z</cp:lastPrinted>
  <dcterms:created xsi:type="dcterms:W3CDTF">2017-06-05T05:06:00Z</dcterms:created>
  <dcterms:modified xsi:type="dcterms:W3CDTF">2024-02-07T14:06:00Z</dcterms:modified>
</cp:coreProperties>
</file>