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6C2E0" w14:textId="6F541E13" w:rsidR="00592100" w:rsidRPr="00DD0C65" w:rsidRDefault="00592100" w:rsidP="00DD0C6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0C65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CHAPTER-10</w:t>
      </w:r>
    </w:p>
    <w:p w14:paraId="0912BE49" w14:textId="77777777" w:rsidR="009C4711" w:rsidRPr="00DD0C65" w:rsidRDefault="009C4711" w:rsidP="00DD0C6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1FCF28" w14:textId="5D40E3B7" w:rsidR="00E4696D" w:rsidRDefault="007E4BC8" w:rsidP="00DD0C6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0C65">
        <w:rPr>
          <w:rFonts w:ascii="Times New Roman" w:hAnsi="Times New Roman" w:cs="Times New Roman"/>
          <w:b/>
          <w:sz w:val="28"/>
          <w:szCs w:val="28"/>
          <w:lang w:val="en-US"/>
        </w:rPr>
        <w:t>REFERENCE</w:t>
      </w:r>
    </w:p>
    <w:p w14:paraId="0D2AD0EE" w14:textId="77777777" w:rsidR="0082665B" w:rsidRDefault="0082665B" w:rsidP="00DD0C65">
      <w:pPr>
        <w:spacing w:line="360" w:lineRule="auto"/>
      </w:pPr>
      <w:r>
        <w:t xml:space="preserve">[1] K. </w:t>
      </w:r>
      <w:proofErr w:type="spellStart"/>
      <w:r>
        <w:t>O’hara</w:t>
      </w:r>
      <w:proofErr w:type="spellEnd"/>
      <w:r>
        <w:t xml:space="preserve">, ‘‘Data trusts: Ethics, architecture and governance for trustworthy data stewardship,’’ Univ. Southampton, Southampton, U.K., Tech. Rep., 2019. </w:t>
      </w:r>
    </w:p>
    <w:p w14:paraId="4CE60232" w14:textId="77777777" w:rsidR="0082665B" w:rsidRDefault="0082665B" w:rsidP="00DD0C65">
      <w:pPr>
        <w:spacing w:line="360" w:lineRule="auto"/>
      </w:pPr>
      <w:r>
        <w:t xml:space="preserve">[2] A. </w:t>
      </w:r>
      <w:proofErr w:type="spellStart"/>
      <w:r>
        <w:t>Alsaad</w:t>
      </w:r>
      <w:proofErr w:type="spellEnd"/>
      <w:r>
        <w:t xml:space="preserve">, K. O’Hara, and L. </w:t>
      </w:r>
      <w:proofErr w:type="spellStart"/>
      <w:r>
        <w:t>Carr</w:t>
      </w:r>
      <w:proofErr w:type="spellEnd"/>
      <w:r>
        <w:t>, ‘‘Institutional repositories as a data trust infrastructure,’’ in Proc. Companion Publication 10th ACM Conf. Web Sci., Jun. 2019, pp. 1–4.</w:t>
      </w:r>
    </w:p>
    <w:p w14:paraId="234AD0C8" w14:textId="77777777" w:rsidR="0082665B" w:rsidRDefault="0082665B" w:rsidP="00DD0C65">
      <w:pPr>
        <w:spacing w:line="360" w:lineRule="auto"/>
      </w:pPr>
      <w:r>
        <w:t xml:space="preserve"> [3] S. Rouhani and R. Deters, ‘‘Security, performance, and applications of smart contracts: A systematic survey,’’ IEEE Access, vol. 7, pp. 50759–50779, 2019.</w:t>
      </w:r>
    </w:p>
    <w:p w14:paraId="71C0A680" w14:textId="77777777" w:rsidR="0082665B" w:rsidRDefault="0082665B" w:rsidP="00DD0C65">
      <w:pPr>
        <w:spacing w:line="360" w:lineRule="auto"/>
      </w:pPr>
      <w:r>
        <w:t xml:space="preserve"> [4] J.-H. Cho, K. Chan, and S. </w:t>
      </w:r>
      <w:proofErr w:type="spellStart"/>
      <w:r>
        <w:t>Adali</w:t>
      </w:r>
      <w:proofErr w:type="spellEnd"/>
      <w:r>
        <w:t xml:space="preserve">, ‘‘A survey on trust </w:t>
      </w:r>
      <w:proofErr w:type="spellStart"/>
      <w:r>
        <w:t>modeling</w:t>
      </w:r>
      <w:proofErr w:type="spellEnd"/>
      <w:r>
        <w:t xml:space="preserve">,’’ ACM </w:t>
      </w:r>
      <w:proofErr w:type="spellStart"/>
      <w:r>
        <w:t>Comput</w:t>
      </w:r>
      <w:proofErr w:type="spellEnd"/>
      <w:r>
        <w:t xml:space="preserve">. </w:t>
      </w:r>
      <w:proofErr w:type="spellStart"/>
      <w:proofErr w:type="gramStart"/>
      <w:r>
        <w:t>Surv</w:t>
      </w:r>
      <w:proofErr w:type="spellEnd"/>
      <w:r>
        <w:t>.,</w:t>
      </w:r>
      <w:proofErr w:type="gramEnd"/>
      <w:r>
        <w:t xml:space="preserve"> vol. 48, no. 2, pp. 1–40, Nov. 2015. </w:t>
      </w:r>
    </w:p>
    <w:p w14:paraId="5716E89B" w14:textId="77777777" w:rsidR="0082665B" w:rsidRDefault="0082665B" w:rsidP="00DD0C65">
      <w:pPr>
        <w:spacing w:line="360" w:lineRule="auto"/>
      </w:pPr>
      <w:r>
        <w:t xml:space="preserve">[5] Z. Yan and S. </w:t>
      </w:r>
      <w:proofErr w:type="spellStart"/>
      <w:r>
        <w:t>Holtmanns</w:t>
      </w:r>
      <w:proofErr w:type="spellEnd"/>
      <w:r>
        <w:t xml:space="preserve">, ‘‘Trust </w:t>
      </w:r>
      <w:proofErr w:type="spellStart"/>
      <w:r>
        <w:t>modeling</w:t>
      </w:r>
      <w:proofErr w:type="spellEnd"/>
      <w:r>
        <w:t xml:space="preserve"> and management: From social trust to digital trust,’’ in Computer Security, Privacy, and Politics: Current Issues, Challenges, and Solutions. Hershey, PA, USA: IGI Global, 2008, pp. 290–323.</w:t>
      </w:r>
    </w:p>
    <w:p w14:paraId="34DCEA4E" w14:textId="77777777" w:rsidR="0082665B" w:rsidRDefault="0082665B" w:rsidP="00DD0C65">
      <w:pPr>
        <w:spacing w:line="360" w:lineRule="auto"/>
      </w:pPr>
      <w:r>
        <w:t xml:space="preserve">[6] S. </w:t>
      </w:r>
      <w:proofErr w:type="spellStart"/>
      <w:r>
        <w:t>Stalla-Bourdillon</w:t>
      </w:r>
      <w:proofErr w:type="spellEnd"/>
      <w:r>
        <w:t xml:space="preserve">, G. </w:t>
      </w:r>
      <w:proofErr w:type="spellStart"/>
      <w:r>
        <w:t>Thuermer</w:t>
      </w:r>
      <w:proofErr w:type="spellEnd"/>
      <w:r>
        <w:t xml:space="preserve">, J. Walker, L. Carmichael, and E. </w:t>
      </w:r>
      <w:proofErr w:type="spellStart"/>
      <w:r>
        <w:t>Simperl</w:t>
      </w:r>
      <w:proofErr w:type="spellEnd"/>
      <w:r>
        <w:t xml:space="preserve">, ‘‘Data protection by design: Building the foundations of trustworthy data sharing,’’ Data Policy, vol. 2, pp. 1–10, Jan. 2020. </w:t>
      </w:r>
    </w:p>
    <w:p w14:paraId="0AA1072C" w14:textId="40EB0B46" w:rsidR="0082665B" w:rsidRDefault="0082665B" w:rsidP="00DD0C65">
      <w:pPr>
        <w:spacing w:line="360" w:lineRule="auto"/>
      </w:pPr>
      <w:r>
        <w:t>[7] G. S. Nelson, ‘‘Practical implications of sharing data: A primer on data privacy</w:t>
      </w:r>
      <w:r w:rsidRPr="0082665B">
        <w:t xml:space="preserve"> </w:t>
      </w:r>
      <w:proofErr w:type="spellStart"/>
      <w:r>
        <w:t>vacy</w:t>
      </w:r>
      <w:proofErr w:type="spellEnd"/>
      <w:r>
        <w:t>, anonymization, and de-identification,’’ in Proc. SAS Global Forum, 2015, pp. 1–23.</w:t>
      </w:r>
    </w:p>
    <w:p w14:paraId="2D80D9A9" w14:textId="77777777" w:rsidR="0082665B" w:rsidRDefault="0082665B" w:rsidP="00DD0C65">
      <w:pPr>
        <w:spacing w:line="360" w:lineRule="auto"/>
      </w:pPr>
      <w:r>
        <w:t xml:space="preserve">[8] S. Xuan, L. Zheng, I. Chung, W. Wang, D. Man, X. Du, W. Yang, and M. </w:t>
      </w:r>
      <w:proofErr w:type="spellStart"/>
      <w:r>
        <w:t>Guizani</w:t>
      </w:r>
      <w:proofErr w:type="spellEnd"/>
      <w:r>
        <w:t xml:space="preserve">, ‘‘An incentive mechanism for data sharing based on </w:t>
      </w:r>
      <w:proofErr w:type="spellStart"/>
      <w:r>
        <w:t>blockchain</w:t>
      </w:r>
      <w:proofErr w:type="spellEnd"/>
      <w:r>
        <w:t xml:space="preserve"> with smart contracts,’’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Electr</w:t>
      </w:r>
      <w:proofErr w:type="spellEnd"/>
      <w:r>
        <w:t xml:space="preserve">. Eng., vol. 83, May 2020, Art. </w:t>
      </w:r>
      <w:proofErr w:type="gramStart"/>
      <w:r>
        <w:t>no</w:t>
      </w:r>
      <w:proofErr w:type="gramEnd"/>
      <w:r>
        <w:t>. 106587.</w:t>
      </w:r>
    </w:p>
    <w:p w14:paraId="6327134C" w14:textId="77777777" w:rsidR="0082665B" w:rsidRDefault="0082665B" w:rsidP="00DD0C65">
      <w:pPr>
        <w:spacing w:line="360" w:lineRule="auto"/>
      </w:pPr>
      <w:r>
        <w:t xml:space="preserve"> [9] A. K. Shrestha and J. </w:t>
      </w:r>
      <w:proofErr w:type="spellStart"/>
      <w:r>
        <w:t>Vassileva</w:t>
      </w:r>
      <w:proofErr w:type="spellEnd"/>
      <w:r>
        <w:t xml:space="preserve">, ‘‘User data sharing frameworks: A </w:t>
      </w:r>
      <w:proofErr w:type="spellStart"/>
      <w:r>
        <w:t>blockchain</w:t>
      </w:r>
      <w:proofErr w:type="spellEnd"/>
      <w:r>
        <w:t xml:space="preserve">-based incentive solution,’’ in Proc. IEEE 10th </w:t>
      </w:r>
      <w:proofErr w:type="spellStart"/>
      <w:r>
        <w:t>Annu</w:t>
      </w:r>
      <w:proofErr w:type="spellEnd"/>
      <w:r>
        <w:t xml:space="preserve">. Inf. Technol., Electron. Mobile </w:t>
      </w:r>
      <w:proofErr w:type="spellStart"/>
      <w:r>
        <w:t>Commun</w:t>
      </w:r>
      <w:proofErr w:type="spellEnd"/>
      <w:r>
        <w:t xml:space="preserve">. Conf. (IEMCON), Oct. 2019, pp. 0360–0366. </w:t>
      </w:r>
    </w:p>
    <w:p w14:paraId="6C8F575C" w14:textId="77777777" w:rsidR="0082665B" w:rsidRDefault="0082665B" w:rsidP="00DD0C65">
      <w:pPr>
        <w:spacing w:line="360" w:lineRule="auto"/>
      </w:pPr>
      <w:r>
        <w:t xml:space="preserve">[10] M. Shen, J. </w:t>
      </w:r>
      <w:proofErr w:type="spellStart"/>
      <w:r>
        <w:t>Duan</w:t>
      </w:r>
      <w:proofErr w:type="spellEnd"/>
      <w:r>
        <w:t xml:space="preserve">, L. Zhu, J. Zhang, X. Du, and M. </w:t>
      </w:r>
      <w:proofErr w:type="spellStart"/>
      <w:r>
        <w:t>Guizani</w:t>
      </w:r>
      <w:proofErr w:type="spellEnd"/>
      <w:r>
        <w:t>, ‘‘</w:t>
      </w:r>
      <w:proofErr w:type="spellStart"/>
      <w:r>
        <w:t>Blockchainbased</w:t>
      </w:r>
      <w:proofErr w:type="spellEnd"/>
      <w:r>
        <w:t xml:space="preserve"> incentives for secure and collaborative data sharing in multiple clouds,’’ IEEE J. Sel. Areas </w:t>
      </w:r>
      <w:proofErr w:type="spellStart"/>
      <w:r>
        <w:t>Commun</w:t>
      </w:r>
      <w:proofErr w:type="spellEnd"/>
      <w:r>
        <w:t xml:space="preserve">., vol. 38, no. 6, pp. 1229–1241, Jun. 2020. </w:t>
      </w:r>
    </w:p>
    <w:p w14:paraId="643D39BC" w14:textId="77777777" w:rsidR="0082665B" w:rsidRDefault="0082665B" w:rsidP="00DD0C65">
      <w:pPr>
        <w:spacing w:line="360" w:lineRule="auto"/>
      </w:pPr>
      <w:r>
        <w:lastRenderedPageBreak/>
        <w:t xml:space="preserve">[11] W. Chen, Y. Chen, X. Chen, and Z. Zheng, </w:t>
      </w:r>
      <w:proofErr w:type="gramStart"/>
      <w:r>
        <w:t>‘‘Toward</w:t>
      </w:r>
      <w:proofErr w:type="gramEnd"/>
      <w:r>
        <w:t xml:space="preserve"> secure data sharing for the </w:t>
      </w:r>
      <w:proofErr w:type="spellStart"/>
      <w:r>
        <w:t>IoV</w:t>
      </w:r>
      <w:proofErr w:type="spellEnd"/>
      <w:r>
        <w:t xml:space="preserve">: A quality-driven incentive mechanism with on-chain and </w:t>
      </w:r>
      <w:proofErr w:type="spellStart"/>
      <w:r>
        <w:t>offchain</w:t>
      </w:r>
      <w:proofErr w:type="spellEnd"/>
      <w:r>
        <w:t xml:space="preserve"> guarantees,’’ IEEE Internet Things J., vol. 7, no. 3, pp. 1625–1640, Mar. 2020. </w:t>
      </w:r>
    </w:p>
    <w:p w14:paraId="01C6F411" w14:textId="77777777" w:rsidR="0082665B" w:rsidRDefault="0082665B" w:rsidP="00DD0C65">
      <w:pPr>
        <w:spacing w:line="360" w:lineRule="auto"/>
      </w:pPr>
      <w:r>
        <w:t xml:space="preserve">[12] L. Zhu, H. Dong, M. Shen, and K. </w:t>
      </w:r>
      <w:proofErr w:type="spellStart"/>
      <w:r>
        <w:t>Gai</w:t>
      </w:r>
      <w:proofErr w:type="spellEnd"/>
      <w:r>
        <w:t xml:space="preserve">, </w:t>
      </w:r>
      <w:proofErr w:type="gramStart"/>
      <w:r>
        <w:t>‘‘An</w:t>
      </w:r>
      <w:proofErr w:type="gramEnd"/>
      <w:r>
        <w:t xml:space="preserve"> incentive mechanism using </w:t>
      </w:r>
      <w:proofErr w:type="spellStart"/>
      <w:r>
        <w:t>shapley</w:t>
      </w:r>
      <w:proofErr w:type="spellEnd"/>
      <w:r>
        <w:t xml:space="preserve"> value for </w:t>
      </w:r>
      <w:proofErr w:type="spellStart"/>
      <w:r>
        <w:t>blockchain</w:t>
      </w:r>
      <w:proofErr w:type="spellEnd"/>
      <w:r>
        <w:t xml:space="preserve">-based medical data sharing,’’ in Proc. IEEE 5th Int. Conf. Big Data </w:t>
      </w:r>
      <w:proofErr w:type="spellStart"/>
      <w:r>
        <w:t>Secur</w:t>
      </w:r>
      <w:proofErr w:type="spellEnd"/>
      <w:r>
        <w:t>. Cloud (</w:t>
      </w:r>
      <w:proofErr w:type="spellStart"/>
      <w:r>
        <w:t>BigDataSecurity</w:t>
      </w:r>
      <w:proofErr w:type="spellEnd"/>
      <w:r>
        <w:t xml:space="preserve">) Int. Conf. High Perform. Smart </w:t>
      </w:r>
      <w:proofErr w:type="spellStart"/>
      <w:proofErr w:type="gramStart"/>
      <w:r>
        <w:t>Comput</w:t>
      </w:r>
      <w:proofErr w:type="spellEnd"/>
      <w:r>
        <w:t>.,</w:t>
      </w:r>
      <w:proofErr w:type="gramEnd"/>
      <w:r>
        <w:t xml:space="preserve"> (HPSC) IEEE Int. Conf. </w:t>
      </w:r>
      <w:proofErr w:type="spellStart"/>
      <w:r>
        <w:t>Intell</w:t>
      </w:r>
      <w:proofErr w:type="spellEnd"/>
      <w:r>
        <w:t xml:space="preserve">. Data </w:t>
      </w:r>
      <w:proofErr w:type="spellStart"/>
      <w:r>
        <w:t>Secur</w:t>
      </w:r>
      <w:proofErr w:type="spellEnd"/>
      <w:r>
        <w:t>. (IDS), May 2019, pp. 113–118.</w:t>
      </w:r>
    </w:p>
    <w:p w14:paraId="06662F37" w14:textId="77777777" w:rsidR="0082665B" w:rsidRDefault="0082665B" w:rsidP="00DD0C65">
      <w:pPr>
        <w:spacing w:line="360" w:lineRule="auto"/>
      </w:pPr>
      <w:r>
        <w:t xml:space="preserve"> [13] Z. Su, Y. Wang, Q. Xu, and N. Zhang, ‘‘LVBS: Lightweight vehicular </w:t>
      </w:r>
      <w:proofErr w:type="spellStart"/>
      <w:r>
        <w:t>blockchain</w:t>
      </w:r>
      <w:proofErr w:type="spellEnd"/>
      <w:r>
        <w:t xml:space="preserve"> for secure data sharing in disaster rescue,’’ IEEE Trans. Dependable Secure </w:t>
      </w:r>
      <w:proofErr w:type="spellStart"/>
      <w:r>
        <w:t>Comput</w:t>
      </w:r>
      <w:proofErr w:type="spellEnd"/>
      <w:r>
        <w:t xml:space="preserve">., early access, Mar. 13, 2020, </w:t>
      </w:r>
      <w:proofErr w:type="spellStart"/>
      <w:r>
        <w:t>doi</w:t>
      </w:r>
      <w:proofErr w:type="spellEnd"/>
      <w:r>
        <w:t>: 10.1109/TDSC.2020.2980255.</w:t>
      </w:r>
    </w:p>
    <w:p w14:paraId="1830EE5D" w14:textId="77777777" w:rsidR="0082665B" w:rsidRDefault="0082665B" w:rsidP="00DD0C65">
      <w:pPr>
        <w:spacing w:line="360" w:lineRule="auto"/>
      </w:pPr>
      <w:r>
        <w:t xml:space="preserve"> [14] R. </w:t>
      </w:r>
      <w:proofErr w:type="spellStart"/>
      <w:r>
        <w:t>Casado-Vara</w:t>
      </w:r>
      <w:proofErr w:type="spellEnd"/>
      <w:r>
        <w:t xml:space="preserve">, F. de la </w:t>
      </w:r>
      <w:proofErr w:type="spellStart"/>
      <w:r>
        <w:t>Prieta</w:t>
      </w:r>
      <w:proofErr w:type="spellEnd"/>
      <w:r>
        <w:t xml:space="preserve">, J. Prieto, and J. M. </w:t>
      </w:r>
      <w:proofErr w:type="spellStart"/>
      <w:r>
        <w:t>Corchado</w:t>
      </w:r>
      <w:proofErr w:type="spellEnd"/>
      <w:r>
        <w:t>, ‘‘</w:t>
      </w:r>
      <w:proofErr w:type="spellStart"/>
      <w:r>
        <w:t>Blockchain</w:t>
      </w:r>
      <w:proofErr w:type="spellEnd"/>
      <w:r>
        <w:t xml:space="preserve"> framework for </w:t>
      </w:r>
      <w:proofErr w:type="spellStart"/>
      <w:r>
        <w:t>IoT</w:t>
      </w:r>
      <w:proofErr w:type="spellEnd"/>
      <w:r>
        <w:t xml:space="preserve"> data quality via edge computing,’’ in Proc. 1st Workshop </w:t>
      </w:r>
      <w:proofErr w:type="spellStart"/>
      <w:r>
        <w:t>Blockchain</w:t>
      </w:r>
      <w:proofErr w:type="spellEnd"/>
      <w:r>
        <w:t xml:space="preserve">-Enabled </w:t>
      </w:r>
      <w:proofErr w:type="spellStart"/>
      <w:r>
        <w:t>Netw</w:t>
      </w:r>
      <w:proofErr w:type="spellEnd"/>
      <w:r>
        <w:t xml:space="preserve">. Sensor Syst., 2018, pp. 19–24. </w:t>
      </w:r>
    </w:p>
    <w:p w14:paraId="1B52CBC5" w14:textId="77777777" w:rsidR="0082665B" w:rsidRDefault="0082665B" w:rsidP="00DD0C65">
      <w:pPr>
        <w:spacing w:line="360" w:lineRule="auto"/>
      </w:pPr>
      <w:r>
        <w:t xml:space="preserve">[15] X. Zheng, R. R. </w:t>
      </w:r>
      <w:proofErr w:type="spellStart"/>
      <w:r>
        <w:t>Mukkamala</w:t>
      </w:r>
      <w:proofErr w:type="spellEnd"/>
      <w:r>
        <w:t xml:space="preserve">, R. </w:t>
      </w:r>
      <w:proofErr w:type="spellStart"/>
      <w:r>
        <w:t>Vatrapu</w:t>
      </w:r>
      <w:proofErr w:type="spellEnd"/>
      <w:r>
        <w:t xml:space="preserve">, and J. </w:t>
      </w:r>
      <w:proofErr w:type="spellStart"/>
      <w:r>
        <w:t>Ordieres</w:t>
      </w:r>
      <w:proofErr w:type="spellEnd"/>
      <w:r>
        <w:t>-Mere, ‘‘</w:t>
      </w:r>
      <w:proofErr w:type="spellStart"/>
      <w:r>
        <w:t>Blockchain</w:t>
      </w:r>
      <w:proofErr w:type="spellEnd"/>
      <w:r>
        <w:t xml:space="preserve">-based personal health data sharing system using cloud storage,’’ in Proc. IEEE 20th Int. Conf. e-Health </w:t>
      </w:r>
      <w:proofErr w:type="spellStart"/>
      <w:r>
        <w:t>Netw</w:t>
      </w:r>
      <w:proofErr w:type="spellEnd"/>
      <w:r>
        <w:t>., Appl. Services (</w:t>
      </w:r>
      <w:proofErr w:type="spellStart"/>
      <w:r>
        <w:t>Healthcom</w:t>
      </w:r>
      <w:proofErr w:type="spellEnd"/>
      <w:r>
        <w:t xml:space="preserve">), Sep. 2018, pp. 1–6. </w:t>
      </w:r>
    </w:p>
    <w:p w14:paraId="47064C4E" w14:textId="77777777" w:rsidR="0082665B" w:rsidRDefault="0082665B" w:rsidP="00DD0C65">
      <w:pPr>
        <w:spacing w:line="360" w:lineRule="auto"/>
      </w:pPr>
      <w:r>
        <w:t xml:space="preserve">[16] C. </w:t>
      </w:r>
      <w:proofErr w:type="spellStart"/>
      <w:r>
        <w:t>Cappiello</w:t>
      </w:r>
      <w:proofErr w:type="spellEnd"/>
      <w:r>
        <w:t xml:space="preserve">, M. </w:t>
      </w:r>
      <w:proofErr w:type="spellStart"/>
      <w:r>
        <w:t>Comuzzi</w:t>
      </w:r>
      <w:proofErr w:type="spellEnd"/>
      <w:r>
        <w:t xml:space="preserve">, F. Daniel, and G. </w:t>
      </w:r>
      <w:proofErr w:type="spellStart"/>
      <w:r>
        <w:t>Meroni</w:t>
      </w:r>
      <w:proofErr w:type="spellEnd"/>
      <w:r>
        <w:t xml:space="preserve">, ‘‘Data quality control in </w:t>
      </w:r>
      <w:proofErr w:type="spellStart"/>
      <w:r>
        <w:t>blockchain</w:t>
      </w:r>
      <w:proofErr w:type="spellEnd"/>
      <w:r>
        <w:t xml:space="preserve"> applications,’’ in Proc. Int. Conf. Bus. Process Manage. Vienna, Austria: Springer, 2019, pp. 166–181. [17] J. Huang, L. Kong, H.-N. Dai, W. Ding, L. Cheng, G. Chen, X. </w:t>
      </w:r>
      <w:proofErr w:type="spellStart"/>
      <w:r>
        <w:t>Jin</w:t>
      </w:r>
      <w:proofErr w:type="spellEnd"/>
      <w:r>
        <w:t>, and P. Zeng, ‘‘</w:t>
      </w:r>
      <w:proofErr w:type="spellStart"/>
      <w:r>
        <w:t>Blockchain</w:t>
      </w:r>
      <w:proofErr w:type="spellEnd"/>
      <w:r>
        <w:t xml:space="preserve">-based mobile crowd sensing in industrial systems,’’ IEEE Trans. Ind. </w:t>
      </w:r>
      <w:proofErr w:type="spellStart"/>
      <w:r>
        <w:t>Informat</w:t>
      </w:r>
      <w:proofErr w:type="spellEnd"/>
      <w:r>
        <w:t xml:space="preserve">., vol. 16, no. 10, pp. 6553–6563, Oct. 2020. </w:t>
      </w:r>
    </w:p>
    <w:p w14:paraId="36A6D116" w14:textId="77777777" w:rsidR="0082665B" w:rsidRDefault="0082665B" w:rsidP="00DD0C65">
      <w:pPr>
        <w:spacing w:line="360" w:lineRule="auto"/>
      </w:pPr>
      <w:r>
        <w:t xml:space="preserve">[18] J. An, J. Cheng, X. </w:t>
      </w:r>
      <w:proofErr w:type="spellStart"/>
      <w:r>
        <w:t>Gui</w:t>
      </w:r>
      <w:proofErr w:type="spellEnd"/>
      <w:r>
        <w:t xml:space="preserve">, W. Zhang, D. Liang, R. </w:t>
      </w:r>
      <w:proofErr w:type="spellStart"/>
      <w:r>
        <w:t>Gui</w:t>
      </w:r>
      <w:proofErr w:type="spellEnd"/>
      <w:r>
        <w:t xml:space="preserve">, L. Jiang, and D. Liao, ‘‘A lightweight </w:t>
      </w:r>
      <w:proofErr w:type="spellStart"/>
      <w:r>
        <w:t>blockchain</w:t>
      </w:r>
      <w:proofErr w:type="spellEnd"/>
      <w:r>
        <w:t xml:space="preserve">-based model for data quality assessment in </w:t>
      </w:r>
      <w:proofErr w:type="spellStart"/>
      <w:r>
        <w:t>crowdsensing</w:t>
      </w:r>
      <w:proofErr w:type="spellEnd"/>
      <w:r>
        <w:t xml:space="preserve">,’’ IEEE Trans. </w:t>
      </w:r>
      <w:proofErr w:type="spellStart"/>
      <w:r>
        <w:t>Comput</w:t>
      </w:r>
      <w:proofErr w:type="spellEnd"/>
      <w:r>
        <w:t>. Social Syst., vol. 7, no. 1, pp. 84–97, Feb. 2020.</w:t>
      </w:r>
    </w:p>
    <w:p w14:paraId="573976C1" w14:textId="77777777" w:rsidR="0082665B" w:rsidRDefault="0082665B" w:rsidP="00DD0C65">
      <w:pPr>
        <w:spacing w:line="360" w:lineRule="auto"/>
      </w:pPr>
      <w:r>
        <w:t xml:space="preserve"> [19] J. Wang, M. Li, Y. He, H. Li, K. Xiao, and C. Wang, ‘‘A </w:t>
      </w:r>
      <w:proofErr w:type="spellStart"/>
      <w:r>
        <w:t>blockchain</w:t>
      </w:r>
      <w:proofErr w:type="spellEnd"/>
      <w:r>
        <w:t xml:space="preserve"> based privacy-preserving incentive mechanism in </w:t>
      </w:r>
      <w:proofErr w:type="spellStart"/>
      <w:r>
        <w:t>crowdsensing</w:t>
      </w:r>
      <w:proofErr w:type="spellEnd"/>
      <w:r>
        <w:t xml:space="preserve"> applications,’’ IEEE Access, vol. 6, pp. 17545–17556, 2018.</w:t>
      </w:r>
    </w:p>
    <w:p w14:paraId="21727B50" w14:textId="77777777" w:rsidR="0082665B" w:rsidRDefault="0082665B" w:rsidP="00DD0C65">
      <w:pPr>
        <w:spacing w:line="360" w:lineRule="auto"/>
      </w:pPr>
      <w:r>
        <w:t xml:space="preserve"> [20] L. </w:t>
      </w:r>
      <w:proofErr w:type="spellStart"/>
      <w:r>
        <w:t>Zavolokina</w:t>
      </w:r>
      <w:proofErr w:type="spellEnd"/>
      <w:r>
        <w:t xml:space="preserve">, F. </w:t>
      </w:r>
      <w:proofErr w:type="spellStart"/>
      <w:r>
        <w:t>Spychiger</w:t>
      </w:r>
      <w:proofErr w:type="spellEnd"/>
      <w:r>
        <w:t xml:space="preserve">, C. </w:t>
      </w:r>
      <w:proofErr w:type="spellStart"/>
      <w:r>
        <w:t>Tessone</w:t>
      </w:r>
      <w:proofErr w:type="spellEnd"/>
      <w:r>
        <w:t xml:space="preserve">, and G. </w:t>
      </w:r>
      <w:proofErr w:type="spellStart"/>
      <w:r>
        <w:t>Schwabe</w:t>
      </w:r>
      <w:proofErr w:type="spellEnd"/>
      <w:r>
        <w:t xml:space="preserve">, ‘‘Incentivizing data quality in </w:t>
      </w:r>
      <w:proofErr w:type="spellStart"/>
      <w:r>
        <w:t>blockchains</w:t>
      </w:r>
      <w:proofErr w:type="spellEnd"/>
      <w:r>
        <w:t xml:space="preserve"> for inter-organizational networks–learning from the digital car dossier,’’ Univ. Zurich, Zürich, Switzerland, Tech. Rep., 2018.</w:t>
      </w:r>
    </w:p>
    <w:p w14:paraId="2A4CBE69" w14:textId="77777777" w:rsidR="0082665B" w:rsidRDefault="0082665B" w:rsidP="00DD0C65">
      <w:pPr>
        <w:spacing w:line="360" w:lineRule="auto"/>
      </w:pPr>
      <w:r>
        <w:lastRenderedPageBreak/>
        <w:t xml:space="preserve"> [21] V. </w:t>
      </w:r>
      <w:proofErr w:type="spellStart"/>
      <w:r>
        <w:t>Dedeoglu</w:t>
      </w:r>
      <w:proofErr w:type="spellEnd"/>
      <w:r>
        <w:t xml:space="preserve">, R. </w:t>
      </w:r>
      <w:proofErr w:type="spellStart"/>
      <w:r>
        <w:t>Jurdak</w:t>
      </w:r>
      <w:proofErr w:type="spellEnd"/>
      <w:r>
        <w:t xml:space="preserve">, G. D. Putra, A. </w:t>
      </w:r>
      <w:proofErr w:type="spellStart"/>
      <w:r>
        <w:t>Dorri</w:t>
      </w:r>
      <w:proofErr w:type="spellEnd"/>
      <w:r>
        <w:t xml:space="preserve">, and S. S. </w:t>
      </w:r>
      <w:proofErr w:type="spellStart"/>
      <w:r>
        <w:t>Kanhere</w:t>
      </w:r>
      <w:proofErr w:type="spellEnd"/>
      <w:r>
        <w:t xml:space="preserve">, ‘‘A trust architecture for </w:t>
      </w:r>
      <w:proofErr w:type="spellStart"/>
      <w:r>
        <w:t>blockchain</w:t>
      </w:r>
      <w:proofErr w:type="spellEnd"/>
      <w:r>
        <w:t xml:space="preserve"> in </w:t>
      </w:r>
      <w:proofErr w:type="spellStart"/>
      <w:r>
        <w:t>IoT</w:t>
      </w:r>
      <w:proofErr w:type="spellEnd"/>
      <w:r>
        <w:t xml:space="preserve">,’’ in Proc. 16th EAI Int. Conf. Mobile Ubiquitous Syst., </w:t>
      </w:r>
      <w:proofErr w:type="spellStart"/>
      <w:r>
        <w:t>Comput</w:t>
      </w:r>
      <w:proofErr w:type="spellEnd"/>
      <w:r>
        <w:t xml:space="preserve">., </w:t>
      </w:r>
      <w:proofErr w:type="spellStart"/>
      <w:r>
        <w:t>Netw</w:t>
      </w:r>
      <w:proofErr w:type="spellEnd"/>
      <w:r>
        <w:t xml:space="preserve">. Services, 2019, pp. 190–199. </w:t>
      </w:r>
    </w:p>
    <w:p w14:paraId="4F689030" w14:textId="77777777" w:rsidR="0082665B" w:rsidRDefault="0082665B" w:rsidP="00DD0C65">
      <w:pPr>
        <w:spacing w:line="360" w:lineRule="auto"/>
      </w:pPr>
      <w:r>
        <w:t xml:space="preserve">[22] B. Shala, U. Trick, A. Lehmann, B. </w:t>
      </w:r>
      <w:proofErr w:type="spellStart"/>
      <w:r>
        <w:t>Ghita</w:t>
      </w:r>
      <w:proofErr w:type="spellEnd"/>
      <w:r>
        <w:t xml:space="preserve">, and S. </w:t>
      </w:r>
      <w:proofErr w:type="spellStart"/>
      <w:r>
        <w:t>Shiaeles</w:t>
      </w:r>
      <w:proofErr w:type="spellEnd"/>
      <w:r>
        <w:t>, ‘‘</w:t>
      </w:r>
      <w:proofErr w:type="spellStart"/>
      <w:r>
        <w:t>Blockchain</w:t>
      </w:r>
      <w:proofErr w:type="spellEnd"/>
      <w:r>
        <w:t xml:space="preserve"> and trust for secure, end-user-based and decentralized </w:t>
      </w:r>
      <w:proofErr w:type="spellStart"/>
      <w:r>
        <w:t>IoT</w:t>
      </w:r>
      <w:proofErr w:type="spellEnd"/>
      <w:r>
        <w:t xml:space="preserve"> service provision,’’ IEEE Access, vol. 8, pp. 119961–119979, 2020. [23] L. Yue, H. </w:t>
      </w:r>
      <w:proofErr w:type="spellStart"/>
      <w:r>
        <w:t>Junqin</w:t>
      </w:r>
      <w:proofErr w:type="spellEnd"/>
      <w:r>
        <w:t xml:space="preserve">, Q. </w:t>
      </w:r>
      <w:proofErr w:type="spellStart"/>
      <w:r>
        <w:t>Shengzhi</w:t>
      </w:r>
      <w:proofErr w:type="spellEnd"/>
      <w:r>
        <w:t xml:space="preserve">, and W. </w:t>
      </w:r>
      <w:proofErr w:type="spellStart"/>
      <w:r>
        <w:t>Ruijin</w:t>
      </w:r>
      <w:proofErr w:type="spellEnd"/>
      <w:r>
        <w:t xml:space="preserve">, ‘‘Big data model of security sharing based on </w:t>
      </w:r>
      <w:proofErr w:type="spellStart"/>
      <w:r>
        <w:t>blockchain</w:t>
      </w:r>
      <w:proofErr w:type="spellEnd"/>
      <w:r>
        <w:t xml:space="preserve">,’’ in Proc. 3rd Int. Conf. Big Data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Commun</w:t>
      </w:r>
      <w:proofErr w:type="spellEnd"/>
      <w:r>
        <w:t xml:space="preserve">. (BIGCOM), Aug. 2017, pp. 117–121. [24] A. </w:t>
      </w:r>
      <w:proofErr w:type="spellStart"/>
      <w:r>
        <w:t>Brandão</w:t>
      </w:r>
      <w:proofErr w:type="spellEnd"/>
      <w:r>
        <w:t xml:space="preserve">, H. S. </w:t>
      </w:r>
      <w:proofErr w:type="spellStart"/>
      <w:r>
        <w:t>Mamede</w:t>
      </w:r>
      <w:proofErr w:type="spellEnd"/>
      <w:r>
        <w:t xml:space="preserve">, and R. </w:t>
      </w:r>
      <w:proofErr w:type="spellStart"/>
      <w:r>
        <w:t>Gonçalves</w:t>
      </w:r>
      <w:proofErr w:type="spellEnd"/>
      <w:r>
        <w:t xml:space="preserve">, ‘‘Systematic review of the literature, research on </w:t>
      </w:r>
      <w:proofErr w:type="spellStart"/>
      <w:r>
        <w:t>blockchain</w:t>
      </w:r>
      <w:proofErr w:type="spellEnd"/>
      <w:r>
        <w:t xml:space="preserve"> technology as support to the trust model proposed applied to smart places,’’ in Proc. World Conf. Inf. Syst. Technol. Naples, Italy: Springer, 2018, pp. 1163–1174. </w:t>
      </w:r>
    </w:p>
    <w:p w14:paraId="695BA294" w14:textId="77777777" w:rsidR="0082665B" w:rsidRDefault="0082665B" w:rsidP="00DD0C65">
      <w:pPr>
        <w:spacing w:line="360" w:lineRule="auto"/>
      </w:pPr>
      <w:r>
        <w:t xml:space="preserve">[25] J. Kang, R. Yu, X. Huang, M. Wu, S. </w:t>
      </w:r>
      <w:proofErr w:type="spellStart"/>
      <w:r>
        <w:t>Maharjan</w:t>
      </w:r>
      <w:proofErr w:type="spellEnd"/>
      <w:r>
        <w:t xml:space="preserve">, S. </w:t>
      </w:r>
      <w:proofErr w:type="spellStart"/>
      <w:r>
        <w:t>Xie</w:t>
      </w:r>
      <w:proofErr w:type="spellEnd"/>
      <w:r>
        <w:t>, and Y. Zhang, ‘‘</w:t>
      </w:r>
      <w:proofErr w:type="spellStart"/>
      <w:r>
        <w:t>Blockchain</w:t>
      </w:r>
      <w:proofErr w:type="spellEnd"/>
      <w:r>
        <w:t xml:space="preserve"> for secure and efficient data sharing in vehicular edge computing and networks,’’ IEEE Internet Things J., vol. 6, no. 3, pp. 4660–4670, Jun. 2019. </w:t>
      </w:r>
    </w:p>
    <w:p w14:paraId="141C651C" w14:textId="7B7901F8" w:rsidR="0082665B" w:rsidRPr="00DD0C65" w:rsidRDefault="0082665B" w:rsidP="00DD0C6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t>[26] Z. Yang, K. Yang, L. Lei, K. Zheng, and V. C. M. Leung, ‘‘</w:t>
      </w:r>
      <w:proofErr w:type="spellStart"/>
      <w:r>
        <w:t>Blockchainbased</w:t>
      </w:r>
      <w:proofErr w:type="spellEnd"/>
      <w:r>
        <w:t xml:space="preserve"> decentralized trust management in vehicular networks,’’ IEEE Internet Things J., vol. 6, no. 2, pp. 1495–1505, Apr. 2019. [27] T.-H. Kim, R. </w:t>
      </w:r>
      <w:proofErr w:type="spellStart"/>
      <w:r>
        <w:t>Goyat</w:t>
      </w:r>
      <w:proofErr w:type="spellEnd"/>
      <w:r>
        <w:t xml:space="preserve">, M. K. Rai, G. Kumar, W. J. Buchanan, R. </w:t>
      </w:r>
      <w:proofErr w:type="spellStart"/>
      <w:r>
        <w:t>Saha</w:t>
      </w:r>
      <w:proofErr w:type="spellEnd"/>
      <w:r>
        <w:t xml:space="preserve">, and R. Thomas, ‘‘A novel trust evaluation process for secure localization using a decentralized </w:t>
      </w:r>
      <w:proofErr w:type="spellStart"/>
      <w:r>
        <w:t>blockchain</w:t>
      </w:r>
      <w:proofErr w:type="spellEnd"/>
      <w:r>
        <w:t xml:space="preserve"> in wireless sensor networks,’’ IEEE Access, vol. 7, pp. 184133–184144, 2019</w:t>
      </w:r>
    </w:p>
    <w:sectPr w:rsidR="0082665B" w:rsidRPr="00DD0C65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E3"/>
    <w:rsid w:val="00592100"/>
    <w:rsid w:val="00624CF0"/>
    <w:rsid w:val="007E4BC8"/>
    <w:rsid w:val="0082665B"/>
    <w:rsid w:val="00827C2E"/>
    <w:rsid w:val="00977627"/>
    <w:rsid w:val="009C4711"/>
    <w:rsid w:val="00A76B35"/>
    <w:rsid w:val="00C72AE3"/>
    <w:rsid w:val="00C91AD5"/>
    <w:rsid w:val="00DD0C65"/>
    <w:rsid w:val="00E4696D"/>
    <w:rsid w:val="00F949F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5B450592-6A7A-4D7E-AF58-F522E83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C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0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2</cp:revision>
  <dcterms:created xsi:type="dcterms:W3CDTF">2023-05-03T12:00:00Z</dcterms:created>
  <dcterms:modified xsi:type="dcterms:W3CDTF">2023-05-03T12:00:00Z</dcterms:modified>
</cp:coreProperties>
</file>