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C2E0" w14:textId="6F541E13" w:rsidR="00592100" w:rsidRPr="00DD0C65" w:rsidRDefault="00592100" w:rsidP="00DD0C65">
      <w:pPr>
        <w:spacing w:before="240" w:after="0" w:line="360" w:lineRule="auto"/>
        <w:jc w:val="center"/>
        <w:rPr>
          <w:rFonts w:ascii="Times New Roman" w:hAnsi="Times New Roman" w:cs="Times New Roman"/>
          <w:b/>
          <w:bCs/>
          <w:sz w:val="28"/>
          <w:szCs w:val="28"/>
          <w:lang w:val="en-US"/>
        </w:rPr>
      </w:pPr>
      <w:r w:rsidRPr="00DD0C65">
        <w:rPr>
          <w:rFonts w:ascii="Times New Roman" w:hAnsi="Times New Roman" w:cs="Times New Roman"/>
          <w:b/>
          <w:bCs/>
          <w:sz w:val="28"/>
          <w:szCs w:val="28"/>
          <w:lang w:val="en-US"/>
        </w:rPr>
        <w:t>CHAPTER-10</w:t>
      </w:r>
    </w:p>
    <w:p w14:paraId="0912BE49" w14:textId="77777777" w:rsidR="009C4711" w:rsidRPr="00DD0C65" w:rsidRDefault="009C4711" w:rsidP="00DD0C65">
      <w:pPr>
        <w:spacing w:before="240" w:after="0" w:line="360" w:lineRule="auto"/>
        <w:jc w:val="center"/>
        <w:rPr>
          <w:rFonts w:ascii="Times New Roman" w:hAnsi="Times New Roman" w:cs="Times New Roman"/>
          <w:b/>
          <w:bCs/>
          <w:sz w:val="28"/>
          <w:szCs w:val="28"/>
          <w:lang w:val="en-US"/>
        </w:rPr>
      </w:pPr>
    </w:p>
    <w:p w14:paraId="781FCF28" w14:textId="5D40E3B7" w:rsidR="00E4696D" w:rsidRPr="00DD0C65" w:rsidRDefault="007E4BC8" w:rsidP="00DD0C65">
      <w:pPr>
        <w:spacing w:line="360" w:lineRule="auto"/>
        <w:rPr>
          <w:rFonts w:ascii="Times New Roman" w:hAnsi="Times New Roman" w:cs="Times New Roman"/>
          <w:b/>
          <w:sz w:val="28"/>
          <w:szCs w:val="28"/>
          <w:lang w:val="en-US"/>
        </w:rPr>
      </w:pPr>
      <w:r w:rsidRPr="00DD0C65">
        <w:rPr>
          <w:rFonts w:ascii="Times New Roman" w:hAnsi="Times New Roman" w:cs="Times New Roman"/>
          <w:b/>
          <w:sz w:val="28"/>
          <w:szCs w:val="28"/>
          <w:lang w:val="en-US"/>
        </w:rPr>
        <w:t>REFERENCE</w:t>
      </w:r>
    </w:p>
    <w:p w14:paraId="5B1BC5A8"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[1] D.-Y. Lin, C.-J. Juan, and C.-C. Chang, ‘‘Managing food safety with pricing, contracts and coordination in supply chains,’’ IEEE Access, vol. 7, pp. 150892–150909, 2019. </w:t>
      </w:r>
    </w:p>
    <w:p w14:paraId="20FBB95E"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[2] H. Fan, ‘‘Theoretical basis and system establishment of China food safety intelligent supervision in the perspective of Internet of Things,’’ IEEE Access, vol. 7, pp. 71686–71695, 2019.</w:t>
      </w:r>
      <w:r w:rsidRPr="00DD0C65">
        <w:rPr>
          <w:rFonts w:ascii="Times New Roman" w:hAnsi="Times New Roman" w:cs="Times New Roman"/>
        </w:rPr>
        <w:t xml:space="preserve"> </w:t>
      </w:r>
    </w:p>
    <w:p w14:paraId="34255852"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[3] M. Toledo-Hernández, T. </w:t>
      </w:r>
      <w:proofErr w:type="spellStart"/>
      <w:r w:rsidRPr="00DD0C65">
        <w:rPr>
          <w:rFonts w:ascii="Times New Roman" w:hAnsi="Times New Roman" w:cs="Times New Roman"/>
        </w:rPr>
        <w:t>Tscharntke</w:t>
      </w:r>
      <w:proofErr w:type="spellEnd"/>
      <w:r w:rsidRPr="00DD0C65">
        <w:rPr>
          <w:rFonts w:ascii="Times New Roman" w:hAnsi="Times New Roman" w:cs="Times New Roman"/>
        </w:rPr>
        <w:t xml:space="preserve">, A. </w:t>
      </w:r>
      <w:proofErr w:type="spellStart"/>
      <w:r w:rsidRPr="00DD0C65">
        <w:rPr>
          <w:rFonts w:ascii="Times New Roman" w:hAnsi="Times New Roman" w:cs="Times New Roman"/>
        </w:rPr>
        <w:t>Tjoa</w:t>
      </w:r>
      <w:proofErr w:type="spellEnd"/>
      <w:r w:rsidRPr="00DD0C65">
        <w:rPr>
          <w:rFonts w:ascii="Times New Roman" w:hAnsi="Times New Roman" w:cs="Times New Roman"/>
        </w:rPr>
        <w:t xml:space="preserve">, A. </w:t>
      </w:r>
      <w:proofErr w:type="spellStart"/>
      <w:r w:rsidRPr="00DD0C65">
        <w:rPr>
          <w:rFonts w:ascii="Times New Roman" w:hAnsi="Times New Roman" w:cs="Times New Roman"/>
        </w:rPr>
        <w:t>Anshary</w:t>
      </w:r>
      <w:proofErr w:type="spellEnd"/>
      <w:r w:rsidRPr="00DD0C65">
        <w:rPr>
          <w:rFonts w:ascii="Times New Roman" w:hAnsi="Times New Roman" w:cs="Times New Roman"/>
        </w:rPr>
        <w:t xml:space="preserve">, B. </w:t>
      </w:r>
      <w:proofErr w:type="spellStart"/>
      <w:r w:rsidRPr="00DD0C65">
        <w:rPr>
          <w:rFonts w:ascii="Times New Roman" w:hAnsi="Times New Roman" w:cs="Times New Roman"/>
        </w:rPr>
        <w:t>Cyio</w:t>
      </w:r>
      <w:proofErr w:type="spellEnd"/>
      <w:r w:rsidRPr="00DD0C65">
        <w:rPr>
          <w:rFonts w:ascii="Times New Roman" w:hAnsi="Times New Roman" w:cs="Times New Roman"/>
        </w:rPr>
        <w:t xml:space="preserve">, and T. C. Wanger, ‘‘Hand pollination, not pesticides or fertilizers, increases cocoa yields and farmer income,’’ </w:t>
      </w:r>
      <w:proofErr w:type="spellStart"/>
      <w:r w:rsidRPr="00DD0C65">
        <w:rPr>
          <w:rFonts w:ascii="Times New Roman" w:hAnsi="Times New Roman" w:cs="Times New Roman"/>
        </w:rPr>
        <w:t>Agricult</w:t>
      </w:r>
      <w:proofErr w:type="spellEnd"/>
      <w:r w:rsidRPr="00DD0C65">
        <w:rPr>
          <w:rFonts w:ascii="Times New Roman" w:hAnsi="Times New Roman" w:cs="Times New Roman"/>
        </w:rPr>
        <w:t xml:space="preserve">., </w:t>
      </w:r>
      <w:proofErr w:type="spellStart"/>
      <w:r w:rsidRPr="00DD0C65">
        <w:rPr>
          <w:rFonts w:ascii="Times New Roman" w:hAnsi="Times New Roman" w:cs="Times New Roman"/>
        </w:rPr>
        <w:t>Ecosyst</w:t>
      </w:r>
      <w:proofErr w:type="spellEnd"/>
      <w:r w:rsidRPr="00DD0C65">
        <w:rPr>
          <w:rFonts w:ascii="Times New Roman" w:hAnsi="Times New Roman" w:cs="Times New Roman"/>
        </w:rPr>
        <w:t xml:space="preserve">. Environ., vol. 304, Dec. 2020, Art. no. 107160. </w:t>
      </w:r>
    </w:p>
    <w:p w14:paraId="58C5CC8A" w14:textId="3744B4E8"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[4] J. Himmelstein, A. Ares, D. Gallagher, and J. Myers, ‘‘A meta-analysis of intercropping in Africa: Impacts on crop yield, farmer income, and integrated pest management effects,’’ Int. J. </w:t>
      </w:r>
      <w:proofErr w:type="spellStart"/>
      <w:r w:rsidRPr="00DD0C65">
        <w:rPr>
          <w:rFonts w:ascii="Times New Roman" w:hAnsi="Times New Roman" w:cs="Times New Roman"/>
        </w:rPr>
        <w:t>Agricult</w:t>
      </w:r>
      <w:proofErr w:type="spellEnd"/>
      <w:r w:rsidRPr="00DD0C65">
        <w:rPr>
          <w:rFonts w:ascii="Times New Roman" w:hAnsi="Times New Roman" w:cs="Times New Roman"/>
        </w:rPr>
        <w:t xml:space="preserve">. Sustainability, vol. 15, no. 1, pp. 1–10, Jan. 2017. </w:t>
      </w:r>
    </w:p>
    <w:p w14:paraId="75B89BAA"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[5] Y. Dong, Z. Fu, S. </w:t>
      </w:r>
      <w:proofErr w:type="spellStart"/>
      <w:r w:rsidRPr="00DD0C65">
        <w:rPr>
          <w:rFonts w:ascii="Times New Roman" w:hAnsi="Times New Roman" w:cs="Times New Roman"/>
        </w:rPr>
        <w:t>Stankovski</w:t>
      </w:r>
      <w:proofErr w:type="spellEnd"/>
      <w:r w:rsidRPr="00DD0C65">
        <w:rPr>
          <w:rFonts w:ascii="Times New Roman" w:hAnsi="Times New Roman" w:cs="Times New Roman"/>
        </w:rPr>
        <w:t xml:space="preserve">, S. Wang, and X. Li, ‘‘Nutritional quality and safety traceability system for China’s leafy vegetable supply chain based on fault tree analysis and QR code,’’ IEEE Access, vol. 8, pp. 161261–161275, 2020. </w:t>
      </w:r>
    </w:p>
    <w:p w14:paraId="06DD6F20"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[6] C. </w:t>
      </w:r>
      <w:proofErr w:type="spellStart"/>
      <w:r w:rsidRPr="00DD0C65">
        <w:rPr>
          <w:rFonts w:ascii="Times New Roman" w:hAnsi="Times New Roman" w:cs="Times New Roman"/>
        </w:rPr>
        <w:t>Ganeshkumar</w:t>
      </w:r>
      <w:proofErr w:type="spellEnd"/>
      <w:r w:rsidRPr="00DD0C65">
        <w:rPr>
          <w:rFonts w:ascii="Times New Roman" w:hAnsi="Times New Roman" w:cs="Times New Roman"/>
        </w:rPr>
        <w:t xml:space="preserve">, M. </w:t>
      </w:r>
      <w:proofErr w:type="spellStart"/>
      <w:r w:rsidRPr="00DD0C65">
        <w:rPr>
          <w:rFonts w:ascii="Times New Roman" w:hAnsi="Times New Roman" w:cs="Times New Roman"/>
        </w:rPr>
        <w:t>Pachayappan</w:t>
      </w:r>
      <w:proofErr w:type="spellEnd"/>
      <w:r w:rsidRPr="00DD0C65">
        <w:rPr>
          <w:rFonts w:ascii="Times New Roman" w:hAnsi="Times New Roman" w:cs="Times New Roman"/>
        </w:rPr>
        <w:t xml:space="preserve">, and G. </w:t>
      </w:r>
      <w:proofErr w:type="spellStart"/>
      <w:r w:rsidRPr="00DD0C65">
        <w:rPr>
          <w:rFonts w:ascii="Times New Roman" w:hAnsi="Times New Roman" w:cs="Times New Roman"/>
        </w:rPr>
        <w:t>Madanmohan</w:t>
      </w:r>
      <w:proofErr w:type="spellEnd"/>
      <w:r w:rsidRPr="00DD0C65">
        <w:rPr>
          <w:rFonts w:ascii="Times New Roman" w:hAnsi="Times New Roman" w:cs="Times New Roman"/>
        </w:rPr>
        <w:t xml:space="preserve">, ‘‘Agri-food supply chain management: Literature review,’’ </w:t>
      </w:r>
      <w:proofErr w:type="spellStart"/>
      <w:r w:rsidRPr="00DD0C65">
        <w:rPr>
          <w:rFonts w:ascii="Times New Roman" w:hAnsi="Times New Roman" w:cs="Times New Roman"/>
        </w:rPr>
        <w:t>Intell</w:t>
      </w:r>
      <w:proofErr w:type="spellEnd"/>
      <w:r w:rsidRPr="00DD0C65">
        <w:rPr>
          <w:rFonts w:ascii="Times New Roman" w:hAnsi="Times New Roman" w:cs="Times New Roman"/>
        </w:rPr>
        <w:t xml:space="preserve">. Inf. Manage., vol. 9, no. 2, pp. 68–96, 2017. </w:t>
      </w:r>
    </w:p>
    <w:p w14:paraId="391AC0DC"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[7] Q. Lin, H. Wang, X. Pei, and J. Wang, ‘‘Food safety traceability system based on blockchain and EPCIS,’’ IEEE Access, vol. 7, pp. 20698–20707, 2019. </w:t>
      </w:r>
    </w:p>
    <w:p w14:paraId="1C484684"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[8] H. Feng, X. Wang, Y. Duan, J. Zhang, and X. Zhang, ‘‘Applying blockchain technology to improve agri-food traceability: A review of development methods, benefits and challenges,’’ J. Cleaner Prod., vol. 260, Jul. 2020, Art. no. 121031. </w:t>
      </w:r>
    </w:p>
    <w:p w14:paraId="152E14E4" w14:textId="0D5947AF"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[9] S. Nakamoto, ‘‘Bitcoin: A peer-to-peer electronic cash system,’’ White Paper, 2008. Accessed: Jun. 26, 2020. [Online]. Available: </w:t>
      </w:r>
      <w:hyperlink r:id="rId5" w:history="1">
        <w:r w:rsidR="00DD0C65" w:rsidRPr="00044D54">
          <w:rPr>
            <w:rStyle w:val="Hyperlink"/>
            <w:rFonts w:ascii="Times New Roman" w:hAnsi="Times New Roman" w:cs="Times New Roman"/>
          </w:rPr>
          <w:t>https://bitcoin.org/bitcoin.pdf</w:t>
        </w:r>
      </w:hyperlink>
      <w:r w:rsidRPr="00DD0C65">
        <w:rPr>
          <w:rFonts w:ascii="Times New Roman" w:hAnsi="Times New Roman" w:cs="Times New Roman"/>
        </w:rPr>
        <w:t xml:space="preserve"> </w:t>
      </w:r>
    </w:p>
    <w:p w14:paraId="10E8944F"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[10] F. Tian, ‘‘An agri-food supply chain traceability system for China based on RFID &amp; blockchain technology,’’ in Proc. 13th Int. Conf. Service Syst. Service Manage. (ICSSSM), Jun. 2016, pp. 1–6. </w:t>
      </w:r>
    </w:p>
    <w:p w14:paraId="020EA6DB"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[11] F. Tian, ‘‘A supply chain traceability system for food safety based on HACCP, blockchain &amp; Internet of Things,’’ in Proc. 14th Int. Conf. Service Syst. Service Manage. (ICSSSM), Jun. 2017, pp. 1–6. </w:t>
      </w:r>
    </w:p>
    <w:p w14:paraId="04F66B5A"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lastRenderedPageBreak/>
        <w:t xml:space="preserve">[12] K. Toyoda, P. T. </w:t>
      </w:r>
      <w:proofErr w:type="spellStart"/>
      <w:r w:rsidRPr="00DD0C65">
        <w:rPr>
          <w:rFonts w:ascii="Times New Roman" w:hAnsi="Times New Roman" w:cs="Times New Roman"/>
        </w:rPr>
        <w:t>Mathiopoulos</w:t>
      </w:r>
      <w:proofErr w:type="spellEnd"/>
      <w:r w:rsidRPr="00DD0C65">
        <w:rPr>
          <w:rFonts w:ascii="Times New Roman" w:hAnsi="Times New Roman" w:cs="Times New Roman"/>
        </w:rPr>
        <w:t xml:space="preserve">, I. Sasase, and T. </w:t>
      </w:r>
      <w:proofErr w:type="spellStart"/>
      <w:r w:rsidRPr="00DD0C65">
        <w:rPr>
          <w:rFonts w:ascii="Times New Roman" w:hAnsi="Times New Roman" w:cs="Times New Roman"/>
        </w:rPr>
        <w:t>Ohtsuki</w:t>
      </w:r>
      <w:proofErr w:type="spellEnd"/>
      <w:r w:rsidRPr="00DD0C65">
        <w:rPr>
          <w:rFonts w:ascii="Times New Roman" w:hAnsi="Times New Roman" w:cs="Times New Roman"/>
        </w:rPr>
        <w:t xml:space="preserve">, ‘‘A novel blockchain-based product ownership management system (POMS) for anti-counterfeits in the post supply chain,’’ IEEE Access, vol. 5, pp. 17465–17477, 2017. </w:t>
      </w:r>
    </w:p>
    <w:p w14:paraId="7ED0796D" w14:textId="761B742B"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[13] M. P. Caro, M. S. Ali, M. Vecchio, and R. </w:t>
      </w:r>
      <w:proofErr w:type="spellStart"/>
      <w:r w:rsidRPr="00DD0C65">
        <w:rPr>
          <w:rFonts w:ascii="Times New Roman" w:hAnsi="Times New Roman" w:cs="Times New Roman"/>
        </w:rPr>
        <w:t>Giaffreda</w:t>
      </w:r>
      <w:proofErr w:type="spellEnd"/>
      <w:r w:rsidRPr="00DD0C65">
        <w:rPr>
          <w:rFonts w:ascii="Times New Roman" w:hAnsi="Times New Roman" w:cs="Times New Roman"/>
        </w:rPr>
        <w:t xml:space="preserve">, ‘‘Blockchain-based traceability in agri-food supply chain management: A practical implementation,’’ in Proc. IoT Vertical Topical Summit </w:t>
      </w:r>
      <w:proofErr w:type="spellStart"/>
      <w:r w:rsidRPr="00DD0C65">
        <w:rPr>
          <w:rFonts w:ascii="Times New Roman" w:hAnsi="Times New Roman" w:cs="Times New Roman"/>
        </w:rPr>
        <w:t>Agricult</w:t>
      </w:r>
      <w:proofErr w:type="spellEnd"/>
      <w:r w:rsidRPr="00DD0C65">
        <w:rPr>
          <w:rFonts w:ascii="Times New Roman" w:hAnsi="Times New Roman" w:cs="Times New Roman"/>
        </w:rPr>
        <w:t xml:space="preserve">. Tuscany (IOT Tuscany), May 2018, pp. 1–4. </w:t>
      </w:r>
    </w:p>
    <w:p w14:paraId="121C24B9"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[14] D. Mao, F. Wang, Z. Hao, and H. Li, ‘‘Credit evaluation system based on blockchain for multiple stakeholders in the food supply chain,’’ Int. J. Environ. Res. Public Health, vol. 15, no. 8, p. 1627, Aug. 2018. </w:t>
      </w:r>
    </w:p>
    <w:p w14:paraId="53316F41"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[15] Y.-P. Lin, J. </w:t>
      </w:r>
      <w:proofErr w:type="spellStart"/>
      <w:r w:rsidRPr="00DD0C65">
        <w:rPr>
          <w:rFonts w:ascii="Times New Roman" w:hAnsi="Times New Roman" w:cs="Times New Roman"/>
        </w:rPr>
        <w:t>Petway</w:t>
      </w:r>
      <w:proofErr w:type="spellEnd"/>
      <w:r w:rsidRPr="00DD0C65">
        <w:rPr>
          <w:rFonts w:ascii="Times New Roman" w:hAnsi="Times New Roman" w:cs="Times New Roman"/>
        </w:rPr>
        <w:t xml:space="preserve">, J. Anthony, H. Mukhtar, S.-W. Liao, C.-F. Chou, and Y.-F. Ho, ‘‘Blockchain: The evolutionary next step for ICT e-agriculture,’’ Environments, vol. 4, no. 3, p. 50, Jul. 2017. </w:t>
      </w:r>
    </w:p>
    <w:p w14:paraId="7054C0BB"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[16] D. </w:t>
      </w:r>
      <w:proofErr w:type="spellStart"/>
      <w:r w:rsidRPr="00DD0C65">
        <w:rPr>
          <w:rFonts w:ascii="Times New Roman" w:hAnsi="Times New Roman" w:cs="Times New Roman"/>
        </w:rPr>
        <w:t>Tse</w:t>
      </w:r>
      <w:proofErr w:type="spellEnd"/>
      <w:r w:rsidRPr="00DD0C65">
        <w:rPr>
          <w:rFonts w:ascii="Times New Roman" w:hAnsi="Times New Roman" w:cs="Times New Roman"/>
        </w:rPr>
        <w:t xml:space="preserve">, B. Zhang, Y. Yang, C. Cheng, and H. Mu, ‘‘Blockchain application in food supply information security,’’ in Proc. IEEE Int. Conf. Ind. Eng. Eng. Manage. (IEEM), Dec. 2017, pp. 1357–1361. </w:t>
      </w:r>
    </w:p>
    <w:p w14:paraId="112880EB"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[17] S. A. </w:t>
      </w:r>
      <w:proofErr w:type="spellStart"/>
      <w:r w:rsidRPr="00DD0C65">
        <w:rPr>
          <w:rFonts w:ascii="Times New Roman" w:hAnsi="Times New Roman" w:cs="Times New Roman"/>
        </w:rPr>
        <w:t>Abeyratne</w:t>
      </w:r>
      <w:proofErr w:type="spellEnd"/>
      <w:r w:rsidRPr="00DD0C65">
        <w:rPr>
          <w:rFonts w:ascii="Times New Roman" w:hAnsi="Times New Roman" w:cs="Times New Roman"/>
        </w:rPr>
        <w:t xml:space="preserve"> and R. P. </w:t>
      </w:r>
      <w:proofErr w:type="spellStart"/>
      <w:r w:rsidRPr="00DD0C65">
        <w:rPr>
          <w:rFonts w:ascii="Times New Roman" w:hAnsi="Times New Roman" w:cs="Times New Roman"/>
        </w:rPr>
        <w:t>Monfared</w:t>
      </w:r>
      <w:proofErr w:type="spellEnd"/>
      <w:r w:rsidRPr="00DD0C65">
        <w:rPr>
          <w:rFonts w:ascii="Times New Roman" w:hAnsi="Times New Roman" w:cs="Times New Roman"/>
        </w:rPr>
        <w:t xml:space="preserve">, ‘‘Blockchain ready manufacturing supply chain using distributed ledger,’’ Int. J. Res. Eng. Technol., vol. 5, no. 9, pp. 1–10, Sep. 2016. </w:t>
      </w:r>
    </w:p>
    <w:p w14:paraId="7B7AAC03" w14:textId="3E665018"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[18] A. M. </w:t>
      </w:r>
      <w:proofErr w:type="spellStart"/>
      <w:r w:rsidRPr="00DD0C65">
        <w:rPr>
          <w:rFonts w:ascii="Times New Roman" w:hAnsi="Times New Roman" w:cs="Times New Roman"/>
        </w:rPr>
        <w:t>Ableeva</w:t>
      </w:r>
      <w:proofErr w:type="spellEnd"/>
      <w:r w:rsidRPr="00DD0C65">
        <w:rPr>
          <w:rFonts w:ascii="Times New Roman" w:hAnsi="Times New Roman" w:cs="Times New Roman"/>
        </w:rPr>
        <w:t xml:space="preserve">, G. A. </w:t>
      </w:r>
      <w:proofErr w:type="spellStart"/>
      <w:r w:rsidRPr="00DD0C65">
        <w:rPr>
          <w:rFonts w:ascii="Times New Roman" w:hAnsi="Times New Roman" w:cs="Times New Roman"/>
        </w:rPr>
        <w:t>Salimova</w:t>
      </w:r>
      <w:proofErr w:type="spellEnd"/>
      <w:r w:rsidRPr="00DD0C65">
        <w:rPr>
          <w:rFonts w:ascii="Times New Roman" w:hAnsi="Times New Roman" w:cs="Times New Roman"/>
        </w:rPr>
        <w:t xml:space="preserve">, N. T. </w:t>
      </w:r>
      <w:proofErr w:type="spellStart"/>
      <w:r w:rsidRPr="00DD0C65">
        <w:rPr>
          <w:rFonts w:ascii="Times New Roman" w:hAnsi="Times New Roman" w:cs="Times New Roman"/>
        </w:rPr>
        <w:t>Rafikova</w:t>
      </w:r>
      <w:proofErr w:type="spellEnd"/>
      <w:r w:rsidRPr="00DD0C65">
        <w:rPr>
          <w:rFonts w:ascii="Times New Roman" w:hAnsi="Times New Roman" w:cs="Times New Roman"/>
        </w:rPr>
        <w:t xml:space="preserve">, I. I. </w:t>
      </w:r>
      <w:proofErr w:type="spellStart"/>
      <w:r w:rsidRPr="00DD0C65">
        <w:rPr>
          <w:rFonts w:ascii="Times New Roman" w:hAnsi="Times New Roman" w:cs="Times New Roman"/>
        </w:rPr>
        <w:t>Fazrahmanov</w:t>
      </w:r>
      <w:proofErr w:type="spellEnd"/>
      <w:r w:rsidRPr="00DD0C65">
        <w:rPr>
          <w:rFonts w:ascii="Times New Roman" w:hAnsi="Times New Roman" w:cs="Times New Roman"/>
        </w:rPr>
        <w:t xml:space="preserve">, Z. A. </w:t>
      </w:r>
      <w:proofErr w:type="spellStart"/>
      <w:r w:rsidRPr="00DD0C65">
        <w:rPr>
          <w:rFonts w:ascii="Times New Roman" w:hAnsi="Times New Roman" w:cs="Times New Roman"/>
        </w:rPr>
        <w:t>Zalilova</w:t>
      </w:r>
      <w:proofErr w:type="spellEnd"/>
      <w:r w:rsidRPr="00DD0C65">
        <w:rPr>
          <w:rFonts w:ascii="Times New Roman" w:hAnsi="Times New Roman" w:cs="Times New Roman"/>
        </w:rPr>
        <w:t xml:space="preserve">, T. N. </w:t>
      </w:r>
      <w:proofErr w:type="spellStart"/>
      <w:r w:rsidRPr="00DD0C65">
        <w:rPr>
          <w:rFonts w:ascii="Times New Roman" w:hAnsi="Times New Roman" w:cs="Times New Roman"/>
        </w:rPr>
        <w:t>Lubova</w:t>
      </w:r>
      <w:proofErr w:type="spellEnd"/>
      <w:r w:rsidRPr="00DD0C65">
        <w:rPr>
          <w:rFonts w:ascii="Times New Roman" w:hAnsi="Times New Roman" w:cs="Times New Roman"/>
        </w:rPr>
        <w:t xml:space="preserve">, G. R. </w:t>
      </w:r>
      <w:proofErr w:type="spellStart"/>
      <w:r w:rsidRPr="00DD0C65">
        <w:rPr>
          <w:rFonts w:ascii="Times New Roman" w:hAnsi="Times New Roman" w:cs="Times New Roman"/>
        </w:rPr>
        <w:t>Nigmatullina</w:t>
      </w:r>
      <w:proofErr w:type="spellEnd"/>
      <w:r w:rsidRPr="00DD0C65">
        <w:rPr>
          <w:rFonts w:ascii="Times New Roman" w:hAnsi="Times New Roman" w:cs="Times New Roman"/>
        </w:rPr>
        <w:t xml:space="preserve">, I. N. </w:t>
      </w:r>
      <w:proofErr w:type="spellStart"/>
      <w:r w:rsidRPr="00DD0C65">
        <w:rPr>
          <w:rFonts w:ascii="Times New Roman" w:hAnsi="Times New Roman" w:cs="Times New Roman"/>
        </w:rPr>
        <w:t>Girfanova</w:t>
      </w:r>
      <w:proofErr w:type="spellEnd"/>
      <w:r w:rsidRPr="00DD0C65">
        <w:rPr>
          <w:rFonts w:ascii="Times New Roman" w:hAnsi="Times New Roman" w:cs="Times New Roman"/>
        </w:rPr>
        <w:t xml:space="preserve">, F. F. </w:t>
      </w:r>
      <w:proofErr w:type="spellStart"/>
      <w:r w:rsidRPr="00DD0C65">
        <w:rPr>
          <w:rFonts w:ascii="Times New Roman" w:hAnsi="Times New Roman" w:cs="Times New Roman"/>
        </w:rPr>
        <w:t>Farrakhova</w:t>
      </w:r>
      <w:proofErr w:type="spellEnd"/>
      <w:r w:rsidRPr="00DD0C65">
        <w:rPr>
          <w:rFonts w:ascii="Times New Roman" w:hAnsi="Times New Roman" w:cs="Times New Roman"/>
        </w:rPr>
        <w:t xml:space="preserve">, and A. M. </w:t>
      </w:r>
      <w:proofErr w:type="spellStart"/>
      <w:r w:rsidRPr="00DD0C65">
        <w:rPr>
          <w:rFonts w:ascii="Times New Roman" w:hAnsi="Times New Roman" w:cs="Times New Roman"/>
        </w:rPr>
        <w:t>Hazieva</w:t>
      </w:r>
      <w:proofErr w:type="spellEnd"/>
      <w:r w:rsidRPr="00DD0C65">
        <w:rPr>
          <w:rFonts w:ascii="Times New Roman" w:hAnsi="Times New Roman" w:cs="Times New Roman"/>
        </w:rPr>
        <w:t xml:space="preserve">, ‘‘Economic evaluation of the efficiency of supply chain management in agricultural production based on multidimensional research methods,’’ Int. J. Supply Chain Manage., vol. 8, no. 1, p. 328, 2019. </w:t>
      </w:r>
    </w:p>
    <w:p w14:paraId="468D9FAA" w14:textId="2B3C2BBA"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[19] J. A. O. Castro and W. A. </w:t>
      </w:r>
      <w:proofErr w:type="spellStart"/>
      <w:r w:rsidRPr="00DD0C65">
        <w:rPr>
          <w:rFonts w:ascii="Times New Roman" w:hAnsi="Times New Roman" w:cs="Times New Roman"/>
        </w:rPr>
        <w:t>Jaimes</w:t>
      </w:r>
      <w:proofErr w:type="spellEnd"/>
      <w:r w:rsidRPr="00DD0C65">
        <w:rPr>
          <w:rFonts w:ascii="Times New Roman" w:hAnsi="Times New Roman" w:cs="Times New Roman"/>
        </w:rPr>
        <w:t xml:space="preserve">, ‘‘Dynamic impact of the structure of the supply chain of perishable foods on logistics performance and food security,’’ J. Ind. Eng. Manage., vol. 10, no. 4, pp. 687–710, 2017. </w:t>
      </w:r>
    </w:p>
    <w:p w14:paraId="3E528D9B"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[20] M. I. </w:t>
      </w:r>
      <w:proofErr w:type="spellStart"/>
      <w:r w:rsidRPr="00DD0C65">
        <w:rPr>
          <w:rFonts w:ascii="Times New Roman" w:hAnsi="Times New Roman" w:cs="Times New Roman"/>
        </w:rPr>
        <w:t>Shongwe</w:t>
      </w:r>
      <w:proofErr w:type="spellEnd"/>
      <w:r w:rsidRPr="00DD0C65">
        <w:rPr>
          <w:rFonts w:ascii="Times New Roman" w:hAnsi="Times New Roman" w:cs="Times New Roman"/>
        </w:rPr>
        <w:t xml:space="preserve"> and C. N. Bezuidenhout, ‘‘A heuristic for the selection of appropriate diagnostic tools in large-scale sugarcane supply systems,’’ AIMS </w:t>
      </w:r>
      <w:proofErr w:type="spellStart"/>
      <w:r w:rsidRPr="00DD0C65">
        <w:rPr>
          <w:rFonts w:ascii="Times New Roman" w:hAnsi="Times New Roman" w:cs="Times New Roman"/>
        </w:rPr>
        <w:t>Agricult</w:t>
      </w:r>
      <w:proofErr w:type="spellEnd"/>
      <w:r w:rsidRPr="00DD0C65">
        <w:rPr>
          <w:rFonts w:ascii="Times New Roman" w:hAnsi="Times New Roman" w:cs="Times New Roman"/>
        </w:rPr>
        <w:t xml:space="preserve">. Food, vol. 4, no. 1, pp. 1–26, 2019. </w:t>
      </w:r>
    </w:p>
    <w:p w14:paraId="66011D1F" w14:textId="22297362"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[21] A. Dwivedi, A. Jha, D. Prajapati, N. </w:t>
      </w:r>
      <w:proofErr w:type="spellStart"/>
      <w:r w:rsidRPr="00DD0C65">
        <w:rPr>
          <w:rFonts w:ascii="Times New Roman" w:hAnsi="Times New Roman" w:cs="Times New Roman"/>
        </w:rPr>
        <w:t>Sreenu</w:t>
      </w:r>
      <w:proofErr w:type="spellEnd"/>
      <w:r w:rsidRPr="00DD0C65">
        <w:rPr>
          <w:rFonts w:ascii="Times New Roman" w:hAnsi="Times New Roman" w:cs="Times New Roman"/>
        </w:rPr>
        <w:t xml:space="preserve">, and S. Pratap, ‘‘Meta-heuristic algorithms for solving the sustainable </w:t>
      </w:r>
      <w:proofErr w:type="spellStart"/>
      <w:r w:rsidRPr="00DD0C65">
        <w:rPr>
          <w:rFonts w:ascii="Times New Roman" w:hAnsi="Times New Roman" w:cs="Times New Roman"/>
        </w:rPr>
        <w:t>agro</w:t>
      </w:r>
      <w:proofErr w:type="spellEnd"/>
      <w:r w:rsidRPr="00DD0C65">
        <w:rPr>
          <w:rFonts w:ascii="Times New Roman" w:hAnsi="Times New Roman" w:cs="Times New Roman"/>
        </w:rPr>
        <w:t xml:space="preserve">-food grain supply chain network design problem,’’ Modern Supply Chain Res. Appl., vol. 2, no. 3, pp. 161–177, Nov. 2020. </w:t>
      </w:r>
    </w:p>
    <w:p w14:paraId="1893E9F8" w14:textId="2DAB5D5D"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[22] Y. </w:t>
      </w:r>
      <w:proofErr w:type="spellStart"/>
      <w:r w:rsidRPr="00DD0C65">
        <w:rPr>
          <w:rFonts w:ascii="Times New Roman" w:hAnsi="Times New Roman" w:cs="Times New Roman"/>
        </w:rPr>
        <w:t>Kocaoglu</w:t>
      </w:r>
      <w:proofErr w:type="spellEnd"/>
      <w:r w:rsidRPr="00DD0C65">
        <w:rPr>
          <w:rFonts w:ascii="Times New Roman" w:hAnsi="Times New Roman" w:cs="Times New Roman"/>
        </w:rPr>
        <w:t xml:space="preserve">, E. </w:t>
      </w:r>
      <w:proofErr w:type="spellStart"/>
      <w:r w:rsidRPr="00DD0C65">
        <w:rPr>
          <w:rFonts w:ascii="Times New Roman" w:hAnsi="Times New Roman" w:cs="Times New Roman"/>
        </w:rPr>
        <w:t>Cakmak</w:t>
      </w:r>
      <w:proofErr w:type="spellEnd"/>
      <w:r w:rsidRPr="00DD0C65">
        <w:rPr>
          <w:rFonts w:ascii="Times New Roman" w:hAnsi="Times New Roman" w:cs="Times New Roman"/>
        </w:rPr>
        <w:t xml:space="preserve">, B. </w:t>
      </w:r>
      <w:proofErr w:type="spellStart"/>
      <w:r w:rsidRPr="00DD0C65">
        <w:rPr>
          <w:rFonts w:ascii="Times New Roman" w:hAnsi="Times New Roman" w:cs="Times New Roman"/>
        </w:rPr>
        <w:t>Kocaoglu</w:t>
      </w:r>
      <w:proofErr w:type="spellEnd"/>
      <w:r w:rsidRPr="00DD0C65">
        <w:rPr>
          <w:rFonts w:ascii="Times New Roman" w:hAnsi="Times New Roman" w:cs="Times New Roman"/>
        </w:rPr>
        <w:t xml:space="preserve">, and A. T. </w:t>
      </w:r>
      <w:proofErr w:type="spellStart"/>
      <w:r w:rsidRPr="00DD0C65">
        <w:rPr>
          <w:rFonts w:ascii="Times New Roman" w:hAnsi="Times New Roman" w:cs="Times New Roman"/>
        </w:rPr>
        <w:t>Gumus</w:t>
      </w:r>
      <w:proofErr w:type="spellEnd"/>
      <w:r w:rsidRPr="00DD0C65">
        <w:rPr>
          <w:rFonts w:ascii="Times New Roman" w:hAnsi="Times New Roman" w:cs="Times New Roman"/>
        </w:rPr>
        <w:t xml:space="preserve">, ‘‘A novel approach for optimizing the supply chain: A heuristic-based hybrid algorithm,’’ Math. Problems Eng., vol. 2020, pp. 1–24, Feb. 2020. </w:t>
      </w:r>
    </w:p>
    <w:p w14:paraId="3A1242C1"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lastRenderedPageBreak/>
        <w:t xml:space="preserve">[23] D. </w:t>
      </w:r>
      <w:proofErr w:type="spellStart"/>
      <w:r w:rsidRPr="00DD0C65">
        <w:rPr>
          <w:rFonts w:ascii="Times New Roman" w:hAnsi="Times New Roman" w:cs="Times New Roman"/>
        </w:rPr>
        <w:t>Battini</w:t>
      </w:r>
      <w:proofErr w:type="spellEnd"/>
      <w:r w:rsidRPr="00DD0C65">
        <w:rPr>
          <w:rFonts w:ascii="Times New Roman" w:hAnsi="Times New Roman" w:cs="Times New Roman"/>
        </w:rPr>
        <w:t xml:space="preserve">, A. Gunasekaran, M. </w:t>
      </w:r>
      <w:proofErr w:type="spellStart"/>
      <w:r w:rsidRPr="00DD0C65">
        <w:rPr>
          <w:rFonts w:ascii="Times New Roman" w:hAnsi="Times New Roman" w:cs="Times New Roman"/>
        </w:rPr>
        <w:t>Faccio</w:t>
      </w:r>
      <w:proofErr w:type="spellEnd"/>
      <w:r w:rsidRPr="00DD0C65">
        <w:rPr>
          <w:rFonts w:ascii="Times New Roman" w:hAnsi="Times New Roman" w:cs="Times New Roman"/>
        </w:rPr>
        <w:t xml:space="preserve">, A. Persona, and F. </w:t>
      </w:r>
      <w:proofErr w:type="spellStart"/>
      <w:r w:rsidRPr="00DD0C65">
        <w:rPr>
          <w:rFonts w:ascii="Times New Roman" w:hAnsi="Times New Roman" w:cs="Times New Roman"/>
        </w:rPr>
        <w:t>Sgarbossa</w:t>
      </w:r>
      <w:proofErr w:type="spellEnd"/>
      <w:r w:rsidRPr="00DD0C65">
        <w:rPr>
          <w:rFonts w:ascii="Times New Roman" w:hAnsi="Times New Roman" w:cs="Times New Roman"/>
        </w:rPr>
        <w:t>, ‘‘Consignment stock inventory model in an integrated supply chain,’’ Int. J. Prod. Res., vol. 48, no. 2, pp. 477–500, Jan. 2010.</w:t>
      </w:r>
      <w:r w:rsidRPr="00DD0C65">
        <w:rPr>
          <w:rFonts w:ascii="Times New Roman" w:hAnsi="Times New Roman" w:cs="Times New Roman"/>
        </w:rPr>
        <w:t xml:space="preserve"> </w:t>
      </w:r>
    </w:p>
    <w:p w14:paraId="7C0DD7EF"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[24] A. </w:t>
      </w:r>
      <w:proofErr w:type="spellStart"/>
      <w:r w:rsidRPr="00DD0C65">
        <w:rPr>
          <w:rFonts w:ascii="Times New Roman" w:hAnsi="Times New Roman" w:cs="Times New Roman"/>
        </w:rPr>
        <w:t>Samadi</w:t>
      </w:r>
      <w:proofErr w:type="spellEnd"/>
      <w:r w:rsidRPr="00DD0C65">
        <w:rPr>
          <w:rFonts w:ascii="Times New Roman" w:hAnsi="Times New Roman" w:cs="Times New Roman"/>
        </w:rPr>
        <w:t xml:space="preserve">, N. </w:t>
      </w:r>
      <w:proofErr w:type="spellStart"/>
      <w:r w:rsidRPr="00DD0C65">
        <w:rPr>
          <w:rFonts w:ascii="Times New Roman" w:hAnsi="Times New Roman" w:cs="Times New Roman"/>
        </w:rPr>
        <w:t>Mehranfar</w:t>
      </w:r>
      <w:proofErr w:type="spellEnd"/>
      <w:r w:rsidRPr="00DD0C65">
        <w:rPr>
          <w:rFonts w:ascii="Times New Roman" w:hAnsi="Times New Roman" w:cs="Times New Roman"/>
        </w:rPr>
        <w:t xml:space="preserve">, A. M. F. </w:t>
      </w:r>
      <w:proofErr w:type="spellStart"/>
      <w:r w:rsidRPr="00DD0C65">
        <w:rPr>
          <w:rFonts w:ascii="Times New Roman" w:hAnsi="Times New Roman" w:cs="Times New Roman"/>
        </w:rPr>
        <w:t>Fard</w:t>
      </w:r>
      <w:proofErr w:type="spellEnd"/>
      <w:r w:rsidRPr="00DD0C65">
        <w:rPr>
          <w:rFonts w:ascii="Times New Roman" w:hAnsi="Times New Roman" w:cs="Times New Roman"/>
        </w:rPr>
        <w:t xml:space="preserve">, and M. </w:t>
      </w:r>
      <w:proofErr w:type="spellStart"/>
      <w:r w:rsidRPr="00DD0C65">
        <w:rPr>
          <w:rFonts w:ascii="Times New Roman" w:hAnsi="Times New Roman" w:cs="Times New Roman"/>
        </w:rPr>
        <w:t>Hajiaghaei-Keshteli</w:t>
      </w:r>
      <w:proofErr w:type="spellEnd"/>
      <w:r w:rsidRPr="00DD0C65">
        <w:rPr>
          <w:rFonts w:ascii="Times New Roman" w:hAnsi="Times New Roman" w:cs="Times New Roman"/>
        </w:rPr>
        <w:t xml:space="preserve">, ‘‘Heuristic-based metaheuristics to address a sustainable supply chain network design problem,’’ J. Ind. Prod. Eng., vol. 35, no. 2, pp. 102–117, Feb. 2018. </w:t>
      </w:r>
    </w:p>
    <w:p w14:paraId="3F497E3E"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[25] M. A. N. Agi, S. </w:t>
      </w:r>
      <w:proofErr w:type="spellStart"/>
      <w:r w:rsidRPr="00DD0C65">
        <w:rPr>
          <w:rFonts w:ascii="Times New Roman" w:hAnsi="Times New Roman" w:cs="Times New Roman"/>
        </w:rPr>
        <w:t>Faramarzi-Oghani</w:t>
      </w:r>
      <w:proofErr w:type="spellEnd"/>
      <w:r w:rsidRPr="00DD0C65">
        <w:rPr>
          <w:rFonts w:ascii="Times New Roman" w:hAnsi="Times New Roman" w:cs="Times New Roman"/>
        </w:rPr>
        <w:t xml:space="preserve">, and Ö. </w:t>
      </w:r>
      <w:proofErr w:type="spellStart"/>
      <w:r w:rsidRPr="00DD0C65">
        <w:rPr>
          <w:rFonts w:ascii="Times New Roman" w:hAnsi="Times New Roman" w:cs="Times New Roman"/>
        </w:rPr>
        <w:t>Hazır</w:t>
      </w:r>
      <w:proofErr w:type="spellEnd"/>
      <w:r w:rsidRPr="00DD0C65">
        <w:rPr>
          <w:rFonts w:ascii="Times New Roman" w:hAnsi="Times New Roman" w:cs="Times New Roman"/>
        </w:rPr>
        <w:t xml:space="preserve">, ‘‘Game theory-based models in green supply chain management: A review of the literature,’’ Int. J. Prod. Res., pp. 1–20, Jun. 2020, </w:t>
      </w:r>
      <w:proofErr w:type="spellStart"/>
      <w:r w:rsidRPr="00DD0C65">
        <w:rPr>
          <w:rFonts w:ascii="Times New Roman" w:hAnsi="Times New Roman" w:cs="Times New Roman"/>
        </w:rPr>
        <w:t>doi</w:t>
      </w:r>
      <w:proofErr w:type="spellEnd"/>
      <w:r w:rsidRPr="00DD0C65">
        <w:rPr>
          <w:rFonts w:ascii="Times New Roman" w:hAnsi="Times New Roman" w:cs="Times New Roman"/>
        </w:rPr>
        <w:t xml:space="preserve">: 10.1080/00207543.2020.1770893. </w:t>
      </w:r>
    </w:p>
    <w:p w14:paraId="3068A142"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[26] A. Raj, I. Biswas, and S. K. Srivastava, ‘‘Designing supply contracts for the sustainable supply chain using game theory,’’ J. Cleaner Prod., vol. 185, pp. 275–284, Jun. 2018. </w:t>
      </w:r>
    </w:p>
    <w:p w14:paraId="336ED65E"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[27] K. </w:t>
      </w:r>
      <w:proofErr w:type="spellStart"/>
      <w:r w:rsidRPr="00DD0C65">
        <w:rPr>
          <w:rFonts w:ascii="Times New Roman" w:hAnsi="Times New Roman" w:cs="Times New Roman"/>
        </w:rPr>
        <w:t>Halat</w:t>
      </w:r>
      <w:proofErr w:type="spellEnd"/>
      <w:r w:rsidRPr="00DD0C65">
        <w:rPr>
          <w:rFonts w:ascii="Times New Roman" w:hAnsi="Times New Roman" w:cs="Times New Roman"/>
        </w:rPr>
        <w:t xml:space="preserve"> and A. </w:t>
      </w:r>
      <w:proofErr w:type="spellStart"/>
      <w:r w:rsidRPr="00DD0C65">
        <w:rPr>
          <w:rFonts w:ascii="Times New Roman" w:hAnsi="Times New Roman" w:cs="Times New Roman"/>
        </w:rPr>
        <w:t>Hafezalkotob</w:t>
      </w:r>
      <w:proofErr w:type="spellEnd"/>
      <w:r w:rsidRPr="00DD0C65">
        <w:rPr>
          <w:rFonts w:ascii="Times New Roman" w:hAnsi="Times New Roman" w:cs="Times New Roman"/>
        </w:rPr>
        <w:t xml:space="preserve">, ‘‘Modeling carbon regulation policies in inventory decisions of a multi-stage green supply chain: A game theory approach,’’ </w:t>
      </w:r>
      <w:proofErr w:type="spellStart"/>
      <w:r w:rsidRPr="00DD0C65">
        <w:rPr>
          <w:rFonts w:ascii="Times New Roman" w:hAnsi="Times New Roman" w:cs="Times New Roman"/>
        </w:rPr>
        <w:t>Comput</w:t>
      </w:r>
      <w:proofErr w:type="spellEnd"/>
      <w:r w:rsidRPr="00DD0C65">
        <w:rPr>
          <w:rFonts w:ascii="Times New Roman" w:hAnsi="Times New Roman" w:cs="Times New Roman"/>
        </w:rPr>
        <w:t xml:space="preserve">. Ind. Eng., vol. 128, pp. 807–830, Feb. 2019. </w:t>
      </w:r>
    </w:p>
    <w:p w14:paraId="505798AA"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[28] N. N. </w:t>
      </w:r>
      <w:proofErr w:type="spellStart"/>
      <w:r w:rsidRPr="00DD0C65">
        <w:rPr>
          <w:rFonts w:ascii="Times New Roman" w:hAnsi="Times New Roman" w:cs="Times New Roman"/>
        </w:rPr>
        <w:t>Vasnani</w:t>
      </w:r>
      <w:proofErr w:type="spellEnd"/>
      <w:r w:rsidRPr="00DD0C65">
        <w:rPr>
          <w:rFonts w:ascii="Times New Roman" w:hAnsi="Times New Roman" w:cs="Times New Roman"/>
        </w:rPr>
        <w:t xml:space="preserve">, F. L. S. Chua, L. A. Ocampo, and L. B. M. </w:t>
      </w:r>
      <w:proofErr w:type="spellStart"/>
      <w:r w:rsidRPr="00DD0C65">
        <w:rPr>
          <w:rFonts w:ascii="Times New Roman" w:hAnsi="Times New Roman" w:cs="Times New Roman"/>
        </w:rPr>
        <w:t>Pacio</w:t>
      </w:r>
      <w:proofErr w:type="spellEnd"/>
      <w:r w:rsidRPr="00DD0C65">
        <w:rPr>
          <w:rFonts w:ascii="Times New Roman" w:hAnsi="Times New Roman" w:cs="Times New Roman"/>
        </w:rPr>
        <w:t xml:space="preserve">, ‘‘Game theory in supply chain management: Current trends and applications,’’ Int. J. Appl. </w:t>
      </w:r>
      <w:proofErr w:type="spellStart"/>
      <w:r w:rsidRPr="00DD0C65">
        <w:rPr>
          <w:rFonts w:ascii="Times New Roman" w:hAnsi="Times New Roman" w:cs="Times New Roman"/>
        </w:rPr>
        <w:t>Decis</w:t>
      </w:r>
      <w:proofErr w:type="spellEnd"/>
      <w:r w:rsidRPr="00DD0C65">
        <w:rPr>
          <w:rFonts w:ascii="Times New Roman" w:hAnsi="Times New Roman" w:cs="Times New Roman"/>
        </w:rPr>
        <w:t xml:space="preserve">. Sci., vol. 12, no. 1, pp. 56–97, 2019. </w:t>
      </w:r>
    </w:p>
    <w:p w14:paraId="5023E0F8"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[29] D. Ivanov, S. Sethi, A. </w:t>
      </w:r>
      <w:proofErr w:type="spellStart"/>
      <w:r w:rsidRPr="00DD0C65">
        <w:rPr>
          <w:rFonts w:ascii="Times New Roman" w:hAnsi="Times New Roman" w:cs="Times New Roman"/>
        </w:rPr>
        <w:t>Dolgui</w:t>
      </w:r>
      <w:proofErr w:type="spellEnd"/>
      <w:r w:rsidRPr="00DD0C65">
        <w:rPr>
          <w:rFonts w:ascii="Times New Roman" w:hAnsi="Times New Roman" w:cs="Times New Roman"/>
        </w:rPr>
        <w:t xml:space="preserve">, and B. Sokolov, ‘‘A survey on control theory applications to operational systems, supply chain management, and industry 4.0,’’ </w:t>
      </w:r>
      <w:proofErr w:type="spellStart"/>
      <w:r w:rsidRPr="00DD0C65">
        <w:rPr>
          <w:rFonts w:ascii="Times New Roman" w:hAnsi="Times New Roman" w:cs="Times New Roman"/>
        </w:rPr>
        <w:t>Annu</w:t>
      </w:r>
      <w:proofErr w:type="spellEnd"/>
      <w:r w:rsidRPr="00DD0C65">
        <w:rPr>
          <w:rFonts w:ascii="Times New Roman" w:hAnsi="Times New Roman" w:cs="Times New Roman"/>
        </w:rPr>
        <w:t xml:space="preserve">. Rev. Control, vol. 46, pp. 134–147, Jan. 2018. </w:t>
      </w:r>
    </w:p>
    <w:p w14:paraId="72BFE954"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[30] Z. Wu and D. Chen, ‘‘New optimal-control-based advertising strategies and coordination of a supply chain with differentiated products under consignment contract,’’ IEEE Access, vol. 7, pp. 170703–170714, 2019. </w:t>
      </w:r>
    </w:p>
    <w:p w14:paraId="5BE410C3" w14:textId="658EADB8"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[31] W. Zhao and D. Wang, ‘‘Simulation-based optimization on control strategies of three-echelon inventory in hybrid supply chain with order uncertainty,’’ IEEE Access, vol. 6, pp. 54215–54223, 2018. </w:t>
      </w:r>
    </w:p>
    <w:p w14:paraId="0F950047"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[32] V. L. M. </w:t>
      </w:r>
      <w:proofErr w:type="spellStart"/>
      <w:r w:rsidRPr="00DD0C65">
        <w:rPr>
          <w:rFonts w:ascii="Times New Roman" w:hAnsi="Times New Roman" w:cs="Times New Roman"/>
        </w:rPr>
        <w:t>Spiegler</w:t>
      </w:r>
      <w:proofErr w:type="spellEnd"/>
      <w:r w:rsidRPr="00DD0C65">
        <w:rPr>
          <w:rFonts w:ascii="Times New Roman" w:hAnsi="Times New Roman" w:cs="Times New Roman"/>
        </w:rPr>
        <w:t xml:space="preserve">, A. T. Potter, M. M. </w:t>
      </w:r>
      <w:proofErr w:type="spellStart"/>
      <w:r w:rsidRPr="00DD0C65">
        <w:rPr>
          <w:rFonts w:ascii="Times New Roman" w:hAnsi="Times New Roman" w:cs="Times New Roman"/>
        </w:rPr>
        <w:t>Naim</w:t>
      </w:r>
      <w:proofErr w:type="spellEnd"/>
      <w:r w:rsidRPr="00DD0C65">
        <w:rPr>
          <w:rFonts w:ascii="Times New Roman" w:hAnsi="Times New Roman" w:cs="Times New Roman"/>
        </w:rPr>
        <w:t xml:space="preserve">, and D. R. </w:t>
      </w:r>
      <w:proofErr w:type="spellStart"/>
      <w:r w:rsidRPr="00DD0C65">
        <w:rPr>
          <w:rFonts w:ascii="Times New Roman" w:hAnsi="Times New Roman" w:cs="Times New Roman"/>
        </w:rPr>
        <w:t>Towill</w:t>
      </w:r>
      <w:proofErr w:type="spellEnd"/>
      <w:r w:rsidRPr="00DD0C65">
        <w:rPr>
          <w:rFonts w:ascii="Times New Roman" w:hAnsi="Times New Roman" w:cs="Times New Roman"/>
        </w:rPr>
        <w:t xml:space="preserve">, ‘‘The value of nonlinear control theory in investigating the underlying dynamics and resilience of a grocery supply chain,’’ Int. J. Prod. Res., vol. 54, no. 1, pp. 265–286, Jan. 2016. </w:t>
      </w:r>
    </w:p>
    <w:p w14:paraId="27CC0B7C"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[33] R. S. Sutton and A. G. </w:t>
      </w:r>
      <w:proofErr w:type="spellStart"/>
      <w:r w:rsidRPr="00DD0C65">
        <w:rPr>
          <w:rFonts w:ascii="Times New Roman" w:hAnsi="Times New Roman" w:cs="Times New Roman"/>
        </w:rPr>
        <w:t>Barto</w:t>
      </w:r>
      <w:proofErr w:type="spellEnd"/>
      <w:r w:rsidRPr="00DD0C65">
        <w:rPr>
          <w:rFonts w:ascii="Times New Roman" w:hAnsi="Times New Roman" w:cs="Times New Roman"/>
        </w:rPr>
        <w:t xml:space="preserve">, Reinforcement Learning: An Introduction. Cambridge, MA, USA: MIT Press, 2018. </w:t>
      </w:r>
    </w:p>
    <w:p w14:paraId="32F1CC4F"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lastRenderedPageBreak/>
        <w:t xml:space="preserve">[34] P. </w:t>
      </w:r>
      <w:proofErr w:type="spellStart"/>
      <w:r w:rsidRPr="00DD0C65">
        <w:rPr>
          <w:rFonts w:ascii="Times New Roman" w:hAnsi="Times New Roman" w:cs="Times New Roman"/>
        </w:rPr>
        <w:t>Jinqi</w:t>
      </w:r>
      <w:proofErr w:type="spellEnd"/>
      <w:r w:rsidRPr="00DD0C65">
        <w:rPr>
          <w:rFonts w:ascii="Times New Roman" w:hAnsi="Times New Roman" w:cs="Times New Roman"/>
        </w:rPr>
        <w:t xml:space="preserve">, P. </w:t>
      </w:r>
      <w:proofErr w:type="spellStart"/>
      <w:r w:rsidRPr="00DD0C65">
        <w:rPr>
          <w:rFonts w:ascii="Times New Roman" w:hAnsi="Times New Roman" w:cs="Times New Roman"/>
        </w:rPr>
        <w:t>Taiyang</w:t>
      </w:r>
      <w:proofErr w:type="spellEnd"/>
      <w:r w:rsidRPr="00DD0C65">
        <w:rPr>
          <w:rFonts w:ascii="Times New Roman" w:hAnsi="Times New Roman" w:cs="Times New Roman"/>
        </w:rPr>
        <w:t xml:space="preserve">, and R. Lei, ‘‘The supply chain network on cloud </w:t>
      </w:r>
      <w:proofErr w:type="spellStart"/>
      <w:r w:rsidRPr="00DD0C65">
        <w:rPr>
          <w:rFonts w:ascii="Times New Roman" w:hAnsi="Times New Roman" w:cs="Times New Roman"/>
        </w:rPr>
        <w:t>manu</w:t>
      </w:r>
      <w:proofErr w:type="spellEnd"/>
      <w:r w:rsidRPr="00DD0C65">
        <w:rPr>
          <w:rFonts w:ascii="Times New Roman" w:hAnsi="Times New Roman" w:cs="Times New Roman"/>
        </w:rPr>
        <w:t/>
      </w:r>
      <w:proofErr w:type="spellStart"/>
      <w:r w:rsidRPr="00DD0C65">
        <w:rPr>
          <w:rFonts w:ascii="Times New Roman" w:hAnsi="Times New Roman" w:cs="Times New Roman"/>
        </w:rPr>
        <w:t>facturing</w:t>
      </w:r>
      <w:proofErr w:type="spellEnd"/>
      <w:r w:rsidRPr="00DD0C65">
        <w:rPr>
          <w:rFonts w:ascii="Times New Roman" w:hAnsi="Times New Roman" w:cs="Times New Roman"/>
        </w:rPr>
        <w:t xml:space="preserve"> environment based on COIN model with Q-learning algorithm,’’ in Proc. 5th Int. Conf. Enterprise Syst. (ES), Sep. 2017, pp. 52–57. </w:t>
      </w:r>
    </w:p>
    <w:p w14:paraId="53868920"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[35] L. </w:t>
      </w:r>
      <w:proofErr w:type="spellStart"/>
      <w:r w:rsidRPr="00DD0C65">
        <w:rPr>
          <w:rFonts w:ascii="Times New Roman" w:hAnsi="Times New Roman" w:cs="Times New Roman"/>
        </w:rPr>
        <w:t>Kemmer</w:t>
      </w:r>
      <w:proofErr w:type="spellEnd"/>
      <w:r w:rsidRPr="00DD0C65">
        <w:rPr>
          <w:rFonts w:ascii="Times New Roman" w:hAnsi="Times New Roman" w:cs="Times New Roman"/>
        </w:rPr>
        <w:t xml:space="preserve">, H. von Kleist, D. de </w:t>
      </w:r>
      <w:proofErr w:type="spellStart"/>
      <w:r w:rsidRPr="00DD0C65">
        <w:rPr>
          <w:rFonts w:ascii="Times New Roman" w:hAnsi="Times New Roman" w:cs="Times New Roman"/>
        </w:rPr>
        <w:t>Rochebouët</w:t>
      </w:r>
      <w:proofErr w:type="spellEnd"/>
      <w:r w:rsidRPr="00DD0C65">
        <w:rPr>
          <w:rFonts w:ascii="Times New Roman" w:hAnsi="Times New Roman" w:cs="Times New Roman"/>
        </w:rPr>
        <w:t xml:space="preserve">, N. </w:t>
      </w:r>
      <w:proofErr w:type="spellStart"/>
      <w:r w:rsidRPr="00DD0C65">
        <w:rPr>
          <w:rFonts w:ascii="Times New Roman" w:hAnsi="Times New Roman" w:cs="Times New Roman"/>
        </w:rPr>
        <w:t>Tziortziotis</w:t>
      </w:r>
      <w:proofErr w:type="spellEnd"/>
      <w:r w:rsidRPr="00DD0C65">
        <w:rPr>
          <w:rFonts w:ascii="Times New Roman" w:hAnsi="Times New Roman" w:cs="Times New Roman"/>
        </w:rPr>
        <w:t xml:space="preserve">, and J. Read, ‘‘Reinforcement learning for supply chain optimization,’’ in Proc. Eur. Workshop Reinforcement Learn., 2018, pp. 1–9. </w:t>
      </w:r>
    </w:p>
    <w:p w14:paraId="2E19D0E0"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[36] A. Habib, M. I. Khan, and J. Uddin, ‘‘Optimal route selection in complex multi-stage supply chain networks using SARSA(λ),’’ in Proc. 19th Int. Conf. </w:t>
      </w:r>
      <w:proofErr w:type="spellStart"/>
      <w:r w:rsidRPr="00DD0C65">
        <w:rPr>
          <w:rFonts w:ascii="Times New Roman" w:hAnsi="Times New Roman" w:cs="Times New Roman"/>
        </w:rPr>
        <w:t>Comput</w:t>
      </w:r>
      <w:proofErr w:type="spellEnd"/>
      <w:r w:rsidRPr="00DD0C65">
        <w:rPr>
          <w:rFonts w:ascii="Times New Roman" w:hAnsi="Times New Roman" w:cs="Times New Roman"/>
        </w:rPr>
        <w:t xml:space="preserve">. Inf. Technol. (ICCIT), Dec. 2016, pp. 170–175. </w:t>
      </w:r>
    </w:p>
    <w:p w14:paraId="4EFBC669"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[37] V. </w:t>
      </w:r>
      <w:proofErr w:type="spellStart"/>
      <w:r w:rsidRPr="00DD0C65">
        <w:rPr>
          <w:rFonts w:ascii="Times New Roman" w:hAnsi="Times New Roman" w:cs="Times New Roman"/>
        </w:rPr>
        <w:t>Mnih</w:t>
      </w:r>
      <w:proofErr w:type="spellEnd"/>
      <w:r w:rsidRPr="00DD0C65">
        <w:rPr>
          <w:rFonts w:ascii="Times New Roman" w:hAnsi="Times New Roman" w:cs="Times New Roman"/>
        </w:rPr>
        <w:t xml:space="preserve">, K. </w:t>
      </w:r>
      <w:proofErr w:type="spellStart"/>
      <w:r w:rsidRPr="00DD0C65">
        <w:rPr>
          <w:rFonts w:ascii="Times New Roman" w:hAnsi="Times New Roman" w:cs="Times New Roman"/>
        </w:rPr>
        <w:t>Kavukcuoglu</w:t>
      </w:r>
      <w:proofErr w:type="spellEnd"/>
      <w:r w:rsidRPr="00DD0C65">
        <w:rPr>
          <w:rFonts w:ascii="Times New Roman" w:hAnsi="Times New Roman" w:cs="Times New Roman"/>
        </w:rPr>
        <w:t xml:space="preserve">, D. Silver, A. </w:t>
      </w:r>
      <w:proofErr w:type="spellStart"/>
      <w:r w:rsidRPr="00DD0C65">
        <w:rPr>
          <w:rFonts w:ascii="Times New Roman" w:hAnsi="Times New Roman" w:cs="Times New Roman"/>
        </w:rPr>
        <w:t>Rusu</w:t>
      </w:r>
      <w:proofErr w:type="spellEnd"/>
      <w:r w:rsidRPr="00DD0C65">
        <w:rPr>
          <w:rFonts w:ascii="Times New Roman" w:hAnsi="Times New Roman" w:cs="Times New Roman"/>
        </w:rPr>
        <w:t xml:space="preserve">, J. </w:t>
      </w:r>
      <w:proofErr w:type="spellStart"/>
      <w:r w:rsidRPr="00DD0C65">
        <w:rPr>
          <w:rFonts w:ascii="Times New Roman" w:hAnsi="Times New Roman" w:cs="Times New Roman"/>
        </w:rPr>
        <w:t>Veness</w:t>
      </w:r>
      <w:proofErr w:type="spellEnd"/>
      <w:r w:rsidRPr="00DD0C65">
        <w:rPr>
          <w:rFonts w:ascii="Times New Roman" w:hAnsi="Times New Roman" w:cs="Times New Roman"/>
        </w:rPr>
        <w:t xml:space="preserve">, M. Bellemare, A. Graves, M. </w:t>
      </w:r>
      <w:proofErr w:type="spellStart"/>
      <w:r w:rsidRPr="00DD0C65">
        <w:rPr>
          <w:rFonts w:ascii="Times New Roman" w:hAnsi="Times New Roman" w:cs="Times New Roman"/>
        </w:rPr>
        <w:t>Riedmiller</w:t>
      </w:r>
      <w:proofErr w:type="spellEnd"/>
      <w:r w:rsidRPr="00DD0C65">
        <w:rPr>
          <w:rFonts w:ascii="Times New Roman" w:hAnsi="Times New Roman" w:cs="Times New Roman"/>
        </w:rPr>
        <w:t xml:space="preserve">, A. </w:t>
      </w:r>
      <w:proofErr w:type="spellStart"/>
      <w:r w:rsidRPr="00DD0C65">
        <w:rPr>
          <w:rFonts w:ascii="Times New Roman" w:hAnsi="Times New Roman" w:cs="Times New Roman"/>
        </w:rPr>
        <w:t>Fidjeland</w:t>
      </w:r>
      <w:proofErr w:type="spellEnd"/>
      <w:r w:rsidRPr="00DD0C65">
        <w:rPr>
          <w:rFonts w:ascii="Times New Roman" w:hAnsi="Times New Roman" w:cs="Times New Roman"/>
        </w:rPr>
        <w:t xml:space="preserve">, G. </w:t>
      </w:r>
      <w:proofErr w:type="spellStart"/>
      <w:r w:rsidRPr="00DD0C65">
        <w:rPr>
          <w:rFonts w:ascii="Times New Roman" w:hAnsi="Times New Roman" w:cs="Times New Roman"/>
        </w:rPr>
        <w:t>Ostrovski</w:t>
      </w:r>
      <w:proofErr w:type="spellEnd"/>
      <w:r w:rsidRPr="00DD0C65">
        <w:rPr>
          <w:rFonts w:ascii="Times New Roman" w:hAnsi="Times New Roman" w:cs="Times New Roman"/>
        </w:rPr>
        <w:t xml:space="preserve">, and S. Petersen, ‘‘Human-level control through deep reinforcement learning,’’ Nature, vol. 518, no. 7540, p. 529, 2015. </w:t>
      </w:r>
    </w:p>
    <w:p w14:paraId="540D4F82"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[38] I. Goodfellow, Y. </w:t>
      </w:r>
      <w:proofErr w:type="spellStart"/>
      <w:r w:rsidRPr="00DD0C65">
        <w:rPr>
          <w:rFonts w:ascii="Times New Roman" w:hAnsi="Times New Roman" w:cs="Times New Roman"/>
        </w:rPr>
        <w:t>Bengio</w:t>
      </w:r>
      <w:proofErr w:type="spellEnd"/>
      <w:r w:rsidRPr="00DD0C65">
        <w:rPr>
          <w:rFonts w:ascii="Times New Roman" w:hAnsi="Times New Roman" w:cs="Times New Roman"/>
        </w:rPr>
        <w:t xml:space="preserve">, and A. Courville, Deep Learning. Cambridge, MA, USA: MIT Press, 2016. </w:t>
      </w:r>
    </w:p>
    <w:p w14:paraId="06013C8A"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[39] H. Gilbert and H. </w:t>
      </w:r>
      <w:proofErr w:type="spellStart"/>
      <w:r w:rsidRPr="00DD0C65">
        <w:rPr>
          <w:rFonts w:ascii="Times New Roman" w:hAnsi="Times New Roman" w:cs="Times New Roman"/>
        </w:rPr>
        <w:t>Handschuh</w:t>
      </w:r>
      <w:proofErr w:type="spellEnd"/>
      <w:r w:rsidRPr="00DD0C65">
        <w:rPr>
          <w:rFonts w:ascii="Times New Roman" w:hAnsi="Times New Roman" w:cs="Times New Roman"/>
        </w:rPr>
        <w:t xml:space="preserve">, ‘‘Security analysis of SHA-256 and sisters,’’ in Proc. 10th Int. Workshop Sel. Areas </w:t>
      </w:r>
      <w:proofErr w:type="spellStart"/>
      <w:r w:rsidRPr="00DD0C65">
        <w:rPr>
          <w:rFonts w:ascii="Times New Roman" w:hAnsi="Times New Roman" w:cs="Times New Roman"/>
        </w:rPr>
        <w:t>Cryptogr</w:t>
      </w:r>
      <w:proofErr w:type="spellEnd"/>
      <w:r w:rsidRPr="00DD0C65">
        <w:rPr>
          <w:rFonts w:ascii="Times New Roman" w:hAnsi="Times New Roman" w:cs="Times New Roman"/>
        </w:rPr>
        <w:t xml:space="preserve">. (SAC). Berlin, Germany: Springer, 2003, pp. 175–193. </w:t>
      </w:r>
    </w:p>
    <w:p w14:paraId="50643A88" w14:textId="77777777"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[40] National Bureau of Statistics of China, China Statistical Yearbook, China Statist. Press, Beijing, China, 2019. </w:t>
      </w:r>
    </w:p>
    <w:p w14:paraId="4890BA02" w14:textId="2259EAA2" w:rsid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[41] K. J. </w:t>
      </w:r>
      <w:proofErr w:type="spellStart"/>
      <w:r w:rsidRPr="00DD0C65">
        <w:rPr>
          <w:rFonts w:ascii="Times New Roman" w:hAnsi="Times New Roman" w:cs="Times New Roman"/>
        </w:rPr>
        <w:t>O’Dwyer</w:t>
      </w:r>
      <w:proofErr w:type="spellEnd"/>
      <w:r w:rsidRPr="00DD0C65">
        <w:rPr>
          <w:rFonts w:ascii="Times New Roman" w:hAnsi="Times New Roman" w:cs="Times New Roman"/>
        </w:rPr>
        <w:t xml:space="preserve"> and D. Malone, ‘‘Bitcoin mining and its energy footprint,’’ in Proc. 25th IET Irish Signals Syst. Conf. China-Ireland Int. Conf. Inf. Communities Technol. (ISSC /CIICT). Edison, NJ, USA: IET, 2014, pp. 280–285. </w:t>
      </w:r>
    </w:p>
    <w:p w14:paraId="1D6CCD82" w14:textId="30264E25" w:rsidR="007E4BC8" w:rsidRPr="00DD0C65" w:rsidRDefault="00624CF0" w:rsidP="00DD0C65">
      <w:pPr>
        <w:spacing w:line="360" w:lineRule="auto"/>
        <w:jc w:val="both"/>
        <w:rPr>
          <w:rFonts w:ascii="Times New Roman" w:hAnsi="Times New Roman" w:cs="Times New Roman"/>
        </w:rPr>
      </w:pPr>
      <w:r w:rsidRPr="00DD0C65">
        <w:rPr>
          <w:rFonts w:ascii="Times New Roman" w:hAnsi="Times New Roman" w:cs="Times New Roman"/>
        </w:rPr>
        <w:t xml:space="preserve">[42] M. Abadi, P. Barham, J. Chen, Z. Chen, A. Davis, J. Dean, M. Devin, S. Ghemawat, G. Irving, M. </w:t>
      </w:r>
      <w:proofErr w:type="spellStart"/>
      <w:r w:rsidRPr="00DD0C65">
        <w:rPr>
          <w:rFonts w:ascii="Times New Roman" w:hAnsi="Times New Roman" w:cs="Times New Roman"/>
        </w:rPr>
        <w:t>Isard</w:t>
      </w:r>
      <w:proofErr w:type="spellEnd"/>
      <w:r w:rsidRPr="00DD0C65">
        <w:rPr>
          <w:rFonts w:ascii="Times New Roman" w:hAnsi="Times New Roman" w:cs="Times New Roman"/>
        </w:rPr>
        <w:t xml:space="preserve">, and M. </w:t>
      </w:r>
      <w:proofErr w:type="spellStart"/>
      <w:r w:rsidRPr="00DD0C65">
        <w:rPr>
          <w:rFonts w:ascii="Times New Roman" w:hAnsi="Times New Roman" w:cs="Times New Roman"/>
        </w:rPr>
        <w:t>Kudlur</w:t>
      </w:r>
      <w:proofErr w:type="spellEnd"/>
      <w:r w:rsidRPr="00DD0C65">
        <w:rPr>
          <w:rFonts w:ascii="Times New Roman" w:hAnsi="Times New Roman" w:cs="Times New Roman"/>
        </w:rPr>
        <w:t xml:space="preserve">, ‘‘TensorFlow: A system for large-scale machine learning,’’ in Proc. 12th USENIX </w:t>
      </w:r>
      <w:proofErr w:type="spellStart"/>
      <w:r w:rsidRPr="00DD0C65">
        <w:rPr>
          <w:rFonts w:ascii="Times New Roman" w:hAnsi="Times New Roman" w:cs="Times New Roman"/>
        </w:rPr>
        <w:t>Symp</w:t>
      </w:r>
      <w:proofErr w:type="spellEnd"/>
      <w:r w:rsidRPr="00DD0C65">
        <w:rPr>
          <w:rFonts w:ascii="Times New Roman" w:hAnsi="Times New Roman" w:cs="Times New Roman"/>
        </w:rPr>
        <w:t>. Operating Syst. Design Implement. (OSDI), vol. 16, 2016, pp. 265–283.</w:t>
      </w:r>
    </w:p>
    <w:sectPr w:rsidR="007E4BC8" w:rsidRPr="00DD0C65"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13F"/>
    <w:multiLevelType w:val="hybridMultilevel"/>
    <w:tmpl w:val="F4B2E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393E08"/>
    <w:multiLevelType w:val="hybridMultilevel"/>
    <w:tmpl w:val="D9FE6C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7188172">
    <w:abstractNumId w:val="0"/>
  </w:num>
  <w:num w:numId="2" w16cid:durableId="283267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2AE3"/>
    <w:rsid w:val="00592100"/>
    <w:rsid w:val="00624CF0"/>
    <w:rsid w:val="007E4BC8"/>
    <w:rsid w:val="00827C2E"/>
    <w:rsid w:val="00977627"/>
    <w:rsid w:val="009C4711"/>
    <w:rsid w:val="00A76B35"/>
    <w:rsid w:val="00C72AE3"/>
    <w:rsid w:val="00C91AD5"/>
    <w:rsid w:val="00DD0C65"/>
    <w:rsid w:val="00E4696D"/>
    <w:rsid w:val="00F949FC"/>
    <w:rsid w:val="00FC3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6990"/>
  <w15:docId w15:val="{5B450592-6A7A-4D7E-AF58-F522E839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BC8"/>
    <w:pPr>
      <w:ind w:left="720"/>
      <w:contextualSpacing/>
    </w:pPr>
  </w:style>
  <w:style w:type="paragraph" w:customStyle="1" w:styleId="Default">
    <w:name w:val="Default"/>
    <w:rsid w:val="007E4BC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DD0C65"/>
    <w:rPr>
      <w:color w:val="0563C1" w:themeColor="hyperlink"/>
      <w:u w:val="single"/>
    </w:rPr>
  </w:style>
  <w:style w:type="character" w:styleId="UnresolvedMention">
    <w:name w:val="Unresolved Mention"/>
    <w:basedOn w:val="DefaultParagraphFont"/>
    <w:uiPriority w:val="99"/>
    <w:semiHidden/>
    <w:unhideWhenUsed/>
    <w:rsid w:val="00DD0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38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coin.org/bitcoi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1327</Words>
  <Characters>7564</Characters>
  <Application>Microsoft Office Word</Application>
  <DocSecurity>0</DocSecurity>
  <Lines>63</Lines>
  <Paragraphs>17</Paragraphs>
  <ScaleCrop>false</ScaleCrop>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10</cp:revision>
  <dcterms:created xsi:type="dcterms:W3CDTF">2021-01-30T08:28:00Z</dcterms:created>
  <dcterms:modified xsi:type="dcterms:W3CDTF">2022-12-05T05:43:00Z</dcterms:modified>
</cp:coreProperties>
</file>