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8DC2" w14:textId="77777777" w:rsidR="00C975BD" w:rsidRPr="00471C17" w:rsidRDefault="00C975BD" w:rsidP="00C975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C17">
        <w:rPr>
          <w:rFonts w:ascii="Times New Roman" w:hAnsi="Times New Roman" w:cs="Times New Roman"/>
          <w:b/>
          <w:sz w:val="24"/>
          <w:szCs w:val="24"/>
          <w:lang w:val="en-US"/>
        </w:rPr>
        <w:t>CHAPTER-10</w:t>
      </w:r>
    </w:p>
    <w:p w14:paraId="420135C4" w14:textId="406D35A6" w:rsidR="007E4BC8" w:rsidRPr="00471C17" w:rsidRDefault="007E4BC8" w:rsidP="00C975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C17">
        <w:rPr>
          <w:rFonts w:ascii="Times New Roman" w:hAnsi="Times New Roman" w:cs="Times New Roman"/>
          <w:b/>
          <w:sz w:val="24"/>
          <w:szCs w:val="24"/>
          <w:lang w:val="en-US"/>
        </w:rPr>
        <w:t>REFERENCE</w:t>
      </w:r>
    </w:p>
    <w:p w14:paraId="3D5C45D3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[1] “Letter of credit,” https://en.wikipedia.org/wiki/Letter of credit/. </w:t>
      </w:r>
    </w:p>
    <w:p w14:paraId="5B6EF8F6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[2] “Invoice discounting,” https://en.wikipedia.org/wiki/Factoring (finance). </w:t>
      </w:r>
    </w:p>
    <w:p w14:paraId="1EEE1A41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[3] “Reverse factoring (supply chain finance),” https://en.wikipedia.org/wiki/ Reverse factoring. </w:t>
      </w:r>
    </w:p>
    <w:p w14:paraId="3F21BB07" w14:textId="45BC2E48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[4] “GS1 XML standards 3.2,” </w:t>
      </w:r>
      <w:hyperlink r:id="rId5" w:history="1">
        <w:r w:rsidR="00471C17" w:rsidRPr="00E96016">
          <w:rPr>
            <w:rStyle w:val="Hyperlink"/>
            <w:rFonts w:ascii="Times New Roman" w:hAnsi="Times New Roman" w:cs="Times New Roman"/>
            <w:sz w:val="24"/>
            <w:szCs w:val="24"/>
          </w:rPr>
          <w:t>https://www.gs1.org/standards/gs1-xml/3-2/</w:t>
        </w:r>
      </w:hyperlink>
      <w:r w:rsidRPr="00471C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B81E7" w14:textId="7CD387BC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>[5] “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TradeLens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,” </w:t>
      </w:r>
      <w:hyperlink r:id="rId6" w:history="1">
        <w:r w:rsidR="00471C17" w:rsidRPr="00E96016">
          <w:rPr>
            <w:rStyle w:val="Hyperlink"/>
            <w:rFonts w:ascii="Times New Roman" w:hAnsi="Times New Roman" w:cs="Times New Roman"/>
            <w:sz w:val="24"/>
            <w:szCs w:val="24"/>
          </w:rPr>
          <w:t>https://www.tradelens.com</w:t>
        </w:r>
      </w:hyperlink>
      <w:r w:rsidRPr="00471C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6A409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[6] K.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Narayanam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S. Goel, A. Singh, Y.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Shrinivasan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S. Chakraborty, P. Selvam, V. Choudhary, and M. Verma, “Blockchain based e-invoicing platform for global trade,” in 2020 IEEE International Conference on Blockchain (Blockchain), 2020, pp. 385–392. </w:t>
      </w:r>
    </w:p>
    <w:p w14:paraId="1BF7A2E0" w14:textId="230A1BAD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[7] </w:t>
      </w:r>
      <w:hyperlink r:id="rId7" w:history="1">
        <w:r w:rsidR="00471C17" w:rsidRPr="00E96016">
          <w:rPr>
            <w:rStyle w:val="Hyperlink"/>
            <w:rFonts w:ascii="Times New Roman" w:hAnsi="Times New Roman" w:cs="Times New Roman"/>
            <w:sz w:val="24"/>
            <w:szCs w:val="24"/>
          </w:rPr>
          <w:t>http://ibm.biz/BlockchainSolutionFromWalmartCanadaAndDLTLabs</w:t>
        </w:r>
      </w:hyperlink>
      <w:r w:rsidRPr="00471C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098C8A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[8] S. E. Chang, H. L. Luo, and Y. Chen, “Blockchain-enabled trade finance innovation: A potential paradigm shift on using letter of credit,” Sustainability, vol. 12, no. 1, p. 188, 2020. </w:t>
      </w:r>
    </w:p>
    <w:p w14:paraId="6FA1407F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[9] J. Chiu and T. V.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Koeppl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“Blockchain-based settlement for asset trading,” The Review of Financial Studies, vol. 32, no. 5, pp. 1716– 1753, 2019. </w:t>
      </w:r>
    </w:p>
    <w:p w14:paraId="296BDBE8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[10] A.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Bogucharskov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Pokamestov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Adamova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and Z. N.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Tropina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, “Adoption of blockchain technology in trade finance process,” Journal of Reviews on Global Economics, vol. 7, pp. 510–515, 2018. </w:t>
      </w:r>
    </w:p>
    <w:p w14:paraId="176978DC" w14:textId="27EE2122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>[11] “</w:t>
      </w:r>
      <w:proofErr w:type="spellStart"/>
      <w:proofErr w:type="gramStart"/>
      <w:r w:rsidRPr="00471C17">
        <w:rPr>
          <w:rFonts w:ascii="Times New Roman" w:hAnsi="Times New Roman" w:cs="Times New Roman"/>
          <w:sz w:val="24"/>
          <w:szCs w:val="24"/>
        </w:rPr>
        <w:t>we.trade</w:t>
      </w:r>
      <w:proofErr w:type="spellEnd"/>
      <w:proofErr w:type="gramEnd"/>
      <w:r w:rsidRPr="00471C17">
        <w:rPr>
          <w:rFonts w:ascii="Times New Roman" w:hAnsi="Times New Roman" w:cs="Times New Roman"/>
          <w:sz w:val="24"/>
          <w:szCs w:val="24"/>
        </w:rPr>
        <w:t xml:space="preserve">,” </w:t>
      </w:r>
      <w:hyperlink r:id="rId8" w:history="1">
        <w:r w:rsidR="00471C17" w:rsidRPr="00E96016">
          <w:rPr>
            <w:rStyle w:val="Hyperlink"/>
            <w:rFonts w:ascii="Times New Roman" w:hAnsi="Times New Roman" w:cs="Times New Roman"/>
            <w:sz w:val="24"/>
            <w:szCs w:val="24"/>
          </w:rPr>
          <w:t>https://we-trade.com/</w:t>
        </w:r>
      </w:hyperlink>
      <w:r w:rsidRPr="00471C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6D3DAF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[12] “Invoice Processing by Accounts Payable,” https://www.purchasing.ucla. </w:t>
      </w:r>
      <w:proofErr w:type="spellStart"/>
      <w:r w:rsidRPr="00471C17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471C17">
        <w:rPr>
          <w:rFonts w:ascii="Times New Roman" w:hAnsi="Times New Roman" w:cs="Times New Roman"/>
          <w:sz w:val="24"/>
          <w:szCs w:val="24"/>
        </w:rPr>
        <w:t xml:space="preserve">/accounts-payable/invoice-processing-by-accounts-payable. </w:t>
      </w:r>
    </w:p>
    <w:p w14:paraId="37274FA1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 xml:space="preserve">[13] “Blockchain for Accounts Payable,” https://cporising.com/2017/05/25/ blockchain-for-accounts-payable-an-introduction/. </w:t>
      </w:r>
    </w:p>
    <w:p w14:paraId="378F6FCD" w14:textId="77777777" w:rsid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lastRenderedPageBreak/>
        <w:t xml:space="preserve">[14] “Blockchain in Accounts Receivable,” https://netsend.com/blog/ blockchain-accounts-receivable/. </w:t>
      </w:r>
    </w:p>
    <w:p w14:paraId="382C8CB4" w14:textId="7A26A4DB" w:rsidR="00437D3C" w:rsidRPr="00471C17" w:rsidRDefault="007A455D" w:rsidP="007A45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17">
        <w:rPr>
          <w:rFonts w:ascii="Times New Roman" w:hAnsi="Times New Roman" w:cs="Times New Roman"/>
          <w:sz w:val="24"/>
          <w:szCs w:val="24"/>
        </w:rPr>
        <w:t>[15] “Our Prediction: Blockchain WILL Replace the Sup</w:t>
      </w:r>
      <w:r w:rsidRPr="00471C17">
        <w:rPr>
          <w:rFonts w:ascii="Times New Roman" w:hAnsi="Times New Roman" w:cs="Times New Roman"/>
          <w:sz w:val="24"/>
          <w:szCs w:val="24"/>
        </w:rPr>
        <w:t>plier Invoice,” https://www.netnetweb.com/content/blog/ blockchain-will-replace-the-supplier-invoice.</w:t>
      </w:r>
    </w:p>
    <w:sectPr w:rsidR="00437D3C" w:rsidRPr="00471C1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3658">
    <w:abstractNumId w:val="0"/>
  </w:num>
  <w:num w:numId="2" w16cid:durableId="209998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437D3C"/>
    <w:rsid w:val="00471C17"/>
    <w:rsid w:val="007A455D"/>
    <w:rsid w:val="007E4BC8"/>
    <w:rsid w:val="00827C2E"/>
    <w:rsid w:val="00A76B35"/>
    <w:rsid w:val="00B73B2A"/>
    <w:rsid w:val="00C72AE3"/>
    <w:rsid w:val="00C975BD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BEF331A4-4B21-40FD-9472-B165186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1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-tra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bm.biz/BlockchainSolutionFromWalmartCanadaAndDLT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delens.com" TargetMode="External"/><Relationship Id="rId5" Type="http://schemas.openxmlformats.org/officeDocument/2006/relationships/hyperlink" Target="https://www.gs1.org/standards/gs1-xml/3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dcterms:created xsi:type="dcterms:W3CDTF">2021-01-30T08:28:00Z</dcterms:created>
  <dcterms:modified xsi:type="dcterms:W3CDTF">2023-01-02T04:23:00Z</dcterms:modified>
</cp:coreProperties>
</file>