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7" w:rightFromText="187" w:topFromText="0" w:bottomFromText="0" w:vertAnchor="page" w:horzAnchor="margin" w:tblpXSpec="center" w:tblpYSpec="bottom"/>
        <w:tblW w:w="6998.0" w:type="dxa"/>
        <w:jc w:val="left"/>
        <w:tblLayout w:type="fixed"/>
        <w:tblLook w:val="0400"/>
      </w:tblPr>
      <w:tblGrid>
        <w:gridCol w:w="6998"/>
        <w:tblGridChange w:id="0">
          <w:tblGrid>
            <w:gridCol w:w="6998"/>
          </w:tblGrid>
        </w:tblGridChange>
      </w:tblGrid>
      <w:tr>
        <w:trPr>
          <w:cantSplit w:val="0"/>
          <w:tblHeader w:val="0"/>
        </w:trPr>
        <w:tc>
          <w:tcPr>
            <w:tcMar>
              <w:top w:w="216.0" w:type="dxa"/>
              <w:left w:w="115.0" w:type="dxa"/>
              <w:bottom w:w="216.0" w:type="dxa"/>
              <w:right w:w="115.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156082"/>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8"/>
                <w:szCs w:val="28"/>
                <w:u w:val="none"/>
                <w:shd w:fill="auto" w:val="clear"/>
                <w:vertAlign w:val="baseline"/>
                <w:rtl w:val="0"/>
              </w:rPr>
              <w:t xml:space="preserve">Marius BOURSE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156082"/>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8"/>
                <w:szCs w:val="28"/>
                <w:u w:val="none"/>
                <w:shd w:fill="auto" w:val="clear"/>
                <w:vertAlign w:val="baseline"/>
                <w:rtl w:val="0"/>
              </w:rPr>
              <w:t xml:space="preserve">Sup de Vinci M2 DEV FULL-STACK</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156082"/>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8"/>
                <w:szCs w:val="28"/>
                <w:u w:val="none"/>
                <w:shd w:fill="auto" w:val="clear"/>
                <w:vertAlign w:val="baseline"/>
                <w:rtl w:val="0"/>
              </w:rPr>
              <w:t xml:space="preserve">[Date]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156082"/>
                <w:sz w:val="22"/>
                <w:szCs w:val="22"/>
                <w:u w:val="none"/>
                <w:shd w:fill="auto" w:val="clear"/>
                <w:vertAlign w:val="baseline"/>
              </w:rPr>
            </w:pPr>
            <w:r w:rsidDel="00000000" w:rsidR="00000000" w:rsidRPr="00000000">
              <w:rPr>
                <w:rtl w:val="0"/>
              </w:rPr>
            </w:r>
          </w:p>
        </w:tc>
      </w:tr>
      <w:tr>
        <w:trPr>
          <w:cantSplit w:val="0"/>
          <w:tblHeader w:val="0"/>
        </w:trPr>
        <w:tc>
          <w:tcPr>
            <w:tcMar>
              <w:top w:w="216.0" w:type="dxa"/>
              <w:left w:w="115.0" w:type="dxa"/>
              <w:bottom w:w="216.0" w:type="dxa"/>
              <w:right w:w="115.0" w:type="dxa"/>
            </w:tcMa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f476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f4761"/>
                <w:sz w:val="24"/>
                <w:szCs w:val="24"/>
                <w:u w:val="none"/>
                <w:shd w:fill="auto" w:val="clear"/>
                <w:vertAlign w:val="baseline"/>
                <w:rtl w:val="0"/>
              </w:rPr>
              <w:t xml:space="preserve">Groupe Adeena</w:t>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Play" w:cs="Play" w:eastAsia="Play" w:hAnsi="Play"/>
                <w:b w:val="0"/>
                <w:bCs w:val="0"/>
                <w:i w:val="0"/>
                <w:iCs w:val="0"/>
                <w:smallCaps w:val="0"/>
                <w:strike w:val="0"/>
                <w:color w:val="156082"/>
                <w:sz w:val="56"/>
                <w:szCs w:val="56"/>
                <w:u w:val="none"/>
                <w:shd w:fill="auto" w:val="clear"/>
                <w:vertAlign w:val="baseline"/>
              </w:rPr>
            </w:pPr>
            <w:r w:rsidDel="00000000" w:rsidR="00000000" w:rsidRPr="00000000">
              <w:rPr>
                <w:rFonts w:ascii="Play" w:cs="Play" w:eastAsia="Play" w:hAnsi="Play"/>
                <w:b w:val="0"/>
                <w:bCs w:val="0"/>
                <w:i w:val="0"/>
                <w:iCs w:val="0"/>
                <w:smallCaps w:val="0"/>
                <w:strike w:val="0"/>
                <w:color w:val="156082"/>
                <w:sz w:val="56"/>
                <w:szCs w:val="56"/>
                <w:u w:val="none"/>
                <w:shd w:fill="auto" w:val="clear"/>
                <w:vertAlign w:val="baseline"/>
                <w:rtl w:val="0"/>
              </w:rPr>
              <w:t xml:space="preserve">Comment une organisation peut-elle réussir la migration d’une architecture monolithique vers une architecture micro-services tout en garantissant la continuité du service ?</w:t>
            </w:r>
          </w:p>
        </w:tc>
      </w:tr>
      <w:tr>
        <w:trPr>
          <w:cantSplit w:val="0"/>
          <w:tblHeader w:val="0"/>
        </w:trPr>
        <w:tc>
          <w:tcPr>
            <w:tcMar>
              <w:top w:w="216.0" w:type="dxa"/>
              <w:left w:w="115.0" w:type="dxa"/>
              <w:bottom w:w="216.0" w:type="dxa"/>
              <w:right w:w="115.0" w:type="dxa"/>
            </w:tcM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f476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f4761"/>
                <w:sz w:val="24"/>
                <w:szCs w:val="24"/>
                <w:u w:val="none"/>
                <w:shd w:fill="auto" w:val="clear"/>
                <w:vertAlign w:val="baseline"/>
                <w:rtl w:val="0"/>
              </w:rPr>
              <w:t xml:space="preserve">Expert en système d’information</w:t>
            </w:r>
          </w:p>
        </w:tc>
      </w:tr>
    </w:tbl>
    <w:p w:rsidR="00000000" w:rsidDel="00000000" w:rsidP="00000000" w:rsidRDefault="00000000" w:rsidRPr="00000000" w14:paraId="0000000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 Remerciements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Je tiens à exprimer ma profonde gratitude envers toutes les personnes qui ont, par leur soutien, leurs conseils et leur disponibilité, contribué à la réalisation de ce mémoire de fin d'études. Cet exercice de réflexion stratégique et technique a été l'aboutissement de mon parcours en Mastère.</w:t>
      </w:r>
    </w:p>
    <w:p w:rsidR="00000000" w:rsidDel="00000000" w:rsidP="00000000" w:rsidRDefault="00000000" w:rsidRPr="00000000" w14:paraId="0000000E">
      <w:pPr>
        <w:numPr>
          <w:ilvl w:val="0"/>
          <w:numId w:val="11"/>
        </w:numPr>
        <w:ind w:left="720" w:hanging="360"/>
        <w:rPr>
          <w:rFonts w:ascii="Arial" w:cs="Arial" w:eastAsia="Arial" w:hAnsi="Arial"/>
        </w:rPr>
      </w:pPr>
      <w:r w:rsidDel="00000000" w:rsidR="00000000" w:rsidRPr="00000000">
        <w:rPr>
          <w:rFonts w:ascii="Arial" w:cs="Arial" w:eastAsia="Arial" w:hAnsi="Arial"/>
          <w:b w:val="1"/>
          <w:bCs w:val="1"/>
          <w:rtl w:val="0"/>
        </w:rPr>
        <w:t xml:space="preserve">À mon encadrant académique, Lionnet Hélène :</w:t>
      </w:r>
      <w:r w:rsidDel="00000000" w:rsidR="00000000" w:rsidRPr="00000000">
        <w:rPr>
          <w:rFonts w:ascii="Arial" w:cs="Arial" w:eastAsia="Arial" w:hAnsi="Arial"/>
          <w:rtl w:val="0"/>
        </w:rPr>
        <w:t xml:space="preserve"> Je vous remercie sincèrement pour votre </w:t>
      </w:r>
      <w:r w:rsidDel="00000000" w:rsidR="00000000" w:rsidRPr="00000000">
        <w:rPr>
          <w:rFonts w:ascii="Arial" w:cs="Arial" w:eastAsia="Arial" w:hAnsi="Arial"/>
          <w:b w:val="1"/>
          <w:bCs w:val="1"/>
          <w:rtl w:val="0"/>
        </w:rPr>
        <w:t xml:space="preserve">accompagnement méthodologique</w:t>
      </w:r>
      <w:r w:rsidDel="00000000" w:rsidR="00000000" w:rsidRPr="00000000">
        <w:rPr>
          <w:rFonts w:ascii="Arial" w:cs="Arial" w:eastAsia="Arial" w:hAnsi="Arial"/>
          <w:rtl w:val="0"/>
        </w:rPr>
        <w:t xml:space="preserve"> constant. Vos remarques critiques, votre disponibilité et vos orientations pertinentes ont été décisives pour garantir la </w:t>
      </w:r>
      <w:r w:rsidDel="00000000" w:rsidR="00000000" w:rsidRPr="00000000">
        <w:rPr>
          <w:rFonts w:ascii="Arial" w:cs="Arial" w:eastAsia="Arial" w:hAnsi="Arial"/>
          <w:b w:val="1"/>
          <w:bCs w:val="1"/>
          <w:rtl w:val="0"/>
        </w:rPr>
        <w:t xml:space="preserve">qualité et la structure</w:t>
      </w:r>
      <w:r w:rsidDel="00000000" w:rsidR="00000000" w:rsidRPr="00000000">
        <w:rPr>
          <w:rFonts w:ascii="Arial" w:cs="Arial" w:eastAsia="Arial" w:hAnsi="Arial"/>
          <w:rtl w:val="0"/>
        </w:rPr>
        <w:t xml:space="preserve"> de cette analyse. Votre expertise m'a permis d'intégrer les enjeux techniques et stratégiques complexes de la migration d'architecture.</w:t>
      </w:r>
    </w:p>
    <w:p w:rsidR="00000000" w:rsidDel="00000000" w:rsidP="00000000" w:rsidRDefault="00000000" w:rsidRPr="00000000" w14:paraId="0000000F">
      <w:pPr>
        <w:numPr>
          <w:ilvl w:val="0"/>
          <w:numId w:val="11"/>
        </w:numPr>
        <w:ind w:left="720" w:hanging="360"/>
        <w:rPr>
          <w:rFonts w:ascii="Arial" w:cs="Arial" w:eastAsia="Arial" w:hAnsi="Arial"/>
        </w:rPr>
      </w:pPr>
      <w:r w:rsidDel="00000000" w:rsidR="00000000" w:rsidRPr="00000000">
        <w:rPr>
          <w:rFonts w:ascii="Arial" w:cs="Arial" w:eastAsia="Arial" w:hAnsi="Arial"/>
          <w:b w:val="1"/>
          <w:bCs w:val="1"/>
          <w:rtl w:val="0"/>
        </w:rPr>
        <w:t xml:space="preserve">Aux professionnels et experts anonymes de l'IT :</w:t>
      </w:r>
      <w:r w:rsidDel="00000000" w:rsidR="00000000" w:rsidRPr="00000000">
        <w:rPr>
          <w:rFonts w:ascii="Arial" w:cs="Arial" w:eastAsia="Arial" w:hAnsi="Arial"/>
          <w:rtl w:val="0"/>
        </w:rPr>
        <w:t xml:space="preserve"> Je souhaite exprimer ma reconnaissance envers l’équipe SI de Adeena, mon tuteur et également responsable technique, les développeurs ainsi que l’équipe produit qui ont accepté de partager leurs connaissances et leurs retours d'expérience sur les défis concrets de la </w:t>
      </w:r>
      <w:r w:rsidDel="00000000" w:rsidR="00000000" w:rsidRPr="00000000">
        <w:rPr>
          <w:rFonts w:ascii="Arial" w:cs="Arial" w:eastAsia="Arial" w:hAnsi="Arial"/>
          <w:b w:val="1"/>
          <w:bCs w:val="1"/>
          <w:rtl w:val="0"/>
        </w:rPr>
        <w:t xml:space="preserve">transformation monolithique vers les micro-services</w:t>
      </w:r>
      <w:r w:rsidDel="00000000" w:rsidR="00000000" w:rsidRPr="00000000">
        <w:rPr>
          <w:rFonts w:ascii="Arial" w:cs="Arial" w:eastAsia="Arial" w:hAnsi="Arial"/>
          <w:rtl w:val="0"/>
        </w:rPr>
        <w:t xml:space="preserve">. Leurs échanges ont enrichi ma réflexion et m'ont permis de proposer des </w:t>
      </w:r>
      <w:r w:rsidDel="00000000" w:rsidR="00000000" w:rsidRPr="00000000">
        <w:rPr>
          <w:rFonts w:ascii="Arial" w:cs="Arial" w:eastAsia="Arial" w:hAnsi="Arial"/>
          <w:b w:val="1"/>
          <w:bCs w:val="1"/>
          <w:rtl w:val="0"/>
        </w:rPr>
        <w:t xml:space="preserve">solutions concrètes et opérationnelles</w:t>
      </w:r>
      <w:r w:rsidDel="00000000" w:rsidR="00000000" w:rsidRPr="00000000">
        <w:rPr>
          <w:rFonts w:ascii="Arial" w:cs="Arial" w:eastAsia="Arial" w:hAnsi="Arial"/>
          <w:rtl w:val="0"/>
        </w:rPr>
        <w:t xml:space="preserve">, même dans le cadre d'une étude de cas fictive.</w:t>
      </w:r>
    </w:p>
    <w:p w:rsidR="00000000" w:rsidDel="00000000" w:rsidP="00000000" w:rsidRDefault="00000000" w:rsidRPr="00000000" w14:paraId="00000010">
      <w:pPr>
        <w:numPr>
          <w:ilvl w:val="0"/>
          <w:numId w:val="11"/>
        </w:numPr>
        <w:ind w:left="720" w:hanging="360"/>
        <w:rPr>
          <w:rFonts w:ascii="Arial" w:cs="Arial" w:eastAsia="Arial" w:hAnsi="Arial"/>
        </w:rPr>
      </w:pPr>
      <w:r w:rsidDel="00000000" w:rsidR="00000000" w:rsidRPr="00000000">
        <w:rPr>
          <w:rFonts w:ascii="Arial" w:cs="Arial" w:eastAsia="Arial" w:hAnsi="Arial"/>
          <w:b w:val="1"/>
          <w:bCs w:val="1"/>
          <w:rtl w:val="0"/>
        </w:rPr>
        <w:t xml:space="preserve">À l'équipe pédagogique de Sup de Vinci :</w:t>
      </w:r>
      <w:r w:rsidDel="00000000" w:rsidR="00000000" w:rsidRPr="00000000">
        <w:rPr>
          <w:rFonts w:ascii="Arial" w:cs="Arial" w:eastAsia="Arial" w:hAnsi="Arial"/>
          <w:rtl w:val="0"/>
        </w:rPr>
        <w:t xml:space="preserve"> Je remercie l'ensemble du corps enseignant pour la qualité de la formation dispensée, qui m'a fourni les </w:t>
      </w:r>
      <w:r w:rsidDel="00000000" w:rsidR="00000000" w:rsidRPr="00000000">
        <w:rPr>
          <w:rFonts w:ascii="Arial" w:cs="Arial" w:eastAsia="Arial" w:hAnsi="Arial"/>
          <w:b w:val="1"/>
          <w:bCs w:val="1"/>
          <w:rtl w:val="0"/>
        </w:rPr>
        <w:t xml:space="preserve">compétences techniques et managériales</w:t>
      </w:r>
      <w:r w:rsidDel="00000000" w:rsidR="00000000" w:rsidRPr="00000000">
        <w:rPr>
          <w:rFonts w:ascii="Arial" w:cs="Arial" w:eastAsia="Arial" w:hAnsi="Arial"/>
          <w:rtl w:val="0"/>
        </w:rPr>
        <w:t xml:space="preserve"> nécessaires à l'élaboration de ce travail d'expertise.</w:t>
      </w:r>
    </w:p>
    <w:p w:rsidR="00000000" w:rsidDel="00000000" w:rsidP="00000000" w:rsidRDefault="00000000" w:rsidRPr="00000000" w14:paraId="00000011">
      <w:pPr>
        <w:numPr>
          <w:ilvl w:val="0"/>
          <w:numId w:val="11"/>
        </w:numPr>
        <w:ind w:left="720" w:hanging="360"/>
        <w:rPr>
          <w:rFonts w:ascii="Arial" w:cs="Arial" w:eastAsia="Arial" w:hAnsi="Arial"/>
        </w:rPr>
      </w:pPr>
      <w:r w:rsidDel="00000000" w:rsidR="00000000" w:rsidRPr="00000000">
        <w:rPr>
          <w:rFonts w:ascii="Arial" w:cs="Arial" w:eastAsia="Arial" w:hAnsi="Arial"/>
          <w:b w:val="1"/>
          <w:bCs w:val="1"/>
          <w:rtl w:val="0"/>
        </w:rPr>
        <w:t xml:space="preserve">À ma famille et mes amis :</w:t>
      </w:r>
      <w:r w:rsidDel="00000000" w:rsidR="00000000" w:rsidRPr="00000000">
        <w:rPr>
          <w:rFonts w:ascii="Arial" w:cs="Arial" w:eastAsia="Arial" w:hAnsi="Arial"/>
          <w:rtl w:val="0"/>
        </w:rPr>
        <w:t xml:space="preserve"> Enfin, je remercie ma famille et mes proches pour leur </w:t>
      </w:r>
      <w:r w:rsidDel="00000000" w:rsidR="00000000" w:rsidRPr="00000000">
        <w:rPr>
          <w:rFonts w:ascii="Arial" w:cs="Arial" w:eastAsia="Arial" w:hAnsi="Arial"/>
          <w:b w:val="1"/>
          <w:bCs w:val="1"/>
          <w:rtl w:val="0"/>
        </w:rPr>
        <w:t xml:space="preserve">soutien inébranlable</w:t>
      </w:r>
      <w:r w:rsidDel="00000000" w:rsidR="00000000" w:rsidRPr="00000000">
        <w:rPr>
          <w:rFonts w:ascii="Arial" w:cs="Arial" w:eastAsia="Arial" w:hAnsi="Arial"/>
          <w:rtl w:val="0"/>
        </w:rPr>
        <w:t xml:space="preserve">, leurs encouragements et leur patience, qui ont été une source de motivation essentielle tout au long de ce cursus exigeant.</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color w:val="0f4761"/>
          <w:sz w:val="32"/>
          <w:szCs w:val="32"/>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Table des matières</w:t>
      </w: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color w:val="0f4761"/>
          <w:sz w:val="32"/>
          <w:szCs w:val="32"/>
        </w:rPr>
      </w:pPr>
      <w:r w:rsidDel="00000000" w:rsidR="00000000" w:rsidRPr="00000000">
        <w:rPr>
          <w:rtl w:val="0"/>
        </w:rPr>
      </w:r>
    </w:p>
    <w:sdt>
      <w:sdtPr>
        <w:id w:val="-643965626"/>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9p0rdy5rl9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wzsm6f3pe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L'évolution historique : Le Monolithe comme Standard Industriel</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i3n3ei6d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 mutation des exigences business et l'impératif de réactivité</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64b0bk9s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 paradoxe de l'Agilité et la rigidité du Monolithe</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hjrtlts0q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Les 7 différences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xhg03asbq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Présentation de la problématique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xglsm3i27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Objectifs du mémoire et annonce de plan</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n2cqaiybym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Partie I : Contexte et diagnostic</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qr8nwayqu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Présentation de l’entreprise (Groupe Adeena) et contexte du S.I. :</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bgs7m6jm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Diagnostic critique : La dette technique et l'impératif de la disponibilité</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63j7t3aq1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Évaluation des risques et enjeux IT :</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76ztwulpa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État des lieux des compétences internes :</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jns7vzib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Gestion centralisée des secrets et configurations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x8qip34s5t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Partie II : Analyse technique et organisationnelle</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État de l’Art et Principes Fondamentaux :</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mgvcb5d70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Cartographie Technologique : Architectures et Vecteurs de Communication</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Développement détaillé des Protocoles de Communication</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Le Théorème de CAP : Justification de la Cohérence à Terme (Eventual Consistency)</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9jo4f99u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La Taxonomie des Couplages : Le Découplage par Micro-services</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8lr5xrr7b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Audit des solutions existantes (Le Monolithe) :</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rjz02miiq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Cartographie de la Dette Technique et du Couplage Fonctionnel</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9wkxgqh20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Identification des points de blocage pour une extraction en services</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w537gj9om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Définition de la solution cible (Micro-services) :</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Découpage fonctionnel par Domain-Driven Design (DDD) et définition des Contextes Délimités</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sbv1xe3be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Stratégie de Communication Inter-services et Architectures de Résilience</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ttsu2f6vy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Gestion centralisée des secrets : Le choix de l'auto-hébergement via Infisical</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ijm1vdxs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Alignement avec les standards et réglementations :</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gw8qbe8sz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Outils de pilotage et indicateurs de performance :</w:t>
              <w:tab/>
              <w:t xml:space="preserve">28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t082988fx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Le Logging centralisé : Choix et implémentation de la pile Grafana Loki</w:t>
              <w:tab/>
              <w:t xml:space="preserve">28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d3k8pbi0z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Le Monitoring proactif et l'Alerting : Modélisation des SLO/SLA avec Prometheus et Grafana</w:t>
              <w:tab/>
              <w:t xml:space="preserve">29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74j1t6o4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Le Tracing distribué : Corrélation des flux et réduction du MTTR avec Jaeger</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l96rzqg6fr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Partie III : Pilotage de projet et gestion d’équipe</w:t>
              <w:tab/>
              <w:t xml:space="preserve">32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h8fe9q7v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Planification et stratégie de migration :</w:t>
              <w:tab/>
              <w:t xml:space="preserve">32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5b58wxf2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Implémentation technique de la gestion des secrets</w:t>
              <w:tab/>
              <w:t xml:space="preserve">33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m07fif9v9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Méthodes de suivi et agilité :</w:t>
              <w:tab/>
              <w:t xml:space="preserve">34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scxslhlrw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Management d’équipe et conduite du changement :</w:t>
              <w:tab/>
              <w:t xml:space="preserve">36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yhslya0da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Communication projet :</w:t>
              <w:tab/>
              <w:t xml:space="preserve">38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4lvpn4521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Partie IV : Recommandations stratégiques</w:t>
              <w:tab/>
              <w:t xml:space="preserve">39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k7gag25dm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Plan d’action proposé (Roadmap) :</w:t>
              <w:tab/>
              <w:t xml:space="preserve">39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bs7ckq7k2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Solutions à court, moyen et long terme :</w:t>
              <w:tab/>
              <w:t xml:space="preserve">40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l198cu54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Évaluation des coûts et bénéfices (ROI) :</w:t>
              <w:tab/>
              <w:t xml:space="preserve">41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725qeqidu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Analyse des coûts d'infrastructure (Cloud vs On-premise) et de formation.</w:t>
              <w:tab/>
              <w:t xml:space="preserve">41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rn3vbdnoz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Gains attendus : Time-to-market réduit, résilience accrue.</w:t>
              <w:tab/>
              <w:t xml:space="preserve">42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sb740owrm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Modélisation mathématique du Cost of Delay CEE (CODC)</w:t>
              <w:tab/>
              <w:t xml:space="preserve">42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6m26rwhg2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Analyse des impacts organisationnels et techniques :</w:t>
              <w:tab/>
              <w:t xml:space="preserve">43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vwsg377etm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Conclusion générale</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jc w:val="both"/>
        <w:rPr/>
      </w:pPr>
      <w:bookmarkStart w:colFirst="0" w:colLast="0" w:name="_heading=h.e9p0rdy5rl9t" w:id="0"/>
      <w:bookmarkEnd w:id="0"/>
      <w:r w:rsidDel="00000000" w:rsidR="00000000" w:rsidRPr="00000000">
        <w:rPr>
          <w:rtl w:val="0"/>
        </w:rPr>
        <w:t xml:space="preserve">Introduction</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spacing w:after="240" w:before="240" w:lineRule="auto"/>
        <w:jc w:val="both"/>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Pendant des décennies, l'architecture monolithique a été le standard de facto, offrant la solution la plus rationnelle pour regrouper l'intégralité des fonctionnalités métier au sein d'une seule unité de déploiement. Ce modèle garantissait une simplicité de gestion et une cohérence transactionnelle ACID naturelle, idéales pour des infrastructures centralisées.</w:t>
      </w:r>
    </w:p>
    <w:p w:rsidR="00000000" w:rsidDel="00000000" w:rsidP="00000000" w:rsidRDefault="00000000" w:rsidRPr="00000000" w14:paraId="0000005B">
      <w:pPr>
        <w:pStyle w:val="Heading2"/>
        <w:spacing w:after="240" w:before="240" w:lineRule="auto"/>
        <w:jc w:val="both"/>
        <w:rPr/>
      </w:pPr>
      <w:bookmarkStart w:colFirst="0" w:colLast="0" w:name="_heading=h.hwzsm6f3pern" w:id="1"/>
      <w:bookmarkEnd w:id="1"/>
      <w:r w:rsidDel="00000000" w:rsidR="00000000" w:rsidRPr="00000000">
        <w:rPr>
          <w:rtl w:val="0"/>
        </w:rPr>
        <w:t xml:space="preserve">1. L'évolution historique : Le Monolithe comme Standard Industriel</w:t>
      </w:r>
    </w:p>
    <w:p w:rsidR="00000000" w:rsidDel="00000000" w:rsidP="00000000" w:rsidRDefault="00000000" w:rsidRPr="00000000" w14:paraId="0000005C">
      <w:pPr>
        <w:spacing w:after="240" w:before="240" w:lineRule="auto"/>
        <w:jc w:val="both"/>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Historiquement, le monolithe simplifiait grandement le développement : un artéfact unique, une base de données centralisée et des appels de fonctions en mémoire quasi instantanés. Ce couplage fort était synonyme de robustesse et de performance pour des systèmes qui évoluaient peu. L'infrastructure était simple, centrée sur quelques serveurs physiques. Cette structure a permis aux entreprises de bâtir des systèmes fondateurs solides, privilégiant la centralisation des ressources et la facilité de maintenance.</w:t>
      </w:r>
    </w:p>
    <w:p w:rsidR="00000000" w:rsidDel="00000000" w:rsidP="00000000" w:rsidRDefault="00000000" w:rsidRPr="00000000" w14:paraId="0000005D">
      <w:pPr>
        <w:spacing w:after="240" w:before="240" w:lineRule="auto"/>
        <w:jc w:val="both"/>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5E">
      <w:pPr>
        <w:spacing w:after="240" w:before="240" w:lineRule="auto"/>
        <w:jc w:val="both"/>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Il est toutefois crucial de souligner que cette centralisation n'était pas une erreur stratégique, mais une réponse adaptée à une époque où le système d'information était le garant d'une stabilité prédictible. À ce stade du cycle de vie de l'entreprise, la complexité était maîtrisable et la centralisation permettait une mise sur le marché rapide avec un effort d'ingénierie réduit. Le monolithe était, en ce sens, le socle nécessaire qui a permis au Groupe Adeena de bâtir sa proposition de valeur initiale avant que la croissance de son catalogue de services ne transforme cette simplicité originelle en une contrainte lourde. </w:t>
      </w:r>
    </w:p>
    <w:p w:rsidR="00000000" w:rsidDel="00000000" w:rsidP="00000000" w:rsidRDefault="00000000" w:rsidRPr="00000000" w14:paraId="0000005F">
      <w:pPr>
        <w:pStyle w:val="Heading2"/>
        <w:spacing w:after="240" w:before="240" w:lineRule="auto"/>
        <w:jc w:val="both"/>
        <w:rPr/>
      </w:pPr>
      <w:bookmarkStart w:colFirst="0" w:colLast="0" w:name="_heading=h.30i3n3ei6dt4" w:id="2"/>
      <w:bookmarkEnd w:id="2"/>
      <w:r w:rsidDel="00000000" w:rsidR="00000000" w:rsidRPr="00000000">
        <w:rPr>
          <w:rtl w:val="0"/>
        </w:rPr>
        <w:t xml:space="preserve">2. La mutation des exigences business et l'impératif de réactivité</w:t>
      </w:r>
    </w:p>
    <w:p w:rsidR="00000000" w:rsidDel="00000000" w:rsidP="00000000" w:rsidRDefault="00000000" w:rsidRPr="00000000" w14:paraId="00000060">
      <w:pPr>
        <w:shd w:fill="ffffff" w:val="clear"/>
        <w:spacing w:after="240" w:before="240" w:lineRule="auto"/>
        <w:jc w:val="both"/>
        <w:rPr>
          <w:rFonts w:ascii="Roboto" w:cs="Roboto" w:eastAsia="Roboto" w:hAnsi="Roboto"/>
          <w:color w:val="1f1f1f"/>
        </w:rPr>
      </w:pPr>
      <w:r w:rsidDel="00000000" w:rsidR="00000000" w:rsidRPr="00000000">
        <w:rPr>
          <w:rtl w:val="0"/>
        </w:rPr>
      </w:r>
    </w:p>
    <w:p w:rsidR="00000000" w:rsidDel="00000000" w:rsidP="00000000" w:rsidRDefault="00000000" w:rsidRPr="00000000" w14:paraId="00000061">
      <w:pPr>
        <w:spacing w:after="240" w:before="240" w:lineRule="auto"/>
        <w:jc w:val="both"/>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L'économie numérique, et particulièrement le secteur des CEE, a remis en question ces fondamentaux. L'avantage compétitif ne réside plus dans la simple disponibilité, mais dans la </w:t>
      </w:r>
      <w:r w:rsidDel="00000000" w:rsidR="00000000" w:rsidRPr="00000000">
        <w:rPr>
          <w:rFonts w:ascii="Roboto" w:cs="Roboto" w:eastAsia="Roboto" w:hAnsi="Roboto"/>
          <w:b w:val="1"/>
          <w:bCs w:val="1"/>
          <w:color w:val="1f1f1f"/>
          <w:highlight w:val="white"/>
          <w:rtl w:val="0"/>
        </w:rPr>
        <w:t xml:space="preserve">vitesse d'adaptation</w:t>
      </w:r>
      <w:r w:rsidDel="00000000" w:rsidR="00000000" w:rsidRPr="00000000">
        <w:rPr>
          <w:rFonts w:ascii="Roboto" w:cs="Roboto" w:eastAsia="Roboto" w:hAnsi="Roboto"/>
          <w:color w:val="1f1f1f"/>
          <w:highlight w:val="white"/>
          <w:rtl w:val="0"/>
        </w:rPr>
        <w:t xml:space="preserve">. La réglementation change constamment, imposant des évolutions de calcul complexes. Le </w:t>
      </w:r>
      <w:r w:rsidDel="00000000" w:rsidR="00000000" w:rsidRPr="00000000">
        <w:rPr>
          <w:rFonts w:ascii="Roboto" w:cs="Roboto" w:eastAsia="Roboto" w:hAnsi="Roboto"/>
          <w:i w:val="1"/>
          <w:iCs w:val="1"/>
          <w:color w:val="1f1f1f"/>
          <w:highlight w:val="white"/>
          <w:rtl w:val="0"/>
        </w:rPr>
        <w:t xml:space="preserve">Time-to-Market</w:t>
      </w:r>
      <w:r w:rsidDel="00000000" w:rsidR="00000000" w:rsidRPr="00000000">
        <w:rPr>
          <w:rFonts w:ascii="Roboto" w:cs="Roboto" w:eastAsia="Roboto" w:hAnsi="Roboto"/>
          <w:color w:val="1f1f1f"/>
          <w:highlight w:val="white"/>
          <w:rtl w:val="0"/>
        </w:rPr>
        <w:t xml:space="preserve"> (vitesse de mise en conformité) est devenu le facteur clé de compétitivité. Le monolithe, avec ses cycles de développement longs et ses risques de régression élevés, est devenu un goulot d'étranglement stratégique freinant l'innovation métier.</w:t>
      </w:r>
    </w:p>
    <w:p w:rsidR="00000000" w:rsidDel="00000000" w:rsidP="00000000" w:rsidRDefault="00000000" w:rsidRPr="00000000" w14:paraId="00000062">
      <w:pPr>
        <w:shd w:fill="ffffff" w:val="clear"/>
        <w:spacing w:after="240" w:before="240" w:lineRule="auto"/>
        <w:jc w:val="both"/>
        <w:rPr>
          <w:rFonts w:ascii="Roboto" w:cs="Roboto" w:eastAsia="Roboto" w:hAnsi="Roboto"/>
          <w:color w:val="1f1f1f"/>
        </w:rPr>
      </w:pPr>
      <w:r w:rsidDel="00000000" w:rsidR="00000000" w:rsidRPr="00000000">
        <w:rPr>
          <w:rtl w:val="0"/>
        </w:rPr>
      </w:r>
    </w:p>
    <w:p w:rsidR="00000000" w:rsidDel="00000000" w:rsidP="00000000" w:rsidRDefault="00000000" w:rsidRPr="00000000" w14:paraId="00000063">
      <w:pPr>
        <w:spacing w:after="240" w:before="240" w:lineRule="auto"/>
        <w:jc w:val="both"/>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Simultanément, la notion de </w:t>
      </w:r>
      <w:r w:rsidDel="00000000" w:rsidR="00000000" w:rsidRPr="00000000">
        <w:rPr>
          <w:rFonts w:ascii="Roboto" w:cs="Roboto" w:eastAsia="Roboto" w:hAnsi="Roboto"/>
          <w:b w:val="1"/>
          <w:bCs w:val="1"/>
          <w:color w:val="1f1f1f"/>
          <w:highlight w:val="white"/>
          <w:rtl w:val="0"/>
        </w:rPr>
        <w:t xml:space="preserve">résilience</w:t>
      </w:r>
      <w:r w:rsidDel="00000000" w:rsidR="00000000" w:rsidRPr="00000000">
        <w:rPr>
          <w:rFonts w:ascii="Roboto" w:cs="Roboto" w:eastAsia="Roboto" w:hAnsi="Roboto"/>
          <w:color w:val="1f1f1f"/>
          <w:highlight w:val="white"/>
          <w:rtl w:val="0"/>
        </w:rPr>
        <w:t xml:space="preserve"> est devenue un impératif. Une indisponibilité ou une erreur de calcul réglementaire se traduit par des pertes de revenus, une dégradation de l'image de marque et des pénalités contractuelles. Le coût d'une non-adaptabilité a explosé, obligeant les organisations à repenser leur architecture pour maximiser la modularité. L'adoption du Cloud n'est plus une simple option technique, mais la réponse infrastructurelle à ces impératifs de flexibilité, permettant une évolution granulaire du système face à des contraintes réglementaires imprévisibles.</w:t>
      </w:r>
    </w:p>
    <w:p w:rsidR="00000000" w:rsidDel="00000000" w:rsidP="00000000" w:rsidRDefault="00000000" w:rsidRPr="00000000" w14:paraId="00000064">
      <w:pPr>
        <w:spacing w:after="240" w:before="240" w:lineRule="auto"/>
        <w:jc w:val="both"/>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65">
      <w:pPr>
        <w:spacing w:after="240" w:before="240" w:lineRule="auto"/>
        <w:jc w:val="both"/>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Dans le secteur particulier des Certificats d'Économie d'Énergie, cette mutation est accentuée par la volatilité du cadre réglementaire. Chaque nouvelle directive impose des ajustements de calcul qui ne sont pas de simples mises à jour logicielles, mais des révisions de logique métier profonde. L'enjeu pour le Groupe Adeena n'est plus seulement d'être disponible, mais d'être </w:t>
      </w:r>
      <w:r w:rsidDel="00000000" w:rsidR="00000000" w:rsidRPr="00000000">
        <w:rPr>
          <w:rFonts w:ascii="Roboto" w:cs="Roboto" w:eastAsia="Roboto" w:hAnsi="Roboto"/>
          <w:i w:val="1"/>
          <w:iCs w:val="1"/>
          <w:color w:val="1f1f1f"/>
          <w:highlight w:val="white"/>
          <w:rtl w:val="0"/>
        </w:rPr>
        <w:t xml:space="preserve">agile dans l'application de la norme</w:t>
      </w:r>
      <w:r w:rsidDel="00000000" w:rsidR="00000000" w:rsidRPr="00000000">
        <w:rPr>
          <w:rFonts w:ascii="Roboto" w:cs="Roboto" w:eastAsia="Roboto" w:hAnsi="Roboto"/>
          <w:color w:val="1f1f1f"/>
          <w:highlight w:val="white"/>
          <w:rtl w:val="0"/>
        </w:rPr>
        <w:t xml:space="preserve">. Un système qui met trois mois à intégrer une nouvelle règle de calcul est, de facto, un système obsolète, quel que soit son taux de disponibilité. Cette pression extérieure transforme l'architecture IT en un avantage compétitif stratégique, où la capacité à modifier une règle sans impacter le reste du système devient le critère premier de succès. </w:t>
      </w:r>
    </w:p>
    <w:p w:rsidR="00000000" w:rsidDel="00000000" w:rsidP="00000000" w:rsidRDefault="00000000" w:rsidRPr="00000000" w14:paraId="00000066">
      <w:pPr>
        <w:pStyle w:val="Heading2"/>
        <w:spacing w:after="240" w:before="240" w:lineRule="auto"/>
        <w:jc w:val="both"/>
        <w:rPr>
          <w:rFonts w:ascii="Roboto" w:cs="Roboto" w:eastAsia="Roboto" w:hAnsi="Roboto"/>
          <w:color w:val="1f1f1f"/>
        </w:rPr>
      </w:pPr>
      <w:bookmarkStart w:colFirst="0" w:colLast="0" w:name="_heading=h.hj64b0bk9szf" w:id="3"/>
      <w:bookmarkEnd w:id="3"/>
      <w:r w:rsidDel="00000000" w:rsidR="00000000" w:rsidRPr="00000000">
        <w:rPr>
          <w:rtl w:val="0"/>
        </w:rPr>
        <w:t xml:space="preserve">3. Le paradoxe de l'Agilité et la rigidité du Monolithe</w:t>
      </w:r>
      <w:r w:rsidDel="00000000" w:rsidR="00000000" w:rsidRPr="00000000">
        <w:rPr>
          <w:rtl w:val="0"/>
        </w:rPr>
      </w:r>
    </w:p>
    <w:p w:rsidR="00000000" w:rsidDel="00000000" w:rsidP="00000000" w:rsidRDefault="00000000" w:rsidRPr="00000000" w14:paraId="00000067">
      <w:pPr>
        <w:spacing w:after="240" w:before="240" w:lineRule="auto"/>
        <w:jc w:val="both"/>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La contradiction fondamentale réside dans l'intersection des méthodologies organisationnelles agiles (Scrum, Kanban) et de l'architecture technique. Depuis plus d'une décennie, les organisations structurent leur travail en cycles courts pour livrer de la valeur rapidement. Cependant, ces efforts se heurtent au mur de l'architecture monolithique existante.</w:t>
      </w:r>
    </w:p>
    <w:p w:rsidR="00000000" w:rsidDel="00000000" w:rsidP="00000000" w:rsidRDefault="00000000" w:rsidRPr="00000000" w14:paraId="00000068">
      <w:pPr>
        <w:shd w:fill="ffffff" w:val="clear"/>
        <w:spacing w:after="240" w:before="240" w:lineRule="auto"/>
        <w:jc w:val="both"/>
        <w:rPr>
          <w:rFonts w:ascii="Roboto" w:cs="Roboto" w:eastAsia="Roboto" w:hAnsi="Roboto"/>
          <w:color w:val="1f1f1f"/>
        </w:rPr>
      </w:pPr>
      <w:r w:rsidDel="00000000" w:rsidR="00000000" w:rsidRPr="00000000">
        <w:rPr>
          <w:rtl w:val="0"/>
        </w:rPr>
      </w:r>
    </w:p>
    <w:p w:rsidR="00000000" w:rsidDel="00000000" w:rsidP="00000000" w:rsidRDefault="00000000" w:rsidRPr="00000000" w14:paraId="00000069">
      <w:pPr>
        <w:spacing w:after="240" w:before="240" w:lineRule="auto"/>
        <w:jc w:val="both"/>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Ce paradoxe de l'Agilité est clair : les équipes sont alignées sur la vitesse, mais l'architecture monolithique impose des cycles de mise en production lourds. Chaque modification mineure exige une recompilation et un risque élevé de régression. Puisque tout est lié, le risque de briser une fonctionnalité existante est maximal, transformant chaque mise en production en événement rare et stressant. En citant le Cloud comme simple évidence, on occulte la pression stratégique réelle. C’est la nécessité de résoudre ce paradoxe (Agilité organisationnelle vs Rigidité technique) qui justifie l'exploration des architectures distribuées.</w:t>
      </w:r>
    </w:p>
    <w:p w:rsidR="00000000" w:rsidDel="00000000" w:rsidP="00000000" w:rsidRDefault="00000000" w:rsidRPr="00000000" w14:paraId="0000006A">
      <w:pPr>
        <w:shd w:fill="ffffff" w:val="clear"/>
        <w:spacing w:after="240" w:before="240" w:lineRule="auto"/>
        <w:jc w:val="both"/>
        <w:rPr>
          <w:rFonts w:ascii="Roboto" w:cs="Roboto" w:eastAsia="Roboto" w:hAnsi="Roboto"/>
          <w:color w:val="1f1f1f"/>
        </w:rPr>
      </w:pPr>
      <w:r w:rsidDel="00000000" w:rsidR="00000000" w:rsidRPr="00000000">
        <w:rPr>
          <w:rtl w:val="0"/>
        </w:rPr>
      </w:r>
    </w:p>
    <w:p w:rsidR="00000000" w:rsidDel="00000000" w:rsidP="00000000" w:rsidRDefault="00000000" w:rsidRPr="00000000" w14:paraId="0000006B">
      <w:pPr>
        <w:spacing w:after="240" w:before="240" w:lineRule="auto"/>
        <w:jc w:val="both"/>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Le passage aux micro-services s'impose comme une transformation stratégique : décomposer l'application en services autonomes pour permettre une évolution indépendante des règles métiers. Cet enjeu est critique, car il doit être mené sans compromettre la stabilité opérationnelle, condition essentielle à la réussite du projet.</w:t>
      </w:r>
    </w:p>
    <w:p w:rsidR="00000000" w:rsidDel="00000000" w:rsidP="00000000" w:rsidRDefault="00000000" w:rsidRPr="00000000" w14:paraId="0000006C">
      <w:pPr>
        <w:spacing w:after="240" w:before="240" w:lineRule="auto"/>
        <w:jc w:val="both"/>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6D">
      <w:pPr>
        <w:spacing w:after="240" w:before="240" w:lineRule="auto"/>
        <w:jc w:val="both"/>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Au-delà des cycles de déploiement, ce paradoxe révèle une problématique plus insidieuse : l'explosion de la charge cognitive. Dans un monolithe devenu mature, la connaissance du système est devenue trop vaste pour qu'un seul développeur ou une seule équipe puisse en appréhender la globalité. Chaque correction devient une enquête complexe sur des dépendances méconnues, augmentant mécaniquement le stress des équipes et le risque d'erreur humaine. L'architecture monolithique, en devenant une 'boîte noire' où tout interagit avec tout, brise l'autonomie des développeurs. Le passage aux micro-services est donc autant une nécessité technique pour le système qu'une solution managériale pour rendre le travail des équipes soutenable et prévisible. </w:t>
      </w:r>
    </w:p>
    <w:p w:rsidR="00000000" w:rsidDel="00000000" w:rsidP="00000000" w:rsidRDefault="00000000" w:rsidRPr="00000000" w14:paraId="0000006E">
      <w:pPr>
        <w:pStyle w:val="Heading2"/>
        <w:spacing w:after="240" w:before="240" w:lineRule="auto"/>
        <w:jc w:val="both"/>
        <w:rPr>
          <w:rFonts w:ascii="Roboto" w:cs="Roboto" w:eastAsia="Roboto" w:hAnsi="Roboto"/>
          <w:color w:val="1f1f1f"/>
        </w:rPr>
      </w:pPr>
      <w:bookmarkStart w:colFirst="0" w:colLast="0" w:name="_heading=h.thjrtlts0qqx" w:id="4"/>
      <w:bookmarkEnd w:id="4"/>
      <w:r w:rsidDel="00000000" w:rsidR="00000000" w:rsidRPr="00000000">
        <w:rPr>
          <w:rtl w:val="0"/>
        </w:rPr>
        <w:t xml:space="preserve">4. Les 7 différences</w:t>
      </w:r>
      <w:r w:rsidDel="00000000" w:rsidR="00000000" w:rsidRPr="00000000">
        <w:rPr>
          <w:rtl w:val="0"/>
        </w:rPr>
      </w:r>
    </w:p>
    <w:p w:rsidR="00000000" w:rsidDel="00000000" w:rsidP="00000000" w:rsidRDefault="00000000" w:rsidRPr="00000000" w14:paraId="0000006F">
      <w:pPr>
        <w:spacing w:after="240" w:before="240" w:lineRule="auto"/>
        <w:jc w:val="both"/>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L'architecture monolithique se définit par un couplage fort et un cycle de vie unifié, où toute modification requiert le re-déploiement total. Avec l'évolution des exigences, ce modèle génère une "dette technique" qui agit comme un intérêt financier négatif : chaque nouvelle règle réglementaire coûte plus cher à implémenter, car les développeurs contournent des dépendances complexes au lieu d'innover.</w:t>
      </w:r>
    </w:p>
    <w:p w:rsidR="00000000" w:rsidDel="00000000" w:rsidP="00000000" w:rsidRDefault="00000000" w:rsidRPr="00000000" w14:paraId="00000070">
      <w:pPr>
        <w:shd w:fill="ffffff" w:val="clear"/>
        <w:spacing w:after="240" w:before="240" w:lineRule="auto"/>
        <w:jc w:val="both"/>
        <w:rPr>
          <w:rFonts w:ascii="Roboto" w:cs="Roboto" w:eastAsia="Roboto" w:hAnsi="Roboto"/>
          <w:color w:val="1f1f1f"/>
        </w:rPr>
      </w:pPr>
      <w:r w:rsidDel="00000000" w:rsidR="00000000" w:rsidRPr="00000000">
        <w:rPr>
          <w:rtl w:val="0"/>
        </w:rPr>
      </w:r>
    </w:p>
    <w:p w:rsidR="00000000" w:rsidDel="00000000" w:rsidP="00000000" w:rsidRDefault="00000000" w:rsidRPr="00000000" w14:paraId="00000071">
      <w:pPr>
        <w:spacing w:after="240" w:before="240" w:lineRule="auto"/>
        <w:jc w:val="both"/>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Le passage aux micro-services est un changement de paradigme : le système bascule vers un système distribué. Chaque service gère son périmètre fonctionnel (Bounded Contexts) et sa base de données, permettant une scalabilité et une indépendance de déploiement totales.</w:t>
      </w:r>
    </w:p>
    <w:p w:rsidR="00000000" w:rsidDel="00000000" w:rsidP="00000000" w:rsidRDefault="00000000" w:rsidRPr="00000000" w14:paraId="00000072">
      <w:pPr>
        <w:shd w:fill="ffffff" w:val="clear"/>
        <w:spacing w:after="240" w:before="240" w:lineRule="auto"/>
        <w:jc w:val="both"/>
        <w:rPr>
          <w:rFonts w:ascii="Roboto" w:cs="Roboto" w:eastAsia="Roboto" w:hAnsi="Roboto"/>
          <w:color w:val="1f1f1f"/>
        </w:rPr>
      </w:pPr>
      <w:r w:rsidDel="00000000" w:rsidR="00000000" w:rsidRPr="00000000">
        <w:rPr>
          <w:rtl w:val="0"/>
        </w:rPr>
      </w:r>
    </w:p>
    <w:p w:rsidR="00000000" w:rsidDel="00000000" w:rsidP="00000000" w:rsidRDefault="00000000" w:rsidRPr="00000000" w14:paraId="00000073">
      <w:pPr>
        <w:spacing w:after="240" w:before="240" w:lineRule="auto"/>
        <w:jc w:val="both"/>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Il est essentiel d'adopter une posture critique. Cette architecture n'est pas une solution magique. Elle résout les problèmes de scalabilité et d'alignement avec l'Agilité, mais augmente la complexité opérationnelle. La gestion d'un réseau de services exige une maturité DevOps élevée, une expertise dans l'orchestration et l'implémentation rigoureuse d'outils d'observabilité pour diagnostiquer rapidement les incidents et garantir la résilience du système. Ce mémoire se concentre sur la maîtrise de cette complexité.</w:t>
      </w:r>
    </w:p>
    <w:p w:rsidR="00000000" w:rsidDel="00000000" w:rsidP="00000000" w:rsidRDefault="00000000" w:rsidRPr="00000000" w14:paraId="00000074">
      <w:pPr>
        <w:pStyle w:val="Heading2"/>
        <w:spacing w:after="240" w:before="240" w:lineRule="auto"/>
        <w:jc w:val="both"/>
        <w:rPr/>
      </w:pPr>
      <w:bookmarkStart w:colFirst="0" w:colLast="0" w:name="_heading=h.txhg03asbqew" w:id="5"/>
      <w:bookmarkEnd w:id="5"/>
      <w:r w:rsidDel="00000000" w:rsidR="00000000" w:rsidRPr="00000000">
        <w:rPr>
          <w:rtl w:val="0"/>
        </w:rPr>
        <w:t xml:space="preserve">5. Présentation de la problématique</w:t>
      </w:r>
    </w:p>
    <w:p w:rsidR="00000000" w:rsidDel="00000000" w:rsidP="00000000" w:rsidRDefault="00000000" w:rsidRPr="00000000" w14:paraId="00000075">
      <w:pPr>
        <w:spacing w:after="240" w:before="240" w:lineRule="auto"/>
        <w:jc w:val="both"/>
        <w:rPr>
          <w:rFonts w:ascii="Roboto" w:cs="Roboto" w:eastAsia="Roboto" w:hAnsi="Roboto"/>
          <w:b w:val="1"/>
          <w:bCs w:val="1"/>
          <w:color w:val="1f1f1f"/>
          <w:highlight w:val="white"/>
        </w:rPr>
      </w:pPr>
      <w:r w:rsidDel="00000000" w:rsidR="00000000" w:rsidRPr="00000000">
        <w:rPr>
          <w:rFonts w:ascii="Roboto" w:cs="Roboto" w:eastAsia="Roboto" w:hAnsi="Roboto"/>
          <w:color w:val="1f1f1f"/>
          <w:highlight w:val="white"/>
          <w:rtl w:val="0"/>
        </w:rPr>
        <w:t xml:space="preserve">La question centrale de cette étude est : </w:t>
      </w:r>
      <w:r w:rsidDel="00000000" w:rsidR="00000000" w:rsidRPr="00000000">
        <w:rPr>
          <w:rFonts w:ascii="Roboto" w:cs="Roboto" w:eastAsia="Roboto" w:hAnsi="Roboto"/>
          <w:b w:val="1"/>
          <w:bCs w:val="1"/>
          <w:color w:val="1f1f1f"/>
          <w:highlight w:val="white"/>
          <w:rtl w:val="0"/>
        </w:rPr>
        <w:t xml:space="preserve">Comment migrer une architecture monolithique vers des micro-services pour garantir une agilité réglementaire optimale tout en assurant la résilience opérationnelle du système ?</w:t>
      </w:r>
    </w:p>
    <w:p w:rsidR="00000000" w:rsidDel="00000000" w:rsidP="00000000" w:rsidRDefault="00000000" w:rsidRPr="00000000" w14:paraId="00000076">
      <w:pPr>
        <w:shd w:fill="ffffff" w:val="clear"/>
        <w:spacing w:after="240" w:before="240" w:lineRule="auto"/>
        <w:jc w:val="both"/>
        <w:rPr>
          <w:rFonts w:ascii="Roboto" w:cs="Roboto" w:eastAsia="Roboto" w:hAnsi="Roboto"/>
          <w:color w:val="1f1f1f"/>
        </w:rPr>
      </w:pPr>
      <w:r w:rsidDel="00000000" w:rsidR="00000000" w:rsidRPr="00000000">
        <w:rPr>
          <w:rtl w:val="0"/>
        </w:rPr>
      </w:r>
    </w:p>
    <w:p w:rsidR="00000000" w:rsidDel="00000000" w:rsidP="00000000" w:rsidRDefault="00000000" w:rsidRPr="00000000" w14:paraId="00000077">
      <w:pPr>
        <w:spacing w:after="240" w:before="240" w:lineRule="auto"/>
        <w:jc w:val="both"/>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Cette problématique se déploie en trois défis majeurs :</w:t>
      </w:r>
    </w:p>
    <w:p w:rsidR="00000000" w:rsidDel="00000000" w:rsidP="00000000" w:rsidRDefault="00000000" w:rsidRPr="00000000" w14:paraId="00000078">
      <w:pPr>
        <w:numPr>
          <w:ilvl w:val="0"/>
          <w:numId w:val="15"/>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rtl w:val="0"/>
        </w:rPr>
        <w:t xml:space="preserve">Le Défi Technique : La rupture du modèle transactionnel.</w:t>
      </w:r>
      <w:r w:rsidDel="00000000" w:rsidR="00000000" w:rsidRPr="00000000">
        <w:rPr>
          <w:rFonts w:ascii="Roboto" w:cs="Roboto" w:eastAsia="Roboto" w:hAnsi="Roboto"/>
          <w:color w:val="1f1f1f"/>
          <w:rtl w:val="0"/>
        </w:rPr>
        <w:t xml:space="preserve"> L'adoption des micro-services impose l'éclatement des données. L'ingénierie doit alors gérer la cohérence à terme (</w:t>
      </w:r>
      <w:r w:rsidDel="00000000" w:rsidR="00000000" w:rsidRPr="00000000">
        <w:rPr>
          <w:rFonts w:ascii="Roboto" w:cs="Roboto" w:eastAsia="Roboto" w:hAnsi="Roboto"/>
          <w:i w:val="1"/>
          <w:iCs w:val="1"/>
          <w:color w:val="1f1f1f"/>
          <w:rtl w:val="0"/>
        </w:rPr>
        <w:t xml:space="preserve">eventual consistency</w:t>
      </w:r>
      <w:r w:rsidDel="00000000" w:rsidR="00000000" w:rsidRPr="00000000">
        <w:rPr>
          <w:rFonts w:ascii="Roboto" w:cs="Roboto" w:eastAsia="Roboto" w:hAnsi="Roboto"/>
          <w:color w:val="1f1f1f"/>
          <w:rtl w:val="0"/>
        </w:rPr>
        <w:t xml:space="preserve">) pour assurer l'intégrité globale sans compromettre l'autonomie des services.</w:t>
      </w:r>
    </w:p>
    <w:p w:rsidR="00000000" w:rsidDel="00000000" w:rsidP="00000000" w:rsidRDefault="00000000" w:rsidRPr="00000000" w14:paraId="00000079">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Le Défi Opérationnel : L'adaptabilité continue.</w:t>
      </w:r>
      <w:r w:rsidDel="00000000" w:rsidR="00000000" w:rsidRPr="00000000">
        <w:rPr>
          <w:rFonts w:ascii="Roboto" w:cs="Roboto" w:eastAsia="Roboto" w:hAnsi="Roboto"/>
          <w:color w:val="1f1f1f"/>
          <w:rtl w:val="0"/>
        </w:rPr>
        <w:t xml:space="preserve"> La résilience est liée à la capacité à déployer sans interruption. L'enjeu est d'atteindre le "Zero Downtime" (ZDD) pour mettre en place de nouvelles règles métiers ou correctifs instantanément, sans attendre des fenêtres de maintenance coûteuses.</w:t>
      </w:r>
    </w:p>
    <w:p w:rsidR="00000000" w:rsidDel="00000000" w:rsidP="00000000" w:rsidRDefault="00000000" w:rsidRPr="00000000" w14:paraId="0000007A">
      <w:pPr>
        <w:numPr>
          <w:ilvl w:val="0"/>
          <w:numId w:val="15"/>
        </w:numPr>
        <w:shd w:fill="ffffff" w:val="clear"/>
        <w:spacing w:after="240" w:before="0" w:beforeAutospacing="0" w:lineRule="auto"/>
        <w:ind w:left="720" w:hanging="360"/>
      </w:pPr>
      <w:r w:rsidDel="00000000" w:rsidR="00000000" w:rsidRPr="00000000">
        <w:rPr>
          <w:rFonts w:ascii="Roboto" w:cs="Roboto" w:eastAsia="Roboto" w:hAnsi="Roboto"/>
          <w:b w:val="1"/>
          <w:bCs w:val="1"/>
          <w:color w:val="1f1f1f"/>
          <w:rtl w:val="0"/>
        </w:rPr>
        <w:t xml:space="preserve">Le Défi Humain : La culture DevOps.</w:t>
      </w:r>
      <w:r w:rsidDel="00000000" w:rsidR="00000000" w:rsidRPr="00000000">
        <w:rPr>
          <w:rFonts w:ascii="Roboto" w:cs="Roboto" w:eastAsia="Roboto" w:hAnsi="Roboto"/>
          <w:color w:val="1f1f1f"/>
          <w:rtl w:val="0"/>
        </w:rPr>
        <w:t xml:space="preserve"> Réussir la migration implique une transformation culturelle radicale pour que les équipes adoptent la responsabilité totale du cycle de vie de leurs services, de l'écriture du code au maintien en conditions opérationnelles.</w:t>
      </w:r>
    </w:p>
    <w:p w:rsidR="00000000" w:rsidDel="00000000" w:rsidP="00000000" w:rsidRDefault="00000000" w:rsidRPr="00000000" w14:paraId="0000007B">
      <w:pPr>
        <w:pStyle w:val="Heading2"/>
        <w:shd w:fill="ffffff" w:val="clear"/>
        <w:spacing w:after="240" w:before="240" w:lineRule="auto"/>
        <w:jc w:val="both"/>
        <w:rPr/>
      </w:pPr>
      <w:bookmarkStart w:colFirst="0" w:colLast="0" w:name="_heading=h.bxglsm3i27i1" w:id="6"/>
      <w:bookmarkEnd w:id="6"/>
      <w:r w:rsidDel="00000000" w:rsidR="00000000" w:rsidRPr="00000000">
        <w:rPr>
          <w:rtl w:val="0"/>
        </w:rPr>
        <w:t xml:space="preserve">6. Objectifs du mémoire et annonce de plan</w:t>
      </w:r>
    </w:p>
    <w:p w:rsidR="00000000" w:rsidDel="00000000" w:rsidP="00000000" w:rsidRDefault="00000000" w:rsidRPr="00000000" w14:paraId="0000007C">
      <w:pPr>
        <w:spacing w:after="240" w:before="240" w:lineRule="auto"/>
        <w:jc w:val="both"/>
        <w:rPr>
          <w:rFonts w:ascii="Arial" w:cs="Arial" w:eastAsia="Arial" w:hAnsi="Arial"/>
        </w:rPr>
      </w:pPr>
      <w:r w:rsidDel="00000000" w:rsidR="00000000" w:rsidRPr="00000000">
        <w:rPr>
          <w:rFonts w:ascii="Roboto" w:cs="Roboto" w:eastAsia="Roboto" w:hAnsi="Roboto"/>
          <w:color w:val="1f1f1f"/>
          <w:highlight w:val="white"/>
          <w:rtl w:val="0"/>
        </w:rPr>
        <w:t xml:space="preserve">Notre démarche s'articulera en quatre temps. (Partie I) : Diagnostic rigoureux des besoins d'agilité réglementaire du Groupe Adeena face aux réalités techniques. (Partie II) : Définition de l'architecture cible via le </w:t>
      </w:r>
      <w:r w:rsidDel="00000000" w:rsidR="00000000" w:rsidRPr="00000000">
        <w:rPr>
          <w:rFonts w:ascii="Roboto" w:cs="Roboto" w:eastAsia="Roboto" w:hAnsi="Roboto"/>
          <w:i w:val="1"/>
          <w:iCs w:val="1"/>
          <w:color w:val="1f1f1f"/>
          <w:highlight w:val="white"/>
          <w:rtl w:val="0"/>
        </w:rPr>
        <w:t xml:space="preserve">Domain-Driven Design</w:t>
      </w:r>
      <w:r w:rsidDel="00000000" w:rsidR="00000000" w:rsidRPr="00000000">
        <w:rPr>
          <w:rFonts w:ascii="Roboto" w:cs="Roboto" w:eastAsia="Roboto" w:hAnsi="Roboto"/>
          <w:color w:val="1f1f1f"/>
          <w:highlight w:val="white"/>
          <w:rtl w:val="0"/>
        </w:rPr>
        <w:t xml:space="preserve"> et les outils d'observabilité. (Partie III) : Pilotage de projet, gestion d'équipe et conduite du changement. (Partie IV) : Recommandations stratégiques, analyse de la valeur et ROI d'une transition pérenne.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F">
      <w:pPr>
        <w:pStyle w:val="Heading1"/>
        <w:jc w:val="both"/>
        <w:rPr/>
      </w:pPr>
      <w:bookmarkStart w:colFirst="0" w:colLast="0" w:name="_heading=h.mn2cqaiybymr" w:id="7"/>
      <w:bookmarkEnd w:id="7"/>
      <w:r w:rsidDel="00000000" w:rsidR="00000000" w:rsidRPr="00000000">
        <w:rPr>
          <w:rtl w:val="0"/>
        </w:rPr>
        <w:t xml:space="preserve">Partie I : Contexte et diagnostic </w:t>
      </w:r>
    </w:p>
    <w:p w:rsidR="00000000" w:rsidDel="00000000" w:rsidP="00000000" w:rsidRDefault="00000000" w:rsidRPr="00000000" w14:paraId="00000080">
      <w:pPr>
        <w:pStyle w:val="Heading2"/>
        <w:numPr>
          <w:ilvl w:val="0"/>
          <w:numId w:val="7"/>
        </w:numPr>
        <w:ind w:left="720" w:hanging="360"/>
        <w:jc w:val="both"/>
      </w:pPr>
      <w:bookmarkStart w:colFirst="0" w:colLast="0" w:name="_heading=h.qqr8nwayquvg" w:id="8"/>
      <w:bookmarkEnd w:id="8"/>
      <w:r w:rsidDel="00000000" w:rsidR="00000000" w:rsidRPr="00000000">
        <w:rPr>
          <w:rtl w:val="0"/>
        </w:rPr>
        <w:t xml:space="preserve">1. Présentation de l’entreprise (Groupe Adeena) et contexte du S.I. :</w:t>
      </w:r>
    </w:p>
    <w:p w:rsidR="00000000" w:rsidDel="00000000" w:rsidP="00000000" w:rsidRDefault="00000000" w:rsidRPr="00000000" w14:paraId="00000081">
      <w:pPr>
        <w:spacing w:after="160" w:line="277.992" w:lineRule="auto"/>
        <w:jc w:val="both"/>
        <w:rPr/>
      </w:pPr>
      <w:r w:rsidDel="00000000" w:rsidR="00000000" w:rsidRPr="00000000">
        <w:rPr>
          <w:rtl w:val="0"/>
        </w:rPr>
        <w:t xml:space="preserve">L'entreprise opère dans le secteur du Certificat d’économie d’énergie (CEE). Le dispositif des Certificats d'Économies d'Énergie (CEE) est un mécanisme réglementaire français, issu de la loi POPE de 2005, qui oblige les fournisseurs d'énergie à promouvoir l'efficacité énergétique en finançant des travaux de rénovation chez leurs clients afin d'atteindre des objectifs d'économies fixés par l'État. L'organisation interne du service informatique est structurée autour de deux équipes, l’équipe produit et l’équipe développement, qui collaborent étroitement. L'ensemble des processus métier critiques (traitement, qualité, facturation) repose sur une </w:t>
      </w:r>
      <w:r w:rsidDel="00000000" w:rsidR="00000000" w:rsidRPr="00000000">
        <w:rPr>
          <w:b w:val="1"/>
          <w:bCs w:val="1"/>
          <w:rtl w:val="0"/>
        </w:rPr>
        <w:t xml:space="preserve">application métier monolithique</w:t>
      </w:r>
      <w:r w:rsidDel="00000000" w:rsidR="00000000" w:rsidRPr="00000000">
        <w:rPr>
          <w:rtl w:val="0"/>
        </w:rPr>
        <w:t xml:space="preserve"> développée initialement par une Entreprise de Service Numérique (ESN). La décision stratégique de reprendre le développement en interne a confronté les équipes à l'application existante, marquant le début d'un diagnostic critique qui justifie la présente étude.</w:t>
      </w:r>
    </w:p>
    <w:p w:rsidR="00000000" w:rsidDel="00000000" w:rsidP="00000000" w:rsidRDefault="00000000" w:rsidRPr="00000000" w14:paraId="00000082">
      <w:pPr>
        <w:pStyle w:val="Heading2"/>
        <w:numPr>
          <w:ilvl w:val="0"/>
          <w:numId w:val="7"/>
        </w:numPr>
        <w:ind w:left="720" w:hanging="360"/>
        <w:jc w:val="both"/>
      </w:pPr>
      <w:bookmarkStart w:colFirst="0" w:colLast="0" w:name="_heading=h.fbgs7m6jmyq" w:id="9"/>
      <w:bookmarkEnd w:id="9"/>
      <w:r w:rsidDel="00000000" w:rsidR="00000000" w:rsidRPr="00000000">
        <w:rPr>
          <w:rtl w:val="0"/>
        </w:rPr>
        <w:t xml:space="preserve">2. Diagnostic critique : La dette technique et l'impératif de la disponibilité</w:t>
      </w:r>
    </w:p>
    <w:p w:rsidR="00000000" w:rsidDel="00000000" w:rsidP="00000000" w:rsidRDefault="00000000" w:rsidRPr="00000000" w14:paraId="00000083">
      <w:pPr>
        <w:jc w:val="both"/>
        <w:rPr/>
      </w:pPr>
      <w:r w:rsidDel="00000000" w:rsidR="00000000" w:rsidRPr="00000000">
        <w:rPr>
          <w:rtl w:val="0"/>
        </w:rPr>
        <w:t xml:space="preserve">Le monolithe, bien qu'étant le pilier des opérations, est devenu le principal goulot d'étranglement de l'organisation. L’application ayant été développée en externe, la reprise en interne a révélé un code difficilement maintenable, souvent lié à l'utilisation de technologies obsolètes ou maîtrisées de façon hétérogène par les développeurs nouvellement recrutés.</w:t>
      </w:r>
    </w:p>
    <w:p w:rsidR="00000000" w:rsidDel="00000000" w:rsidP="00000000" w:rsidRDefault="00000000" w:rsidRPr="00000000" w14:paraId="00000084">
      <w:pPr>
        <w:jc w:val="both"/>
        <w:rPr/>
      </w:pPr>
      <w:r w:rsidDel="00000000" w:rsidR="00000000" w:rsidRPr="00000000">
        <w:rPr>
          <w:b w:val="1"/>
          <w:bCs w:val="1"/>
          <w:rtl w:val="0"/>
        </w:rPr>
        <w:t xml:space="preserve">2.1. Le coût réel de la dette technique</w:t>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La dette technique accumulée dans le monolithe se traduit par un coût financier direct qui menace l'agilité de l'entreprise. L'analyse des tickets montre que 60% du temps de développement est alloué à la résolution de bugs et à la navigation dans un code complexe pour contourner des dépendances cachées, au lieu d'être consacré à la création de nouvelles fonctionnalités (Time-to-Market). De plus, les cycles de déploiement sont longs et risqués : l'entreprise fait face, en moyenne, à </w:t>
      </w:r>
      <w:r w:rsidDel="00000000" w:rsidR="00000000" w:rsidRPr="00000000">
        <w:rPr>
          <w:b w:val="1"/>
          <w:bCs w:val="1"/>
          <w:rtl w:val="0"/>
        </w:rPr>
        <w:t xml:space="preserve">une régression majeure</w:t>
      </w:r>
      <w:r w:rsidDel="00000000" w:rsidR="00000000" w:rsidRPr="00000000">
        <w:rPr>
          <w:rtl w:val="0"/>
        </w:rPr>
        <w:t xml:space="preserve"> par trimestre lors des mises en production. Ces incidents exigent des rollbacks coûteux en temps humain et retardent la livraison de la valeur métier.</w:t>
      </w:r>
    </w:p>
    <w:p w:rsidR="00000000" w:rsidDel="00000000" w:rsidP="00000000" w:rsidRDefault="00000000" w:rsidRPr="00000000" w14:paraId="00000086">
      <w:pPr>
        <w:jc w:val="both"/>
        <w:rPr/>
      </w:pPr>
      <w:r w:rsidDel="00000000" w:rsidR="00000000" w:rsidRPr="00000000">
        <w:rPr>
          <w:b w:val="1"/>
          <w:bCs w:val="1"/>
          <w:rtl w:val="0"/>
        </w:rPr>
        <w:t xml:space="preserve">2.2. L'impact financier de l'indisponibilité</w:t>
      </w: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Dans le secteur réglementé du CEE, la haute disponibilité est un impératif contractuel. Les indisponibilités de l'application métier ne sont plus de simples désagréments, mais des pertes directes de revenus et un blocage complet de toute l’entreprise. Si l’application métier se voyait ne plus marcher pendant les horaires de travail, 80% des employés de Adeena ne pourraient plus travailler. En raison de la paralysie des processus de traitement et de facturation. Sachant que les déploiements lourds et complexes requièrent régulièrement des fenêtres de maintenance pouvant aller jusqu'à </w:t>
      </w:r>
      <w:r w:rsidDel="00000000" w:rsidR="00000000" w:rsidRPr="00000000">
        <w:rPr>
          <w:b w:val="1"/>
          <w:bCs w:val="1"/>
          <w:rtl w:val="0"/>
        </w:rPr>
        <w:t xml:space="preserve">deux heures</w:t>
      </w:r>
      <w:r w:rsidDel="00000000" w:rsidR="00000000" w:rsidRPr="00000000">
        <w:rPr>
          <w:rtl w:val="0"/>
        </w:rPr>
        <w:t xml:space="preserve"> pour les mises à jour majeures, le risque financier potentiel est exorbitant. La fréquence des bugs et la complexité du monolithe accroissent ce risque, rendant la résilience du système insoutenable à moyen terme. L’entreprise perdrait également en crédibilité auprès des professionnels qui ont choisi Adeena pour gérer leur dossiers CEE car l’indice de disponibilités minimal  pour une entreprise est de 99.9% ce qui est la norme aujourd’hui, cela représente 8h45 et 35 seconde d’indisponibilités par an, la marge d’erreur est faible mais pour qu’une entreprise reste compétitive, il est indispensable de s’y tenir.</w:t>
      </w:r>
    </w:p>
    <w:p w:rsidR="00000000" w:rsidDel="00000000" w:rsidP="00000000" w:rsidRDefault="00000000" w:rsidRPr="00000000" w14:paraId="00000088">
      <w:pPr>
        <w:jc w:val="both"/>
        <w:rPr/>
      </w:pPr>
      <w:r w:rsidDel="00000000" w:rsidR="00000000" w:rsidRPr="00000000">
        <w:rPr>
          <w:b w:val="1"/>
          <w:bCs w:val="1"/>
          <w:rtl w:val="0"/>
        </w:rPr>
        <w:t xml:space="preserve">2.3. La problématique centrale du diagnostic</w:t>
      </w: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Le diagnostic critique révèle une contradiction : l'entreprise doit croître et innover rapidement (impératif Agilité), mais son architecture actuelle la maintient dans un état de forte vulnérabilité opérationnelle et financière. L'application des micro-services est la réponse à ces impératifs, mais la complexité de l'écosystème distribué ne doit pas surcharger la capacité d'une équipe technique de taille modérée.</w:t>
      </w:r>
    </w:p>
    <w:p w:rsidR="00000000" w:rsidDel="00000000" w:rsidP="00000000" w:rsidRDefault="00000000" w:rsidRPr="00000000" w14:paraId="0000008A">
      <w:pPr>
        <w:jc w:val="both"/>
        <w:rPr/>
      </w:pPr>
      <w:r w:rsidDel="00000000" w:rsidR="00000000" w:rsidRPr="00000000">
        <w:rPr>
          <w:rtl w:val="0"/>
        </w:rPr>
        <w:t xml:space="preserve">Cette réalité conduit à la question centrale qui structure ce mémoire : </w:t>
      </w:r>
      <w:r w:rsidDel="00000000" w:rsidR="00000000" w:rsidRPr="00000000">
        <w:rPr>
          <w:b w:val="1"/>
          <w:bCs w:val="1"/>
          <w:rtl w:val="0"/>
        </w:rPr>
        <w:t xml:space="preserve">Comment migrer vers une architecture distribuée pour garantir une disponibilité continue sans surcharger une équipe technique de taille modérée ?</w:t>
      </w:r>
      <w:r w:rsidDel="00000000" w:rsidR="00000000" w:rsidRPr="00000000">
        <w:rPr>
          <w:rtl w:val="0"/>
        </w:rPr>
      </w:r>
    </w:p>
    <w:p w:rsidR="00000000" w:rsidDel="00000000" w:rsidP="00000000" w:rsidRDefault="00000000" w:rsidRPr="00000000" w14:paraId="0000008B">
      <w:pPr>
        <w:numPr>
          <w:ilvl w:val="1"/>
          <w:numId w:val="7"/>
        </w:numPr>
        <w:ind w:left="1440" w:hanging="360"/>
        <w:jc w:val="both"/>
        <w:rPr>
          <w:b w:val="1"/>
          <w:bCs w:val="1"/>
        </w:rPr>
      </w:pPr>
      <w:r w:rsidDel="00000000" w:rsidR="00000000" w:rsidRPr="00000000">
        <w:rPr>
          <w:b w:val="1"/>
          <w:bCs w:val="1"/>
          <w:rtl w:val="0"/>
        </w:rPr>
        <w:t xml:space="preserve">Contraintes de continuité : SLA (Service Level Agreement) actuels à respecter durant la transition.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contrainte majeure et la plus critique de ce processus de migration réside dans l'impératif de continuité de 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effet, l'application concernée occupe une position centrale au sein de l'architecture informatique et des processus métier de l'entreprise.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Compte tenu du nombre important d'utilisateurs qui en dépendent quotidiennement (qu'il s'agisse d'employés internes, de partenaires ou de clients), il est absolument inenvisageable et économiquement préjudiciable d'envisager un arrêt, même partiel, de l'application pendant la durée de la migration.</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Cette exigence de continuité impose de facto le choix de stratégies de migration spécifiques, telles que les approches dites "en parallèle" ou "à basculement progressif" (comme le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blue/green deployment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les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canary releases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afin de garantir une disponibilité maximale.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 interruption, même de quelques minutes, pourrait entraîner une désorganisation significative des opérations, des pertes financières substantielles et une dégradation potentielle de l'expérience utilisateur et de la satisfaction 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conséquent, l'architecture du plan de migration doit intégrer des mécanismes robustes de réplication de données, de synchronisation en temps réel et de basculement instantané pour assurer une transition totalement transparente pour l'ensemble des utilisateurs finaux.</w:t>
      </w:r>
      <w:r w:rsidDel="00000000" w:rsidR="00000000" w:rsidRPr="00000000">
        <w:rPr>
          <w:rtl w:val="0"/>
        </w:rPr>
      </w:r>
    </w:p>
    <w:p w:rsidR="00000000" w:rsidDel="00000000" w:rsidP="00000000" w:rsidRDefault="00000000" w:rsidRPr="00000000" w14:paraId="0000008F">
      <w:pPr>
        <w:pStyle w:val="Heading2"/>
        <w:numPr>
          <w:ilvl w:val="0"/>
          <w:numId w:val="7"/>
        </w:numPr>
        <w:ind w:left="720" w:hanging="360"/>
        <w:jc w:val="both"/>
        <w:rPr/>
      </w:pPr>
      <w:bookmarkStart w:colFirst="0" w:colLast="0" w:name="_heading=h.i63j7t3aq1i5" w:id="10"/>
      <w:bookmarkEnd w:id="10"/>
      <w:r w:rsidDel="00000000" w:rsidR="00000000" w:rsidRPr="00000000">
        <w:rPr>
          <w:rtl w:val="0"/>
        </w:rPr>
        <w:t xml:space="preserve">3. Évaluation des risques et enjeux IT :</w:t>
      </w:r>
    </w:p>
    <w:p w:rsidR="00000000" w:rsidDel="00000000" w:rsidP="00000000" w:rsidRDefault="00000000" w:rsidRPr="00000000" w14:paraId="00000090">
      <w:pPr>
        <w:numPr>
          <w:ilvl w:val="1"/>
          <w:numId w:val="7"/>
        </w:numPr>
        <w:ind w:left="1440" w:hanging="360"/>
        <w:jc w:val="both"/>
        <w:rPr>
          <w:b w:val="1"/>
          <w:bCs w:val="1"/>
        </w:rPr>
      </w:pPr>
      <w:r w:rsidDel="00000000" w:rsidR="00000000" w:rsidRPr="00000000">
        <w:rPr>
          <w:b w:val="1"/>
          <w:bCs w:val="1"/>
          <w:rtl w:val="0"/>
        </w:rPr>
        <w:t xml:space="preserve">Risques liés à la migration (Régression, latence réseau, complexité de gestion, perte de données).</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La transition d'une architecture monolithique vers des micro-services introduit de nouveaux paradigmes techniques et opérationnels qui s'accompagnent de risques majeurs, menaçant directement la continuité du service s'ils ne sont pas anticipés :</w:t>
      </w:r>
    </w:p>
    <w:p w:rsidR="00000000" w:rsidDel="00000000" w:rsidP="00000000" w:rsidRDefault="00000000" w:rsidRPr="00000000" w14:paraId="00000092">
      <w:pPr>
        <w:numPr>
          <w:ilvl w:val="0"/>
          <w:numId w:val="7"/>
        </w:numPr>
        <w:spacing w:after="0" w:afterAutospacing="0" w:before="240" w:lineRule="auto"/>
        <w:ind w:left="720" w:hanging="360"/>
        <w:jc w:val="both"/>
        <w:rPr/>
      </w:pPr>
      <w:r w:rsidDel="00000000" w:rsidR="00000000" w:rsidRPr="00000000">
        <w:rPr>
          <w:rtl w:val="0"/>
        </w:rPr>
        <w:t xml:space="preserve">Régressions fonctionnelles : Le couplage fort inhérent au monolithe rend le découpage périlleux. L'extraction d'un module peut briser des dépendances cachées et altérer des fonctionnalités existantes qui semblaient indépendantes, impactant directement l'expérience utilisateur.</w:t>
      </w:r>
    </w:p>
    <w:p w:rsidR="00000000" w:rsidDel="00000000" w:rsidP="00000000" w:rsidRDefault="00000000" w:rsidRPr="00000000" w14:paraId="00000093">
      <w:pPr>
        <w:numPr>
          <w:ilvl w:val="0"/>
          <w:numId w:val="7"/>
        </w:numPr>
        <w:spacing w:after="0" w:afterAutospacing="0" w:before="0" w:beforeAutospacing="0" w:lineRule="auto"/>
        <w:ind w:left="720" w:hanging="360"/>
        <w:jc w:val="both"/>
        <w:rPr/>
      </w:pPr>
      <w:r w:rsidDel="00000000" w:rsidR="00000000" w:rsidRPr="00000000">
        <w:rPr>
          <w:rtl w:val="0"/>
        </w:rPr>
        <w:t xml:space="preserve">Latence réseau : Dans un monolithe, la communication entre les composants se fait en mémoire (appels de fonctions quasi instantanés). Dans une architecture micro-services, ces échanges deviennent des appels réseau (requêtes HTTP/REST, gRPC). Cette multiplication des communications inter-services introduit une latence inévitable qui peut dégrader les performances globales de l'application.</w:t>
      </w:r>
    </w:p>
    <w:p w:rsidR="00000000" w:rsidDel="00000000" w:rsidP="00000000" w:rsidRDefault="00000000" w:rsidRPr="00000000" w14:paraId="00000094">
      <w:pPr>
        <w:numPr>
          <w:ilvl w:val="0"/>
          <w:numId w:val="7"/>
        </w:numPr>
        <w:spacing w:after="0" w:afterAutospacing="0" w:before="0" w:beforeAutospacing="0" w:lineRule="auto"/>
        <w:ind w:left="720" w:hanging="360"/>
        <w:jc w:val="both"/>
        <w:rPr/>
      </w:pPr>
      <w:r w:rsidDel="00000000" w:rsidR="00000000" w:rsidRPr="00000000">
        <w:rPr>
          <w:rtl w:val="0"/>
        </w:rPr>
        <w:t xml:space="preserve">Complexité de gestion et charge opérationnelle : Déployer et surveiller une application unique est drastiquement différent de la gestion de dizaines ou centaines de services distribués. Cela requiert une maturité DevOps importante (orchestration via Kubernetes, pipelines CI/CD complexes) et des outils d'observabilité avancés (tracing distribué, centralisation des logs) sous peine de perdre le contrôle sur le système en production et d'allonger les temps de résolution d'incidents.</w:t>
      </w:r>
    </w:p>
    <w:p w:rsidR="00000000" w:rsidDel="00000000" w:rsidP="00000000" w:rsidRDefault="00000000" w:rsidRPr="00000000" w14:paraId="00000095">
      <w:pPr>
        <w:numPr>
          <w:ilvl w:val="0"/>
          <w:numId w:val="7"/>
        </w:numPr>
        <w:spacing w:after="240" w:before="0" w:beforeAutospacing="0" w:lineRule="auto"/>
        <w:ind w:left="720" w:hanging="360"/>
        <w:jc w:val="both"/>
        <w:rPr/>
      </w:pPr>
      <w:r w:rsidDel="00000000" w:rsidR="00000000" w:rsidRPr="00000000">
        <w:rPr>
          <w:rtl w:val="0"/>
        </w:rPr>
        <w:t xml:space="preserve">Perte de données et problèmes de cohérence : La migration implique de décomposer la base de données monolithique unique en bases de données isolées par service. Ce passage fait perdre la garantie des transactions ACID traditionnelles au profit d'une cohérence à terme (</w:t>
      </w:r>
      <w:r w:rsidDel="00000000" w:rsidR="00000000" w:rsidRPr="00000000">
        <w:rPr>
          <w:i w:val="1"/>
          <w:iCs w:val="1"/>
          <w:rtl w:val="0"/>
        </w:rPr>
        <w:t xml:space="preserve">eventual consistency</w:t>
      </w:r>
      <w:r w:rsidDel="00000000" w:rsidR="00000000" w:rsidRPr="00000000">
        <w:rPr>
          <w:rtl w:val="0"/>
        </w:rPr>
        <w:t xml:space="preserve">). Les risques de perte de données, de corruption ou de désynchronisation augmentent considérablement lors du transfert, nécessitant des motifs d'architecture complexes (comme le motif </w:t>
      </w:r>
      <w:r w:rsidDel="00000000" w:rsidR="00000000" w:rsidRPr="00000000">
        <w:rPr>
          <w:i w:val="1"/>
          <w:iCs w:val="1"/>
          <w:rtl w:val="0"/>
        </w:rPr>
        <w:t xml:space="preserve">Saga</w:t>
      </w:r>
      <w:r w:rsidDel="00000000" w:rsidR="00000000" w:rsidRPr="00000000">
        <w:rPr>
          <w:rtl w:val="0"/>
        </w:rPr>
        <w:t xml:space="preserve">) pour maintenir l'intégrité des informations.</w:t>
      </w:r>
    </w:p>
    <w:p w:rsidR="00000000" w:rsidDel="00000000" w:rsidP="00000000" w:rsidRDefault="00000000" w:rsidRPr="00000000" w14:paraId="00000096">
      <w:pPr>
        <w:ind w:left="720" w:firstLine="0"/>
        <w:jc w:val="both"/>
        <w:rPr>
          <w:b w:val="1"/>
          <w:bCs w:val="1"/>
        </w:rPr>
      </w:pPr>
      <w:r w:rsidDel="00000000" w:rsidR="00000000" w:rsidRPr="00000000">
        <w:rPr>
          <w:rtl w:val="0"/>
        </w:rPr>
      </w:r>
    </w:p>
    <w:p w:rsidR="00000000" w:rsidDel="00000000" w:rsidP="00000000" w:rsidRDefault="00000000" w:rsidRPr="00000000" w14:paraId="00000097">
      <w:pPr>
        <w:numPr>
          <w:ilvl w:val="1"/>
          <w:numId w:val="7"/>
        </w:numPr>
        <w:ind w:left="1440" w:hanging="360"/>
        <w:jc w:val="both"/>
        <w:rPr>
          <w:b w:val="1"/>
          <w:bCs w:val="1"/>
        </w:rPr>
      </w:pPr>
      <w:r w:rsidDel="00000000" w:rsidR="00000000" w:rsidRPr="00000000">
        <w:rPr>
          <w:b w:val="1"/>
          <w:bCs w:val="1"/>
          <w:rtl w:val="0"/>
        </w:rPr>
        <w:t xml:space="preserve">Enjeu de la continuité de service ("Zero Downtime Deployment").</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La continuité de service est l'impératif stratégique majeur lors d'une migration architecturale. Le concept de "Zero Downtime Deployment" (ZDD) désigne la capacité à déployer de nouvelles versions ou de basculer vers la nouvelle architecture micro-services sans aucune interruption perceptible pour l'utilisateur final.</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Cet enjeu se décline sur plusieurs axes fondamentaux :</w:t>
      </w:r>
    </w:p>
    <w:p w:rsidR="00000000" w:rsidDel="00000000" w:rsidP="00000000" w:rsidRDefault="00000000" w:rsidRPr="00000000" w14:paraId="0000009A">
      <w:pPr>
        <w:numPr>
          <w:ilvl w:val="0"/>
          <w:numId w:val="7"/>
        </w:numPr>
        <w:spacing w:after="0" w:afterAutospacing="0" w:before="240" w:lineRule="auto"/>
        <w:ind w:left="720" w:hanging="360"/>
        <w:jc w:val="both"/>
        <w:rPr/>
      </w:pPr>
      <w:r w:rsidDel="00000000" w:rsidR="00000000" w:rsidRPr="00000000">
        <w:rPr>
          <w:b w:val="1"/>
          <w:bCs w:val="1"/>
          <w:rtl w:val="0"/>
        </w:rPr>
        <w:t xml:space="preserve">Garantie des engagements métiers</w:t>
      </w:r>
      <w:r w:rsidDel="00000000" w:rsidR="00000000" w:rsidRPr="00000000">
        <w:rPr>
          <w:rtl w:val="0"/>
        </w:rPr>
        <w:t xml:space="preserve"> : Le maintien de la disponibilité permet de respecter les Service Level Agreements (SLA), de préserver l'expérience utilisateur et d'éviter les pertes de revenus directes liées à une indisponibilité du système (notamment pour les plateformes e-commerce ou les services critiques).</w:t>
      </w:r>
    </w:p>
    <w:p w:rsidR="00000000" w:rsidDel="00000000" w:rsidP="00000000" w:rsidRDefault="00000000" w:rsidRPr="00000000" w14:paraId="0000009B">
      <w:pPr>
        <w:numPr>
          <w:ilvl w:val="0"/>
          <w:numId w:val="7"/>
        </w:numPr>
        <w:spacing w:after="0" w:afterAutospacing="0" w:before="0" w:beforeAutospacing="0" w:lineRule="auto"/>
        <w:ind w:left="720" w:hanging="360"/>
        <w:jc w:val="both"/>
        <w:rPr/>
      </w:pPr>
      <w:r w:rsidDel="00000000" w:rsidR="00000000" w:rsidRPr="00000000">
        <w:rPr>
          <w:b w:val="1"/>
          <w:bCs w:val="1"/>
          <w:rtl w:val="0"/>
        </w:rPr>
        <w:t xml:space="preserve">Cohabitation des systèmes en production</w:t>
      </w:r>
      <w:r w:rsidDel="00000000" w:rsidR="00000000" w:rsidRPr="00000000">
        <w:rPr>
          <w:rtl w:val="0"/>
        </w:rPr>
        <w:t xml:space="preserve"> : Pour garantir le ZDD, l'entreprise ne peut pas recourir à une migration "Big Bang" (coupure de l'ancien système et allumage du nouveau). Il est impératif de faire cohabiter l'architecture monolithique existante et les nouveaux micro-services simultanément en production, en gérant un routage intelligent du trafic réseau.</w:t>
      </w:r>
    </w:p>
    <w:p w:rsidR="00000000" w:rsidDel="00000000" w:rsidP="00000000" w:rsidRDefault="00000000" w:rsidRPr="00000000" w14:paraId="0000009C">
      <w:pPr>
        <w:numPr>
          <w:ilvl w:val="0"/>
          <w:numId w:val="7"/>
        </w:numPr>
        <w:spacing w:after="0" w:afterAutospacing="0" w:before="0" w:beforeAutospacing="0" w:lineRule="auto"/>
        <w:ind w:left="720" w:hanging="360"/>
        <w:jc w:val="both"/>
        <w:rPr/>
      </w:pPr>
      <w:r w:rsidDel="00000000" w:rsidR="00000000" w:rsidRPr="00000000">
        <w:rPr>
          <w:b w:val="1"/>
          <w:bCs w:val="1"/>
          <w:rtl w:val="0"/>
        </w:rPr>
        <w:t xml:space="preserve">Stratégies de déploiement avancées</w:t>
      </w:r>
      <w:r w:rsidDel="00000000" w:rsidR="00000000" w:rsidRPr="00000000">
        <w:rPr>
          <w:rtl w:val="0"/>
        </w:rPr>
        <w:t xml:space="preserve"> : L'atteinte de cet objectif requiert la mise en œuvre de pratiques DevOps spécifiques :</w:t>
      </w:r>
    </w:p>
    <w:p w:rsidR="00000000" w:rsidDel="00000000" w:rsidP="00000000" w:rsidRDefault="00000000" w:rsidRPr="00000000" w14:paraId="0000009D">
      <w:pPr>
        <w:numPr>
          <w:ilvl w:val="1"/>
          <w:numId w:val="7"/>
        </w:numPr>
        <w:spacing w:after="0" w:afterAutospacing="0" w:before="0" w:beforeAutospacing="0" w:lineRule="auto"/>
        <w:ind w:left="1440" w:hanging="360"/>
        <w:jc w:val="both"/>
        <w:rPr/>
      </w:pPr>
      <w:r w:rsidDel="00000000" w:rsidR="00000000" w:rsidRPr="00000000">
        <w:rPr>
          <w:rtl w:val="0"/>
        </w:rPr>
        <w:t xml:space="preserve">L'approche Blue/Green : Maintien de deux environnements de production distincts. Le nouveau composant est déployé sur l'environnement inactif, testé, puis le trafic est basculé instantanément au niveau du routeur, permettant un retour en arrière (rollback) immédiat en cas d'anomalie.</w:t>
      </w:r>
    </w:p>
    <w:p w:rsidR="00000000" w:rsidDel="00000000" w:rsidP="00000000" w:rsidRDefault="00000000" w:rsidRPr="00000000" w14:paraId="0000009E">
      <w:pPr>
        <w:numPr>
          <w:ilvl w:val="1"/>
          <w:numId w:val="7"/>
        </w:numPr>
        <w:spacing w:after="0" w:afterAutospacing="0" w:before="0" w:beforeAutospacing="0" w:lineRule="auto"/>
        <w:ind w:left="1440" w:hanging="360"/>
        <w:jc w:val="both"/>
        <w:rPr/>
      </w:pPr>
      <w:r w:rsidDel="00000000" w:rsidR="00000000" w:rsidRPr="00000000">
        <w:rPr>
          <w:rtl w:val="0"/>
        </w:rPr>
        <w:t xml:space="preserve">Le Canary Release : Déploiement progressif du nouveau micro-service auprès d'un pourcentage restreint d'utilisateurs. Cela permet de valider le comportement du service et sa résilience en conditions réelles avant de généraliser le routage.</w:t>
      </w:r>
    </w:p>
    <w:p w:rsidR="00000000" w:rsidDel="00000000" w:rsidP="00000000" w:rsidRDefault="00000000" w:rsidRPr="00000000" w14:paraId="0000009F">
      <w:pPr>
        <w:numPr>
          <w:ilvl w:val="1"/>
          <w:numId w:val="7"/>
        </w:numPr>
        <w:spacing w:after="0" w:afterAutospacing="0" w:before="0" w:beforeAutospacing="0" w:lineRule="auto"/>
        <w:ind w:left="1440" w:hanging="360"/>
        <w:jc w:val="both"/>
        <w:rPr/>
      </w:pPr>
      <w:r w:rsidDel="00000000" w:rsidR="00000000" w:rsidRPr="00000000">
        <w:rPr>
          <w:rtl w:val="0"/>
        </w:rPr>
        <w:t xml:space="preserve">Le "Strangler Fig Pattern" (Motif de l'Étrangleur) : Utilisation d'une API Gateway servant de façade pour intercepter les requêtes des clients. La passerelle redirige progressivement le trafic des anciennes fonctionnalités du monolithe vers les nouveaux micro-services au fur et à mesure de leur mise en production, assurant une transition transparente.</w:t>
      </w:r>
    </w:p>
    <w:p w:rsidR="00000000" w:rsidDel="00000000" w:rsidP="00000000" w:rsidRDefault="00000000" w:rsidRPr="00000000" w14:paraId="000000A0">
      <w:pPr>
        <w:numPr>
          <w:ilvl w:val="0"/>
          <w:numId w:val="7"/>
        </w:numPr>
        <w:spacing w:after="240" w:before="0" w:beforeAutospacing="0" w:lineRule="auto"/>
        <w:ind w:left="720" w:hanging="360"/>
        <w:jc w:val="both"/>
        <w:rPr/>
      </w:pPr>
      <w:r w:rsidDel="00000000" w:rsidR="00000000" w:rsidRPr="00000000">
        <w:rPr>
          <w:b w:val="1"/>
          <w:bCs w:val="1"/>
          <w:rtl w:val="0"/>
        </w:rPr>
        <w:t xml:space="preserve">Rétrocompatibilité des données</w:t>
      </w:r>
      <w:r w:rsidDel="00000000" w:rsidR="00000000" w:rsidRPr="00000000">
        <w:rPr>
          <w:rtl w:val="0"/>
        </w:rPr>
        <w:t xml:space="preserve"> : Le ZDD impose que les modifications apportées aux schémas de bases de données soient strictement rétrocompatibles. Durant la phase de transition, le monolithe et les nouveaux micro-services doivent pouvoir lire et écrire les mêmes données sans provoquer d'erreurs d'intégrité ou de verrouillage.</w:t>
      </w:r>
    </w:p>
    <w:p w:rsidR="00000000" w:rsidDel="00000000" w:rsidP="00000000" w:rsidRDefault="00000000" w:rsidRPr="00000000" w14:paraId="000000A1">
      <w:pPr>
        <w:ind w:left="0" w:firstLine="0"/>
        <w:jc w:val="both"/>
        <w:rPr>
          <w:b w:val="1"/>
          <w:bCs w:val="1"/>
        </w:rPr>
      </w:pPr>
      <w:r w:rsidDel="00000000" w:rsidR="00000000" w:rsidRPr="00000000">
        <w:rPr>
          <w:rtl w:val="0"/>
        </w:rPr>
      </w:r>
    </w:p>
    <w:p w:rsidR="00000000" w:rsidDel="00000000" w:rsidP="00000000" w:rsidRDefault="00000000" w:rsidRPr="00000000" w14:paraId="000000A2">
      <w:pPr>
        <w:pStyle w:val="Heading2"/>
        <w:numPr>
          <w:ilvl w:val="0"/>
          <w:numId w:val="7"/>
        </w:numPr>
        <w:ind w:left="720" w:hanging="360"/>
        <w:jc w:val="both"/>
        <w:rPr/>
      </w:pPr>
      <w:bookmarkStart w:colFirst="0" w:colLast="0" w:name="_heading=h.k76ztwulpa9c" w:id="11"/>
      <w:bookmarkEnd w:id="11"/>
      <w:r w:rsidDel="00000000" w:rsidR="00000000" w:rsidRPr="00000000">
        <w:rPr>
          <w:rtl w:val="0"/>
        </w:rPr>
        <w:t xml:space="preserve">4. État des lieux des compétences internes :</w:t>
      </w:r>
    </w:p>
    <w:p w:rsidR="00000000" w:rsidDel="00000000" w:rsidP="00000000" w:rsidRDefault="00000000" w:rsidRPr="00000000" w14:paraId="000000A3">
      <w:pPr>
        <w:numPr>
          <w:ilvl w:val="1"/>
          <w:numId w:val="7"/>
        </w:numPr>
        <w:ind w:left="1440" w:hanging="360"/>
        <w:jc w:val="both"/>
        <w:rPr>
          <w:b w:val="1"/>
          <w:bCs w:val="1"/>
        </w:rPr>
      </w:pPr>
      <w:r w:rsidDel="00000000" w:rsidR="00000000" w:rsidRPr="00000000">
        <w:rPr>
          <w:b w:val="1"/>
          <w:bCs w:val="1"/>
          <w:rtl w:val="0"/>
        </w:rPr>
        <w:t xml:space="preserve">Maturité de l'équipe actuelle sur les technologies distribuées (Docker, K8s, API) et la culture DevOps nécessaire.</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La réussite d'une migration vers une architecture micro-services ne repose pas uniquement sur des choix technologiques, mais dépend fondamentalement de la préparation et de l'adaptation du capital humain. L'évaluation de la maturité des équipes en place est une étape préalable indispensable pour limiter les risques de perturbation du service.</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Maturité sur les technologies distribuées : Le passage d'un environnement monolithique (où le code s'exécute dans un seul processus) à un système distribué impose une courbe d'apprentissage abrupte. Il est nécessaire de cartographier les compétences techniques existantes concernant les standards de l'industrie :</w:t>
      </w:r>
    </w:p>
    <w:p w:rsidR="00000000" w:rsidDel="00000000" w:rsidP="00000000" w:rsidRDefault="00000000" w:rsidRPr="00000000" w14:paraId="000000A6">
      <w:pPr>
        <w:numPr>
          <w:ilvl w:val="0"/>
          <w:numId w:val="1"/>
        </w:numPr>
        <w:spacing w:after="0" w:afterAutospacing="0" w:before="240" w:lineRule="auto"/>
        <w:ind w:left="720" w:hanging="360"/>
        <w:jc w:val="both"/>
        <w:rPr/>
      </w:pPr>
      <w:r w:rsidDel="00000000" w:rsidR="00000000" w:rsidRPr="00000000">
        <w:rPr>
          <w:rtl w:val="0"/>
        </w:rPr>
        <w:t xml:space="preserve">Conteneurisation (Docker) : Évaluation de la capacité des équipes à isoler les applications et leurs dépendances pour garantir l'immutabilité et la cohérence des environnements, du poste de développement jusqu'à la production.</w:t>
      </w:r>
    </w:p>
    <w:p w:rsidR="00000000" w:rsidDel="00000000" w:rsidP="00000000" w:rsidRDefault="00000000" w:rsidRPr="00000000" w14:paraId="000000A7">
      <w:pPr>
        <w:numPr>
          <w:ilvl w:val="0"/>
          <w:numId w:val="1"/>
        </w:numPr>
        <w:spacing w:after="0" w:afterAutospacing="0" w:before="0" w:beforeAutospacing="0" w:lineRule="auto"/>
        <w:ind w:left="720" w:hanging="360"/>
        <w:jc w:val="both"/>
        <w:rPr/>
      </w:pPr>
      <w:r w:rsidDel="00000000" w:rsidR="00000000" w:rsidRPr="00000000">
        <w:rPr>
          <w:rtl w:val="0"/>
        </w:rPr>
        <w:t xml:space="preserve">Orchestration (Kubernetes / K8s) : Analyse du niveau de maîtrise concernant le déploiement à grande échelle, la gestion de la redondance, le redémarrage automatique en cas de panne (self-healing) et la montée en charge dynamique (scalabilité horizontale).</w:t>
      </w:r>
    </w:p>
    <w:p w:rsidR="00000000" w:rsidDel="00000000" w:rsidP="00000000" w:rsidRDefault="00000000" w:rsidRPr="00000000" w14:paraId="000000A8">
      <w:pPr>
        <w:numPr>
          <w:ilvl w:val="0"/>
          <w:numId w:val="1"/>
        </w:numPr>
        <w:spacing w:after="240" w:before="0" w:beforeAutospacing="0" w:lineRule="auto"/>
        <w:ind w:left="720" w:hanging="360"/>
        <w:jc w:val="both"/>
        <w:rPr/>
      </w:pPr>
      <w:r w:rsidDel="00000000" w:rsidR="00000000" w:rsidRPr="00000000">
        <w:rPr>
          <w:rtl w:val="0"/>
        </w:rPr>
        <w:t xml:space="preserve">Conception et gestion des API : Vérification de l'expertise dans la création de contrats de communication robustes (REST, gRPC, événements asynchrones) et dans la gestion du versioning, éléments critiques pour éviter qu'une modification sur un service ne provoque une panne en cascade.</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La nécessité d'une culture DevOps : L'architecture micro-services décuple la complexité opérationnelle. Une organisation habituée à des déploiements monolithiques espacés dans le temps ne peut pas gérer le cycle de vie de dizaines de services indépendants sans une transformation culturelle profonde.</w:t>
      </w:r>
    </w:p>
    <w:p w:rsidR="00000000" w:rsidDel="00000000" w:rsidP="00000000" w:rsidRDefault="00000000" w:rsidRPr="00000000" w14:paraId="000000AA">
      <w:pPr>
        <w:numPr>
          <w:ilvl w:val="0"/>
          <w:numId w:val="3"/>
        </w:numPr>
        <w:spacing w:after="0" w:afterAutospacing="0" w:before="240" w:lineRule="auto"/>
        <w:ind w:left="720" w:hanging="360"/>
        <w:jc w:val="both"/>
        <w:rPr/>
      </w:pPr>
      <w:r w:rsidDel="00000000" w:rsidR="00000000" w:rsidRPr="00000000">
        <w:rPr>
          <w:rtl w:val="0"/>
        </w:rPr>
        <w:t xml:space="preserve">Automatisation des pipelines (CI/CD) : L'intégration et le déploiement continus deviennent des prérequis stricts. L'équipe doit être capable de construire des chaînes automatisées intégrant systématiquement des tests de sécurité, de performance et de non-régression avant toute mise en production.</w:t>
      </w:r>
    </w:p>
    <w:p w:rsidR="00000000" w:rsidDel="00000000" w:rsidP="00000000" w:rsidRDefault="00000000" w:rsidRPr="00000000" w14:paraId="000000AB">
      <w:pPr>
        <w:numPr>
          <w:ilvl w:val="0"/>
          <w:numId w:val="3"/>
        </w:numPr>
        <w:spacing w:after="0" w:afterAutospacing="0" w:before="0" w:beforeAutospacing="0" w:lineRule="auto"/>
        <w:ind w:left="720" w:hanging="360"/>
        <w:jc w:val="both"/>
        <w:rPr/>
      </w:pPr>
      <w:r w:rsidDel="00000000" w:rsidR="00000000" w:rsidRPr="00000000">
        <w:rPr>
          <w:rtl w:val="0"/>
        </w:rPr>
        <w:t xml:space="preserve">Changement de paradigme ("You build it, you run it") : La transition exige de briser les silos traditionnels entre les développeurs (Dev) et les équipes d'exploitation (Ops). Les équipes produits doivent gagner en autonomie et assumer la responsabilité de leurs services de bout en bout, de l'écriture du code jusqu'au maintien en conditions opérationnelles.</w:t>
      </w:r>
    </w:p>
    <w:p w:rsidR="00000000" w:rsidDel="00000000" w:rsidP="00000000" w:rsidRDefault="00000000" w:rsidRPr="00000000" w14:paraId="000000AC">
      <w:pPr>
        <w:numPr>
          <w:ilvl w:val="0"/>
          <w:numId w:val="3"/>
        </w:numPr>
        <w:spacing w:after="240" w:before="0" w:beforeAutospacing="0" w:lineRule="auto"/>
        <w:ind w:left="720" w:hanging="360"/>
        <w:jc w:val="both"/>
        <w:rPr/>
      </w:pPr>
      <w:r w:rsidDel="00000000" w:rsidR="00000000" w:rsidRPr="00000000">
        <w:rPr>
          <w:rtl w:val="0"/>
        </w:rPr>
        <w:t xml:space="preserve">Pratiques d'observabilité : La culture DevOps nécessite de savoir implémenter et exploiter des outils de monitoring avancés (centralisation des logs, métriques, tracing distribué). C'est la seule méthode permettant de diagnostiquer rapidement l'origine d'une latence ou d'une erreur dans un réseau de services fragmenté, condition </w:t>
      </w:r>
      <w:r w:rsidDel="00000000" w:rsidR="00000000" w:rsidRPr="00000000">
        <w:rPr>
          <w:i w:val="1"/>
          <w:iCs w:val="1"/>
          <w:rtl w:val="0"/>
        </w:rPr>
        <w:t xml:space="preserve">sine qua non</w:t>
      </w:r>
      <w:r w:rsidDel="00000000" w:rsidR="00000000" w:rsidRPr="00000000">
        <w:rPr>
          <w:rtl w:val="0"/>
        </w:rPr>
        <w:t xml:space="preserve"> pour garantir la continuité de service et respecter les SLA.</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Ce diagnostic des compétences (gap analysis) sert de socle pour définir le plan d'accompagnement au changement, qui pourra inclure des formations spécifiques ou la mise en place d'une équipe "Platform Engineering" chargée de fournir des outils standardisés pour faciliter le travail des développeurs durant la migration.</w:t>
      </w:r>
    </w:p>
    <w:p w:rsidR="00000000" w:rsidDel="00000000" w:rsidP="00000000" w:rsidRDefault="00000000" w:rsidRPr="00000000" w14:paraId="000000AE">
      <w:pPr>
        <w:pStyle w:val="Heading2"/>
        <w:numPr>
          <w:ilvl w:val="0"/>
          <w:numId w:val="7"/>
        </w:numPr>
        <w:ind w:left="720" w:hanging="360"/>
      </w:pPr>
      <w:bookmarkStart w:colFirst="0" w:colLast="0" w:name="_heading=h.tyjns7vzib7y" w:id="12"/>
      <w:bookmarkEnd w:id="12"/>
      <w:r w:rsidDel="00000000" w:rsidR="00000000" w:rsidRPr="00000000">
        <w:rPr>
          <w:b w:val="1"/>
          <w:bCs w:val="1"/>
          <w:rtl w:val="0"/>
        </w:rPr>
        <w:t xml:space="preserve">4. Gestion centralisée des secrets et configurations</w:t>
      </w: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Avec la migration vers une architecture micro-services, l'écosystème technique du Groupe Adeena va s'étendre considérablement. La méthode traditionnelle consistant à maintenir des fichiers d'environnement (.env) individuels pour chaque micro-service devient rapidement une dette opérationnelle critique, appelée "secret sprawl". Cette dispersion des secrets (clés d'API, chaînes de connexion base de données, secrets JWT) multiplie les risques de sécurité, car ces fichiers finissent souvent par être exposés par erreur dans les systèmes de contrôle de version, ou deviennent impossibles à synchroniser lors de changements globaux. Cette configuration fragmentée entraîne un "configuration drift" où chaque environnement dévie de la reality, rendant le déploiement imprévisible. Le Groupe Adeena nécessite donc une plateforme de gestion centralisée capable de partager des variables communes (ex: adresses des bases de données partagées, endpoints API) tout en permettant une modification atomique et sécurisée des secrets. Cette centralisation est indispensable pour permettre à l'équipe technique de conserver une vue unifiée, de renforcer la sécurité par le chiffrement au repos, et d'auditer les accès, transformant ainsi une gestion artisanale en un processus industriel robuste, aligné avec les exigences de haute disponibilité.</w:t>
      </w:r>
    </w:p>
    <w:p w:rsidR="00000000" w:rsidDel="00000000" w:rsidP="00000000" w:rsidRDefault="00000000" w:rsidRPr="00000000" w14:paraId="000000B0">
      <w:pPr>
        <w:jc w:val="both"/>
        <w:rPr/>
      </w:pPr>
      <w:r w:rsidDel="00000000" w:rsidR="00000000" w:rsidRPr="00000000">
        <w:rPr>
          <w:rtl w:val="0"/>
        </w:rPr>
        <w:t xml:space="preserve">Avec l'augmentation du nombre de micro-services, le maintien de fichiers </w:t>
      </w:r>
      <w:r w:rsidDel="00000000" w:rsidR="00000000" w:rsidRPr="00000000">
        <w:rPr>
          <w:rFonts w:ascii="Roboto Mono" w:cs="Roboto Mono" w:eastAsia="Roboto Mono" w:hAnsi="Roboto Mono"/>
          <w:rtl w:val="0"/>
        </w:rPr>
        <w:t xml:space="preserve">.env</w:t>
      </w:r>
      <w:r w:rsidDel="00000000" w:rsidR="00000000" w:rsidRPr="00000000">
        <w:rPr>
          <w:rtl w:val="0"/>
        </w:rPr>
        <w:t xml:space="preserve"> individuels par projet devient un fardeau opérationnel critique. La dispersion des secrets (clés d'API, identifiants de base de données) accroît les risques de sécurité et rend les modifications globales fastidieuses. Le Groupe Adeena a besoin d'un outil centralisé pour partager les variables communes et synchroniser les configurations en temps réel. Des solutions comme </w:t>
      </w:r>
      <w:r w:rsidDel="00000000" w:rsidR="00000000" w:rsidRPr="00000000">
        <w:rPr>
          <w:b w:val="1"/>
          <w:bCs w:val="1"/>
          <w:rtl w:val="0"/>
        </w:rPr>
        <w:t xml:space="preserve">HashiCorp Vault</w:t>
      </w:r>
      <w:r w:rsidDel="00000000" w:rsidR="00000000" w:rsidRPr="00000000">
        <w:rPr>
          <w:rtl w:val="0"/>
        </w:rPr>
        <w:t xml:space="preserve"> offrent une robustesse extrême mais au prix d'une complexité de gestion élevée, tandis que des alternatives modernes comme </w:t>
      </w:r>
      <w:r w:rsidDel="00000000" w:rsidR="00000000" w:rsidRPr="00000000">
        <w:rPr>
          <w:b w:val="1"/>
          <w:bCs w:val="1"/>
          <w:rtl w:val="0"/>
        </w:rPr>
        <w:t xml:space="preserve">Infisical</w:t>
      </w:r>
      <w:r w:rsidDel="00000000" w:rsidR="00000000" w:rsidRPr="00000000">
        <w:rPr>
          <w:rtl w:val="0"/>
        </w:rPr>
        <w:t xml:space="preserve"> proposent une interface plus intuitive et une agilité supérieure pour des équipes de taille modérée.</w:t>
      </w:r>
    </w:p>
    <w:p w:rsidR="00000000" w:rsidDel="00000000" w:rsidP="00000000" w:rsidRDefault="00000000" w:rsidRPr="00000000" w14:paraId="000000B1">
      <w:pPr>
        <w:ind w:left="0" w:firstLine="0"/>
        <w:jc w:val="both"/>
        <w:rPr>
          <w:b w:val="1"/>
          <w:bCs w:val="1"/>
        </w:rPr>
      </w:pPr>
      <w:r w:rsidDel="00000000" w:rsidR="00000000" w:rsidRPr="00000000">
        <w:rPr>
          <w:rtl w:val="0"/>
        </w:rPr>
      </w:r>
    </w:p>
    <w:p w:rsidR="00000000" w:rsidDel="00000000" w:rsidP="00000000" w:rsidRDefault="00000000" w:rsidRPr="00000000" w14:paraId="000000B2">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jc w:val="both"/>
        <w:rPr>
          <w:b w:val="1"/>
          <w:bCs w:val="1"/>
        </w:rPr>
      </w:pPr>
      <w:r w:rsidDel="00000000" w:rsidR="00000000" w:rsidRPr="00000000">
        <w:rPr>
          <w:rtl w:val="0"/>
        </w:rPr>
      </w:r>
    </w:p>
    <w:p w:rsidR="00000000" w:rsidDel="00000000" w:rsidP="00000000" w:rsidRDefault="00000000" w:rsidRPr="00000000" w14:paraId="000000B4">
      <w:pPr>
        <w:pStyle w:val="Heading1"/>
        <w:jc w:val="both"/>
        <w:rPr/>
      </w:pPr>
      <w:bookmarkStart w:colFirst="0" w:colLast="0" w:name="_heading=h.hx8qip34s5t2" w:id="13"/>
      <w:bookmarkEnd w:id="13"/>
      <w:r w:rsidDel="00000000" w:rsidR="00000000" w:rsidRPr="00000000">
        <w:rPr>
          <w:rtl w:val="0"/>
        </w:rPr>
        <w:t xml:space="preserve">Partie II : Analyse technique et organisationnelle </w:t>
      </w:r>
    </w:p>
    <w:p w:rsidR="00000000" w:rsidDel="00000000" w:rsidP="00000000" w:rsidRDefault="00000000" w:rsidRPr="00000000" w14:paraId="000000B5">
      <w:pPr>
        <w:pStyle w:val="Heading2"/>
        <w:numPr>
          <w:ilvl w:val="0"/>
          <w:numId w:val="8"/>
        </w:numPr>
        <w:ind w:left="720" w:hanging="360"/>
      </w:pPr>
      <w:r w:rsidDel="00000000" w:rsidR="00000000" w:rsidRPr="00000000">
        <w:rPr>
          <w:rtl w:val="0"/>
        </w:rPr>
        <w:t xml:space="preserve">1. État de l’Art et Principes Fondamentaux :</w:t>
      </w:r>
    </w:p>
    <w:p w:rsidR="00000000" w:rsidDel="00000000" w:rsidP="00000000" w:rsidRDefault="00000000" w:rsidRPr="00000000" w14:paraId="000000B6">
      <w:pPr>
        <w:rPr/>
      </w:pPr>
      <w:r w:rsidDel="00000000" w:rsidR="00000000" w:rsidRPr="00000000">
        <w:rPr>
          <w:rtl w:val="0"/>
        </w:rPr>
        <w:t xml:space="preserve">« La transition architecturale proposée pour le Groupe Adeena nécessite une analyse approfondie des solutions disponibles et un ancrage théorique solide. Ce chapitre est consacré à l'établissement des fondations académiques qui guideront les choix techniques de l'architecture cible. En premier lieu, une cartographie exhaustive des modèles d'architecture et des protocoles de communication est dressée, permettant de positionner la stratégie de migration dans le paysage technologique actuel. Ensuite, les principes fondamentaux de la conception de systèmes distribués sont abordés, notamment le </w:t>
      </w:r>
      <w:r w:rsidDel="00000000" w:rsidR="00000000" w:rsidRPr="00000000">
        <w:rPr>
          <w:b w:val="1"/>
          <w:bCs w:val="1"/>
          <w:rtl w:val="0"/>
        </w:rPr>
        <w:t xml:space="preserve">Théorème de CAP</w:t>
      </w:r>
      <w:r w:rsidDel="00000000" w:rsidR="00000000" w:rsidRPr="00000000">
        <w:rPr>
          <w:rtl w:val="0"/>
        </w:rPr>
        <w:t xml:space="preserve"> qui justifie l'adoption de la cohérence à terme (</w:t>
      </w:r>
      <w:r w:rsidDel="00000000" w:rsidR="00000000" w:rsidRPr="00000000">
        <w:rPr>
          <w:i w:val="1"/>
          <w:iCs w:val="1"/>
          <w:rtl w:val="0"/>
        </w:rPr>
        <w:t xml:space="preserve">eventual consistency</w:t>
      </w:r>
      <w:r w:rsidDel="00000000" w:rsidR="00000000" w:rsidRPr="00000000">
        <w:rPr>
          <w:rtl w:val="0"/>
        </w:rPr>
        <w:t xml:space="preserve">), ainsi que la </w:t>
      </w:r>
      <w:r w:rsidDel="00000000" w:rsidR="00000000" w:rsidRPr="00000000">
        <w:rPr>
          <w:b w:val="1"/>
          <w:bCs w:val="1"/>
          <w:rtl w:val="0"/>
        </w:rPr>
        <w:t xml:space="preserve">Taxonomie des Couplages</w:t>
      </w:r>
      <w:r w:rsidDel="00000000" w:rsidR="00000000" w:rsidRPr="00000000">
        <w:rPr>
          <w:rtl w:val="0"/>
        </w:rPr>
        <w:t xml:space="preserve"> qui impose la rigueur du découpage fonctionnel (</w:t>
      </w:r>
      <w:r w:rsidDel="00000000" w:rsidR="00000000" w:rsidRPr="00000000">
        <w:rPr>
          <w:i w:val="1"/>
          <w:iCs w:val="1"/>
          <w:rtl w:val="0"/>
        </w:rPr>
        <w:t xml:space="preserve">Domain-Driven Design</w:t>
      </w:r>
      <w:r w:rsidDel="00000000" w:rsidR="00000000" w:rsidRPr="00000000">
        <w:rPr>
          <w:rtl w:val="0"/>
        </w:rPr>
        <w:t xml:space="preserve">). Ces concepts sont les prérequis indispensables à la définition d'une architecture micro-services résiliente et adaptée aux impératifs de continuité de service.</w:t>
      </w:r>
    </w:p>
    <w:p w:rsidR="00000000" w:rsidDel="00000000" w:rsidP="00000000" w:rsidRDefault="00000000" w:rsidRPr="00000000" w14:paraId="000000B7">
      <w:pPr>
        <w:pStyle w:val="Heading3"/>
        <w:rPr/>
      </w:pPr>
      <w:bookmarkStart w:colFirst="0" w:colLast="0" w:name="_heading=h.2mgvcb5d70q7" w:id="14"/>
      <w:bookmarkEnd w:id="14"/>
      <w:r w:rsidDel="00000000" w:rsidR="00000000" w:rsidRPr="00000000">
        <w:rPr>
          <w:b w:val="1"/>
          <w:bCs w:val="1"/>
          <w:rtl w:val="0"/>
        </w:rPr>
        <w:t xml:space="preserve">1.0. Cartographie Technologique : Architectures et Vecteurs de Communication</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En phase de conseil, il est impératif d'évaluer de manière agnostique l'intégralité des standards de l'industrie. La cartographie exhaustive ci-dessous présente les principaux modèles architecturaux ainsi que les protocoles d'échanges, fournissant un cadre analytique objectif pour éclairer la recommandation stratégique. »</w:t>
      </w:r>
    </w:p>
    <w:p w:rsidR="00000000" w:rsidDel="00000000" w:rsidP="00000000" w:rsidRDefault="00000000" w:rsidRPr="00000000" w14:paraId="000000B9">
      <w:pPr>
        <w:jc w:val="both"/>
        <w:rPr/>
      </w:pPr>
      <w:r w:rsidDel="00000000" w:rsidR="00000000" w:rsidRPr="00000000">
        <w:rPr>
          <w:rtl w:val="0"/>
        </w:rPr>
        <w:t xml:space="preserve">En tant que consultant, il est impératif de dresser une cartographie exhaustive des options architecturales et des vecteurs de communication avant d'engager la transformation du Groupe Adeena. Les tableaux suivants synthétisent les standards du marché pour éclairer nos choix stratégiques.</w:t>
      </w:r>
    </w:p>
    <w:p w:rsidR="00000000" w:rsidDel="00000000" w:rsidP="00000000" w:rsidRDefault="00000000" w:rsidRPr="00000000" w14:paraId="000000BA">
      <w:pPr>
        <w:jc w:val="center"/>
        <w:rPr/>
      </w:pPr>
      <w:r w:rsidDel="00000000" w:rsidR="00000000" w:rsidRPr="00000000">
        <w:rPr>
          <w:b w:val="1"/>
          <w:bCs w:val="1"/>
          <w:rtl w:val="0"/>
        </w:rPr>
        <w:t xml:space="preserve">Tableau 1 : Comparatif des Modèles d'Architecture Logicielle</w:t>
      </w:r>
      <w:r w:rsidDel="00000000" w:rsidR="00000000" w:rsidRPr="00000000">
        <w:rPr>
          <w:rtl w:val="0"/>
        </w:rPr>
      </w:r>
    </w:p>
    <w:tbl>
      <w:tblPr>
        <w:tblStyle w:val="Table2"/>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4000"/>
        <w:gridCol w:w="4000"/>
        <w:tblGridChange w:id="0">
          <w:tblGrid>
            <w:gridCol w:w="2400"/>
            <w:gridCol w:w="4000"/>
            <w:gridCol w:w="4000"/>
          </w:tblGrid>
        </w:tblGridChange>
      </w:tblGrid>
      <w:tr>
        <w:trPr>
          <w:cantSplit w:val="0"/>
          <w:tblHeader w:val="1"/>
        </w:trPr>
        <w:tc>
          <w:tcPr>
            <w:shd w:fill="cfe2f3" w:val="clear"/>
          </w:tcPr>
          <w:p w:rsidR="00000000" w:rsidDel="00000000" w:rsidP="00000000" w:rsidRDefault="00000000" w:rsidRPr="00000000" w14:paraId="000000BB">
            <w:pPr>
              <w:jc w:val="center"/>
              <w:rPr/>
            </w:pPr>
            <w:r w:rsidDel="00000000" w:rsidR="00000000" w:rsidRPr="00000000">
              <w:rPr>
                <w:b w:val="1"/>
                <w:bCs w:val="1"/>
                <w:rtl w:val="0"/>
              </w:rPr>
              <w:t xml:space="preserve">Modèle</w:t>
            </w:r>
            <w:r w:rsidDel="00000000" w:rsidR="00000000" w:rsidRPr="00000000">
              <w:rPr>
                <w:rtl w:val="0"/>
              </w:rPr>
            </w:r>
          </w:p>
        </w:tc>
        <w:tc>
          <w:tcPr>
            <w:shd w:fill="cfe2f3" w:val="clear"/>
          </w:tcPr>
          <w:p w:rsidR="00000000" w:rsidDel="00000000" w:rsidP="00000000" w:rsidRDefault="00000000" w:rsidRPr="00000000" w14:paraId="000000BC">
            <w:pPr>
              <w:jc w:val="center"/>
              <w:rPr/>
            </w:pPr>
            <w:r w:rsidDel="00000000" w:rsidR="00000000" w:rsidRPr="00000000">
              <w:rPr>
                <w:b w:val="1"/>
                <w:bCs w:val="1"/>
                <w:rtl w:val="0"/>
              </w:rPr>
              <w:t xml:space="preserve">Avantages</w:t>
            </w:r>
            <w:r w:rsidDel="00000000" w:rsidR="00000000" w:rsidRPr="00000000">
              <w:rPr>
                <w:rtl w:val="0"/>
              </w:rPr>
            </w:r>
          </w:p>
        </w:tc>
        <w:tc>
          <w:tcPr>
            <w:shd w:fill="cfe2f3" w:val="clear"/>
          </w:tcPr>
          <w:p w:rsidR="00000000" w:rsidDel="00000000" w:rsidP="00000000" w:rsidRDefault="00000000" w:rsidRPr="00000000" w14:paraId="000000BD">
            <w:pPr>
              <w:jc w:val="center"/>
              <w:rPr/>
            </w:pPr>
            <w:r w:rsidDel="00000000" w:rsidR="00000000" w:rsidRPr="00000000">
              <w:rPr>
                <w:b w:val="1"/>
                <w:bCs w:val="1"/>
                <w:rtl w:val="0"/>
              </w:rPr>
              <w:t xml:space="preserve">Inconvénients / Limites</w:t>
            </w:r>
            <w:r w:rsidDel="00000000" w:rsidR="00000000" w:rsidRPr="00000000">
              <w:rPr>
                <w:rtl w:val="0"/>
              </w:rPr>
            </w:r>
          </w:p>
        </w:tc>
      </w:tr>
      <w:tr>
        <w:trPr>
          <w:cantSplit w:val="0"/>
          <w:tblHeader w:val="0"/>
        </w:trPr>
        <w:tc>
          <w:tcPr/>
          <w:p w:rsidR="00000000" w:rsidDel="00000000" w:rsidP="00000000" w:rsidRDefault="00000000" w:rsidRPr="00000000" w14:paraId="000000BE">
            <w:pPr>
              <w:rPr/>
            </w:pPr>
            <w:r w:rsidDel="00000000" w:rsidR="00000000" w:rsidRPr="00000000">
              <w:rPr>
                <w:b w:val="1"/>
                <w:bCs w:val="1"/>
                <w:rtl w:val="0"/>
              </w:rPr>
              <w:t xml:space="preserve">Monolithe</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Simplicité de déploiement, appels mémoire rapides, transactions ACID natives.</w:t>
            </w:r>
          </w:p>
        </w:tc>
        <w:tc>
          <w:tcPr/>
          <w:p w:rsidR="00000000" w:rsidDel="00000000" w:rsidP="00000000" w:rsidRDefault="00000000" w:rsidRPr="00000000" w14:paraId="000000C0">
            <w:pPr>
              <w:rPr/>
            </w:pPr>
            <w:r w:rsidDel="00000000" w:rsidR="00000000" w:rsidRPr="00000000">
              <w:rPr>
                <w:rtl w:val="0"/>
              </w:rPr>
              <w:t xml:space="preserve">Dette technique croissante, scalabilité verticale coûteuse, cycle de release unique.</w:t>
            </w:r>
          </w:p>
        </w:tc>
      </w:tr>
      <w:tr>
        <w:trPr>
          <w:cantSplit w:val="0"/>
          <w:tblHeader w:val="0"/>
        </w:trPr>
        <w:tc>
          <w:tcPr/>
          <w:p w:rsidR="00000000" w:rsidDel="00000000" w:rsidP="00000000" w:rsidRDefault="00000000" w:rsidRPr="00000000" w14:paraId="000000C1">
            <w:pPr>
              <w:rPr/>
            </w:pPr>
            <w:r w:rsidDel="00000000" w:rsidR="00000000" w:rsidRPr="00000000">
              <w:rPr>
                <w:b w:val="1"/>
                <w:bCs w:val="1"/>
                <w:rtl w:val="0"/>
              </w:rPr>
              <w:t xml:space="preserve">Monolithe Modulaire</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Isolation logique, compromis entre simplicité et séparation des domaines.</w:t>
            </w:r>
          </w:p>
        </w:tc>
        <w:tc>
          <w:tcPr/>
          <w:p w:rsidR="00000000" w:rsidDel="00000000" w:rsidP="00000000" w:rsidRDefault="00000000" w:rsidRPr="00000000" w14:paraId="000000C3">
            <w:pPr>
              <w:rPr/>
            </w:pPr>
            <w:r w:rsidDel="00000000" w:rsidR="00000000" w:rsidRPr="00000000">
              <w:rPr>
                <w:rtl w:val="0"/>
              </w:rPr>
              <w:t xml:space="preserve">Partage toujours effectif de la base de données et de l'infrastructure.</w:t>
            </w:r>
          </w:p>
        </w:tc>
      </w:tr>
      <w:tr>
        <w:trPr>
          <w:cantSplit w:val="0"/>
          <w:tblHeader w:val="0"/>
        </w:trPr>
        <w:tc>
          <w:tcPr/>
          <w:p w:rsidR="00000000" w:rsidDel="00000000" w:rsidP="00000000" w:rsidRDefault="00000000" w:rsidRPr="00000000" w14:paraId="000000C4">
            <w:pPr>
              <w:rPr/>
            </w:pPr>
            <w:r w:rsidDel="00000000" w:rsidR="00000000" w:rsidRPr="00000000">
              <w:rPr>
                <w:b w:val="1"/>
                <w:bCs w:val="1"/>
                <w:rtl w:val="0"/>
              </w:rPr>
              <w:t xml:space="preserve">Micro-services</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Scalabilité granulaire, indépendance des stacks, déploiement continu (ZDD).</w:t>
            </w:r>
          </w:p>
        </w:tc>
        <w:tc>
          <w:tcPr/>
          <w:p w:rsidR="00000000" w:rsidDel="00000000" w:rsidP="00000000" w:rsidRDefault="00000000" w:rsidRPr="00000000" w14:paraId="000000C6">
            <w:pPr>
              <w:rPr/>
            </w:pPr>
            <w:r w:rsidDel="00000000" w:rsidR="00000000" w:rsidRPr="00000000">
              <w:rPr>
                <w:rtl w:val="0"/>
              </w:rPr>
              <w:t xml:space="preserve">Complexité réseau, cohérence à terme, surcharge opérationnelle (DevOps).</w:t>
            </w:r>
          </w:p>
        </w:tc>
      </w:tr>
      <w:tr>
        <w:trPr>
          <w:cantSplit w:val="0"/>
          <w:tblHeader w:val="0"/>
        </w:trPr>
        <w:tc>
          <w:tcPr/>
          <w:p w:rsidR="00000000" w:rsidDel="00000000" w:rsidP="00000000" w:rsidRDefault="00000000" w:rsidRPr="00000000" w14:paraId="000000C7">
            <w:pPr>
              <w:rPr/>
            </w:pPr>
            <w:r w:rsidDel="00000000" w:rsidR="00000000" w:rsidRPr="00000000">
              <w:rPr>
                <w:b w:val="1"/>
                <w:bCs w:val="1"/>
                <w:rtl w:val="0"/>
              </w:rPr>
              <w:t xml:space="preserve">EDA (Event-Driven)</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Découplage temporel total, haute résilience, extensibilité naturelle.</w:t>
            </w:r>
          </w:p>
        </w:tc>
        <w:tc>
          <w:tcPr/>
          <w:p w:rsidR="00000000" w:rsidDel="00000000" w:rsidP="00000000" w:rsidRDefault="00000000" w:rsidRPr="00000000" w14:paraId="000000C9">
            <w:pPr>
              <w:rPr/>
            </w:pPr>
            <w:r w:rsidDel="00000000" w:rsidR="00000000" w:rsidRPr="00000000">
              <w:rPr>
                <w:rtl w:val="0"/>
              </w:rPr>
              <w:t xml:space="preserve">Difficulté de debugging (tracing), gestion des files d'attente complexe.</w:t>
            </w:r>
          </w:p>
        </w:tc>
      </w:tr>
      <w:tr>
        <w:trPr>
          <w:cantSplit w:val="0"/>
          <w:tblHeader w:val="0"/>
        </w:trPr>
        <w:tc>
          <w:tcPr/>
          <w:p w:rsidR="00000000" w:rsidDel="00000000" w:rsidP="00000000" w:rsidRDefault="00000000" w:rsidRPr="00000000" w14:paraId="000000CA">
            <w:pPr>
              <w:rPr/>
            </w:pPr>
            <w:r w:rsidDel="00000000" w:rsidR="00000000" w:rsidRPr="00000000">
              <w:rPr>
                <w:b w:val="1"/>
                <w:bCs w:val="1"/>
                <w:rtl w:val="0"/>
              </w:rPr>
              <w:t xml:space="preserve">Serverless</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t xml:space="preserve">Coût à l'usage, scalabilité infinie, aucune gestion d'infrastructure.</w:t>
            </w:r>
          </w:p>
        </w:tc>
        <w:tc>
          <w:tcPr/>
          <w:p w:rsidR="00000000" w:rsidDel="00000000" w:rsidP="00000000" w:rsidRDefault="00000000" w:rsidRPr="00000000" w14:paraId="000000CC">
            <w:pPr>
              <w:rPr/>
            </w:pPr>
            <w:r w:rsidDel="00000000" w:rsidR="00000000" w:rsidRPr="00000000">
              <w:rPr>
                <w:rtl w:val="0"/>
              </w:rPr>
              <w:t xml:space="preserve">Démarrage à froid (Cold Start), dépendance forte au fournisseur (Vendor Lock-in).</w:t>
            </w:r>
          </w:p>
        </w:tc>
      </w:tr>
    </w:tbl>
    <w:p w:rsidR="00000000" w:rsidDel="00000000" w:rsidP="00000000" w:rsidRDefault="00000000" w:rsidRPr="00000000" w14:paraId="000000CD">
      <w:pPr>
        <w:jc w:val="center"/>
        <w:rPr/>
      </w:pPr>
      <w:r w:rsidDel="00000000" w:rsidR="00000000" w:rsidRPr="00000000">
        <w:rPr>
          <w:b w:val="1"/>
          <w:bCs w:val="1"/>
          <w:rtl w:val="0"/>
        </w:rPr>
        <w:t xml:space="preserve">Tableau 2 : Comparatif des Protocoles et Modes de Communication</w:t>
      </w:r>
      <w:r w:rsidDel="00000000" w:rsidR="00000000" w:rsidRPr="00000000">
        <w:rPr>
          <w:rtl w:val="0"/>
        </w:rPr>
      </w:r>
    </w:p>
    <w:tbl>
      <w:tblPr>
        <w:tblStyle w:val="Table3"/>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4000"/>
        <w:gridCol w:w="4000"/>
        <w:tblGridChange w:id="0">
          <w:tblGrid>
            <w:gridCol w:w="2400"/>
            <w:gridCol w:w="4000"/>
            <w:gridCol w:w="4000"/>
          </w:tblGrid>
        </w:tblGridChange>
      </w:tblGrid>
      <w:tr>
        <w:trPr>
          <w:cantSplit w:val="0"/>
          <w:tblHeader w:val="1"/>
        </w:trPr>
        <w:tc>
          <w:tcPr>
            <w:shd w:fill="cfe2f3" w:val="clear"/>
          </w:tcPr>
          <w:p w:rsidR="00000000" w:rsidDel="00000000" w:rsidP="00000000" w:rsidRDefault="00000000" w:rsidRPr="00000000" w14:paraId="000000CE">
            <w:pPr>
              <w:jc w:val="center"/>
              <w:rPr/>
            </w:pPr>
            <w:r w:rsidDel="00000000" w:rsidR="00000000" w:rsidRPr="00000000">
              <w:rPr>
                <w:b w:val="1"/>
                <w:bCs w:val="1"/>
                <w:rtl w:val="0"/>
              </w:rPr>
              <w:t xml:space="preserve">Protocole</w:t>
            </w:r>
            <w:r w:rsidDel="00000000" w:rsidR="00000000" w:rsidRPr="00000000">
              <w:rPr>
                <w:rtl w:val="0"/>
              </w:rPr>
            </w:r>
          </w:p>
        </w:tc>
        <w:tc>
          <w:tcPr>
            <w:shd w:fill="cfe2f3" w:val="clear"/>
          </w:tcPr>
          <w:p w:rsidR="00000000" w:rsidDel="00000000" w:rsidP="00000000" w:rsidRDefault="00000000" w:rsidRPr="00000000" w14:paraId="000000CF">
            <w:pPr>
              <w:jc w:val="center"/>
              <w:rPr/>
            </w:pPr>
            <w:r w:rsidDel="00000000" w:rsidR="00000000" w:rsidRPr="00000000">
              <w:rPr>
                <w:b w:val="1"/>
                <w:bCs w:val="1"/>
                <w:rtl w:val="0"/>
              </w:rPr>
              <w:t xml:space="preserve">Cas d'usage optimal</w:t>
            </w:r>
            <w:r w:rsidDel="00000000" w:rsidR="00000000" w:rsidRPr="00000000">
              <w:rPr>
                <w:rtl w:val="0"/>
              </w:rPr>
            </w:r>
          </w:p>
        </w:tc>
        <w:tc>
          <w:tcPr>
            <w:shd w:fill="cfe2f3" w:val="clear"/>
          </w:tcPr>
          <w:p w:rsidR="00000000" w:rsidDel="00000000" w:rsidP="00000000" w:rsidRDefault="00000000" w:rsidRPr="00000000" w14:paraId="000000D0">
            <w:pPr>
              <w:jc w:val="center"/>
              <w:rPr/>
            </w:pPr>
            <w:r w:rsidDel="00000000" w:rsidR="00000000" w:rsidRPr="00000000">
              <w:rPr>
                <w:b w:val="1"/>
                <w:bCs w:val="1"/>
                <w:rtl w:val="0"/>
              </w:rPr>
              <w:t xml:space="preserve">Performance / Complexité</w:t>
            </w:r>
            <w:r w:rsidDel="00000000" w:rsidR="00000000" w:rsidRPr="00000000">
              <w:rPr>
                <w:rtl w:val="0"/>
              </w:rPr>
            </w:r>
          </w:p>
        </w:tc>
      </w:tr>
      <w:tr>
        <w:trPr>
          <w:cantSplit w:val="0"/>
          <w:tblHeader w:val="0"/>
        </w:trPr>
        <w:tc>
          <w:tcPr/>
          <w:p w:rsidR="00000000" w:rsidDel="00000000" w:rsidP="00000000" w:rsidRDefault="00000000" w:rsidRPr="00000000" w14:paraId="000000D1">
            <w:pPr>
              <w:rPr/>
            </w:pPr>
            <w:r w:rsidDel="00000000" w:rsidR="00000000" w:rsidRPr="00000000">
              <w:rPr>
                <w:b w:val="1"/>
                <w:bCs w:val="1"/>
                <w:rtl w:val="0"/>
              </w:rPr>
              <w:t xml:space="preserve">REST (HTTP/JSON)</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t xml:space="preserve">APIs publiques, intégrations web standards.</w:t>
            </w:r>
          </w:p>
        </w:tc>
        <w:tc>
          <w:tcPr/>
          <w:p w:rsidR="00000000" w:rsidDel="00000000" w:rsidP="00000000" w:rsidRDefault="00000000" w:rsidRPr="00000000" w14:paraId="000000D3">
            <w:pPr>
              <w:rPr/>
            </w:pPr>
            <w:r w:rsidDel="00000000" w:rsidR="00000000" w:rsidRPr="00000000">
              <w:rPr>
                <w:rtl w:val="0"/>
              </w:rPr>
              <w:t xml:space="preserve">Moyenne (textuel) / Simple et universel.</w:t>
            </w:r>
          </w:p>
        </w:tc>
      </w:tr>
      <w:tr>
        <w:trPr>
          <w:cantSplit w:val="0"/>
          <w:tblHeader w:val="0"/>
        </w:trPr>
        <w:tc>
          <w:tcPr/>
          <w:p w:rsidR="00000000" w:rsidDel="00000000" w:rsidP="00000000" w:rsidRDefault="00000000" w:rsidRPr="00000000" w14:paraId="000000D4">
            <w:pPr>
              <w:rPr/>
            </w:pPr>
            <w:r w:rsidDel="00000000" w:rsidR="00000000" w:rsidRPr="00000000">
              <w:rPr>
                <w:b w:val="1"/>
                <w:bCs w:val="1"/>
                <w:rtl w:val="0"/>
              </w:rPr>
              <w:t xml:space="preserve">gRPC (Protobuf)</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t xml:space="preserve">Communication interne entre micro-services (Backend-to-Backend).</w:t>
            </w:r>
          </w:p>
        </w:tc>
        <w:tc>
          <w:tcPr/>
          <w:p w:rsidR="00000000" w:rsidDel="00000000" w:rsidP="00000000" w:rsidRDefault="00000000" w:rsidRPr="00000000" w14:paraId="000000D6">
            <w:pPr>
              <w:rPr/>
            </w:pPr>
            <w:r w:rsidDel="00000000" w:rsidR="00000000" w:rsidRPr="00000000">
              <w:rPr>
                <w:rtl w:val="0"/>
              </w:rPr>
              <w:t xml:space="preserve">Très Haute (binaire) / Élevée (contrats stricts).</w:t>
            </w:r>
          </w:p>
        </w:tc>
      </w:tr>
      <w:tr>
        <w:trPr>
          <w:cantSplit w:val="0"/>
          <w:tblHeader w:val="0"/>
        </w:trPr>
        <w:tc>
          <w:tcPr/>
          <w:p w:rsidR="00000000" w:rsidDel="00000000" w:rsidP="00000000" w:rsidRDefault="00000000" w:rsidRPr="00000000" w14:paraId="000000D7">
            <w:pPr>
              <w:rPr/>
            </w:pPr>
            <w:r w:rsidDel="00000000" w:rsidR="00000000" w:rsidRPr="00000000">
              <w:rPr>
                <w:b w:val="1"/>
                <w:bCs w:val="1"/>
                <w:rtl w:val="0"/>
              </w:rPr>
              <w:t xml:space="preserve">GraphQL</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t xml:space="preserve">Applications Front-end complexes nécessitant des données agrégées.</w:t>
            </w:r>
          </w:p>
        </w:tc>
        <w:tc>
          <w:tcPr/>
          <w:p w:rsidR="00000000" w:rsidDel="00000000" w:rsidP="00000000" w:rsidRDefault="00000000" w:rsidRPr="00000000" w14:paraId="000000D9">
            <w:pPr>
              <w:rPr/>
            </w:pPr>
            <w:r w:rsidDel="00000000" w:rsidR="00000000" w:rsidRPr="00000000">
              <w:rPr>
                <w:rtl w:val="0"/>
              </w:rPr>
              <w:t xml:space="preserve">Variable / Complexe côté serveur (résolveurs).</w:t>
            </w:r>
          </w:p>
        </w:tc>
      </w:tr>
      <w:tr>
        <w:trPr>
          <w:cantSplit w:val="0"/>
          <w:tblHeader w:val="0"/>
        </w:trPr>
        <w:tc>
          <w:tcPr/>
          <w:p w:rsidR="00000000" w:rsidDel="00000000" w:rsidP="00000000" w:rsidRDefault="00000000" w:rsidRPr="00000000" w14:paraId="000000DA">
            <w:pPr>
              <w:rPr/>
            </w:pPr>
            <w:r w:rsidDel="00000000" w:rsidR="00000000" w:rsidRPr="00000000">
              <w:rPr>
                <w:b w:val="1"/>
                <w:bCs w:val="1"/>
                <w:rtl w:val="0"/>
              </w:rPr>
              <w:t xml:space="preserve">Message Brokers</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t xml:space="preserve">Traitements asynchrones lourds, notifications, résilience.</w:t>
            </w:r>
          </w:p>
        </w:tc>
        <w:tc>
          <w:tcPr/>
          <w:p w:rsidR="00000000" w:rsidDel="00000000" w:rsidP="00000000" w:rsidRDefault="00000000" w:rsidRPr="00000000" w14:paraId="000000DC">
            <w:pPr>
              <w:rPr/>
            </w:pPr>
            <w:r w:rsidDel="00000000" w:rsidR="00000000" w:rsidRPr="00000000">
              <w:rPr>
                <w:rtl w:val="0"/>
              </w:rPr>
              <w:t xml:space="preserve">Haute (latence asynchrone) / Élevée (infrastructure).</w:t>
            </w:r>
          </w:p>
        </w:tc>
      </w:tr>
    </w:tbl>
    <w:p w:rsidR="00000000" w:rsidDel="00000000" w:rsidP="00000000" w:rsidRDefault="00000000" w:rsidRPr="00000000" w14:paraId="000000DD">
      <w:pPr>
        <w:pStyle w:val="Heading3"/>
        <w:rPr/>
      </w:pPr>
      <w:r w:rsidDel="00000000" w:rsidR="00000000" w:rsidRPr="00000000">
        <w:rPr>
          <w:b w:val="1"/>
          <w:bCs w:val="1"/>
          <w:rtl w:val="0"/>
        </w:rPr>
        <w:t xml:space="preserve">Développement détaillé des Protocoles de Communication</w:t>
      </w:r>
      <w:r w:rsidDel="00000000" w:rsidR="00000000" w:rsidRPr="00000000">
        <w:rPr>
          <w:rtl w:val="0"/>
        </w:rPr>
      </w:r>
    </w:p>
    <w:p w:rsidR="00000000" w:rsidDel="00000000" w:rsidP="00000000" w:rsidRDefault="00000000" w:rsidRPr="00000000" w14:paraId="000000DE">
      <w:pPr>
        <w:pStyle w:val="Heading4"/>
        <w:rPr/>
      </w:pPr>
      <w:r w:rsidDel="00000000" w:rsidR="00000000" w:rsidRPr="00000000">
        <w:rPr>
          <w:b w:val="1"/>
          <w:bCs w:val="1"/>
          <w:rtl w:val="0"/>
        </w:rPr>
        <w:t xml:space="preserve">REST (Representational State Transfer) : La Simplicité Universelle</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Protocole standard et agnostique de l'internet, basé sur HTTP et utilisant généralement JSON pour l'échange de données. Sa simplicité et son universalité en font le choix par défaut pour l'exposition des APIs publiques et les intégrations web standards. Il est facile à mettre en œuvre, à tester et est supporté par presque toutes les plateformes. Cependant, l'utilisation de formats textuels (JSON) est plus gourmande en bande passante que les formats binaires. En architecture micro-services, REST peut induire les phénomènes de </w:t>
      </w:r>
      <w:r w:rsidDel="00000000" w:rsidR="00000000" w:rsidRPr="00000000">
        <w:rPr>
          <w:i w:val="1"/>
          <w:iCs w:val="1"/>
          <w:rtl w:val="0"/>
        </w:rPr>
        <w:t xml:space="preserve">under-fetching</w:t>
      </w:r>
      <w:r w:rsidDel="00000000" w:rsidR="00000000" w:rsidRPr="00000000">
        <w:rPr>
          <w:rtl w:val="0"/>
        </w:rPr>
        <w:t xml:space="preserve"> (nécessité de plusieurs appels pour obtenir toutes les données) ou d'</w:t>
      </w:r>
      <w:r w:rsidDel="00000000" w:rsidR="00000000" w:rsidRPr="00000000">
        <w:rPr>
          <w:i w:val="1"/>
          <w:iCs w:val="1"/>
          <w:rtl w:val="0"/>
        </w:rPr>
        <w:t xml:space="preserve">over-fetching</w:t>
      </w:r>
      <w:r w:rsidDel="00000000" w:rsidR="00000000" w:rsidRPr="00000000">
        <w:rPr>
          <w:rtl w:val="0"/>
        </w:rPr>
        <w:t xml:space="preserve"> (récupération de données inutiles), impactant la latence globale, un facteur critique.</w:t>
      </w:r>
    </w:p>
    <w:p w:rsidR="00000000" w:rsidDel="00000000" w:rsidP="00000000" w:rsidRDefault="00000000" w:rsidRPr="00000000" w14:paraId="000000E0">
      <w:pPr>
        <w:pStyle w:val="Heading4"/>
        <w:rPr/>
      </w:pPr>
      <w:r w:rsidDel="00000000" w:rsidR="00000000" w:rsidRPr="00000000">
        <w:rPr>
          <w:b w:val="1"/>
          <w:bCs w:val="1"/>
          <w:rtl w:val="0"/>
        </w:rPr>
        <w:t xml:space="preserve">gRPC (Google Remote Procedure Call) : La Performance Interne</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gRPC est un protocole open-source basé sur HTTP/2, utilisant </w:t>
      </w:r>
      <w:r w:rsidDel="00000000" w:rsidR="00000000" w:rsidRPr="00000000">
        <w:rPr>
          <w:i w:val="1"/>
          <w:iCs w:val="1"/>
          <w:rtl w:val="0"/>
        </w:rPr>
        <w:t xml:space="preserve">Protocol Buffers</w:t>
      </w:r>
      <w:r w:rsidDel="00000000" w:rsidR="00000000" w:rsidRPr="00000000">
        <w:rPr>
          <w:rtl w:val="0"/>
        </w:rPr>
        <w:t xml:space="preserve"> (Protobuf) comme format de sérialisation binaire. Sa principale force est la performance. Le format binaire est significativement plus rapide et moins volumineux que JSON, le rendant idéal pour les communications internes (Backend-to-Backend) où la faible latence est essentielle. De plus, gRPC impose des contrats stricts (schémas définis) qui sécurisent les échanges entre les services autonomes. Pour Adeena, il doit être privilégié pour les communications synchrones entre les micro-services afin de minimiser la latence réseau introduite par le découpage.</w:t>
      </w:r>
    </w:p>
    <w:p w:rsidR="00000000" w:rsidDel="00000000" w:rsidP="00000000" w:rsidRDefault="00000000" w:rsidRPr="00000000" w14:paraId="000000E2">
      <w:pPr>
        <w:pStyle w:val="Heading4"/>
        <w:rPr/>
      </w:pPr>
      <w:r w:rsidDel="00000000" w:rsidR="00000000" w:rsidRPr="00000000">
        <w:rPr>
          <w:b w:val="1"/>
          <w:bCs w:val="1"/>
          <w:rtl w:val="0"/>
        </w:rPr>
        <w:t xml:space="preserve">GraphQL : L'Agrégation pilotée par le Client</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GraphQL est un langage de requête qui permet aux clients (souvent le Front-end) de demander exactement les données dont ils ont besoin. Il résout les problématiques d'« over » et « under-fetching » inhérentes à REST en donnant au client le pouvoir de définir sa structure de réponse. Bien qu'il ne soit pas un protocole de communication inter-service pur, GraphQL est vital pour les applications Front-end complexes. Il peut être implémenté derrière une API Gateway, permettant d'agréger efficacement les données de plusieurs micro-services en une seule requête client, optimisant ainsi la consommation de bande passante et réduisant la latence perçue par l'utilisateur.</w:t>
      </w:r>
    </w:p>
    <w:p w:rsidR="00000000" w:rsidDel="00000000" w:rsidP="00000000" w:rsidRDefault="00000000" w:rsidRPr="00000000" w14:paraId="000000E4">
      <w:pPr>
        <w:pStyle w:val="Heading4"/>
        <w:rPr/>
      </w:pPr>
      <w:bookmarkStart w:colFirst="0" w:colLast="0" w:name="_heading=h.dpwl7zq8od77" w:id="15"/>
      <w:bookmarkEnd w:id="15"/>
      <w:r w:rsidDel="00000000" w:rsidR="00000000" w:rsidRPr="00000000">
        <w:rPr>
          <w:b w:val="1"/>
          <w:bCs w:val="1"/>
          <w:rtl w:val="0"/>
        </w:rPr>
        <w:t xml:space="preserve">Message Brokers (Architecture Événementielle) : La Résilience Asynchrone</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Le Message Broker, via des outils tels qu'Apache Kafka ou RabbitMQ, est au cœur de l'Architecture Orientée Événements (</w:t>
      </w:r>
      <w:r w:rsidDel="00000000" w:rsidR="00000000" w:rsidRPr="00000000">
        <w:rPr>
          <w:i w:val="1"/>
          <w:iCs w:val="1"/>
          <w:rtl w:val="0"/>
        </w:rPr>
        <w:t xml:space="preserve">Event-Driven Architecture</w:t>
      </w:r>
      <w:r w:rsidDel="00000000" w:rsidR="00000000" w:rsidRPr="00000000">
        <w:rPr>
          <w:rtl w:val="0"/>
        </w:rPr>
        <w:t xml:space="preserve"> - EDA). Il offre un </w:t>
      </w:r>
      <w:r w:rsidDel="00000000" w:rsidR="00000000" w:rsidRPr="00000000">
        <w:rPr>
          <w:b w:val="1"/>
          <w:bCs w:val="1"/>
          <w:rtl w:val="0"/>
        </w:rPr>
        <w:t xml:space="preserve">découplage temporel</w:t>
      </w:r>
      <w:r w:rsidDel="00000000" w:rsidR="00000000" w:rsidRPr="00000000">
        <w:rPr>
          <w:rtl w:val="0"/>
        </w:rPr>
        <w:t xml:space="preserve"> total. Un service émet un événement sans se soucier de la disponibilité immédiate des destinataires. Cela garantit une haute résilience et la continuité de service : si un service cible (ex: Facturation) est en maintenance, l'événement est mis en file d'attente et sera traité dès son rétablissement. Cette résilience est indispensable à l'implémentation de motifs complexes tels que le </w:t>
      </w:r>
      <w:r w:rsidDel="00000000" w:rsidR="00000000" w:rsidRPr="00000000">
        <w:rPr>
          <w:b w:val="1"/>
          <w:bCs w:val="1"/>
          <w:rtl w:val="0"/>
        </w:rPr>
        <w:t xml:space="preserve">Motif Saga</w:t>
      </w:r>
      <w:r w:rsidDel="00000000" w:rsidR="00000000" w:rsidRPr="00000000">
        <w:rPr>
          <w:rtl w:val="0"/>
        </w:rPr>
        <w:t xml:space="preserve"> (requis pour Adeena) qui gère les transactions distribuées et la cohérence à terme (</w:t>
      </w:r>
      <w:r w:rsidDel="00000000" w:rsidR="00000000" w:rsidRPr="00000000">
        <w:rPr>
          <w:i w:val="1"/>
          <w:iCs w:val="1"/>
          <w:rtl w:val="0"/>
        </w:rPr>
        <w:t xml:space="preserve">eventual consistency</w:t>
      </w:r>
      <w:r w:rsidDel="00000000" w:rsidR="00000000" w:rsidRPr="00000000">
        <w:rPr>
          <w:rtl w:val="0"/>
        </w:rPr>
        <w:t xml:space="preserve">) sans bases de données partagées. Le broker sert alors de journal de transactions et de source unique de vérité événementielle.</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pStyle w:val="Heading3"/>
        <w:jc w:val="both"/>
        <w:rPr/>
      </w:pPr>
      <w:r w:rsidDel="00000000" w:rsidR="00000000" w:rsidRPr="00000000">
        <w:rPr>
          <w:rtl w:val="0"/>
        </w:rPr>
        <w:t xml:space="preserve">1.1. Le Théorème de CAP : Justification de la Cohérence à Terme (Eventual Consistency)</w:t>
      </w:r>
    </w:p>
    <w:p w:rsidR="00000000" w:rsidDel="00000000" w:rsidP="00000000" w:rsidRDefault="00000000" w:rsidRPr="00000000" w14:paraId="000000E8">
      <w:pPr>
        <w:jc w:val="both"/>
        <w:rPr/>
      </w:pPr>
      <w:r w:rsidDel="00000000" w:rsidR="00000000" w:rsidRPr="00000000">
        <w:rPr>
          <w:rtl w:val="0"/>
        </w:rPr>
        <w:t xml:space="preserve">Le Théorème de CAP (Consistency, Availability, Partition Tolerance), formulé par Eric Brewer, est le principe fondamental qui régit la conception de tout système distribué. Il stipule qu'il est impossible pour un système distribué de garantir simultanément les trois propriétés suivantes :</w:t>
      </w:r>
    </w:p>
    <w:p w:rsidR="00000000" w:rsidDel="00000000" w:rsidP="00000000" w:rsidRDefault="00000000" w:rsidRPr="00000000" w14:paraId="000000E9">
      <w:pPr>
        <w:numPr>
          <w:ilvl w:val="0"/>
          <w:numId w:val="8"/>
        </w:numPr>
        <w:ind w:left="720" w:hanging="360"/>
        <w:jc w:val="both"/>
      </w:pPr>
      <w:r w:rsidDel="00000000" w:rsidR="00000000" w:rsidRPr="00000000">
        <w:rPr>
          <w:b w:val="1"/>
          <w:bCs w:val="1"/>
          <w:rtl w:val="0"/>
        </w:rPr>
        <w:t xml:space="preserve">Cohérence (Consistency - C) :</w:t>
      </w:r>
      <w:r w:rsidDel="00000000" w:rsidR="00000000" w:rsidRPr="00000000">
        <w:rPr>
          <w:rtl w:val="0"/>
        </w:rPr>
        <w:t xml:space="preserve"> Toute lecture de donnée retourne la dernière écriture réussie. Tous les nœuds du système voient la même donnée au même instant.</w:t>
      </w:r>
    </w:p>
    <w:p w:rsidR="00000000" w:rsidDel="00000000" w:rsidP="00000000" w:rsidRDefault="00000000" w:rsidRPr="00000000" w14:paraId="000000EA">
      <w:pPr>
        <w:numPr>
          <w:ilvl w:val="0"/>
          <w:numId w:val="8"/>
        </w:numPr>
        <w:ind w:left="720" w:hanging="360"/>
        <w:jc w:val="both"/>
      </w:pPr>
      <w:r w:rsidDel="00000000" w:rsidR="00000000" w:rsidRPr="00000000">
        <w:rPr>
          <w:b w:val="1"/>
          <w:bCs w:val="1"/>
          <w:rtl w:val="0"/>
        </w:rPr>
        <w:t xml:space="preserve">Disponibilité (Availability - A) :</w:t>
      </w:r>
      <w:r w:rsidDel="00000000" w:rsidR="00000000" w:rsidRPr="00000000">
        <w:rPr>
          <w:rtl w:val="0"/>
        </w:rPr>
        <w:t xml:space="preserve"> Toute requête non défaillante reçoit une réponse (succès ou échec), garantissant que le système reste accessible et opérationnel.</w:t>
      </w:r>
    </w:p>
    <w:p w:rsidR="00000000" w:rsidDel="00000000" w:rsidP="00000000" w:rsidRDefault="00000000" w:rsidRPr="00000000" w14:paraId="000000EB">
      <w:pPr>
        <w:numPr>
          <w:ilvl w:val="0"/>
          <w:numId w:val="8"/>
        </w:numPr>
        <w:ind w:left="720" w:hanging="360"/>
        <w:jc w:val="both"/>
      </w:pPr>
      <w:r w:rsidDel="00000000" w:rsidR="00000000" w:rsidRPr="00000000">
        <w:rPr>
          <w:b w:val="1"/>
          <w:bCs w:val="1"/>
          <w:rtl w:val="0"/>
        </w:rPr>
        <w:t xml:space="preserve">Tolérance aux Partitions (Partition Tolerance - P) :</w:t>
      </w:r>
      <w:r w:rsidDel="00000000" w:rsidR="00000000" w:rsidRPr="00000000">
        <w:rPr>
          <w:rtl w:val="0"/>
        </w:rPr>
        <w:t xml:space="preserve"> Le système continue à fonctionner malgré l'échec des communications entre ses nœuds (une "coupure" réseau).</w:t>
      </w:r>
    </w:p>
    <w:p w:rsidR="00000000" w:rsidDel="00000000" w:rsidP="00000000" w:rsidRDefault="00000000" w:rsidRPr="00000000" w14:paraId="000000EC">
      <w:pPr>
        <w:jc w:val="both"/>
        <w:rPr/>
      </w:pPr>
      <w:r w:rsidDel="00000000" w:rsidR="00000000" w:rsidRPr="00000000">
        <w:rPr>
          <w:rtl w:val="0"/>
        </w:rPr>
        <w:t xml:space="preserve">Dans une architecture micro-services, la </w:t>
      </w:r>
      <w:r w:rsidDel="00000000" w:rsidR="00000000" w:rsidRPr="00000000">
        <w:rPr>
          <w:b w:val="1"/>
          <w:bCs w:val="1"/>
          <w:rtl w:val="0"/>
        </w:rPr>
        <w:t xml:space="preserve">Tolérance aux Partitions (P)</w:t>
      </w:r>
      <w:r w:rsidDel="00000000" w:rsidR="00000000" w:rsidRPr="00000000">
        <w:rPr>
          <w:rtl w:val="0"/>
        </w:rPr>
        <w:t xml:space="preserve"> n'est pas une option, mais un prérequis absolu. Un système distribué, par définition, s'étend sur plusieurs machines communiquant par réseau, ce qui introduit inévitablement des délais de latence et des risques de panne de communication. Les concepteurs sont donc forcés de choisir entre Cohérence (C) et Disponibilité (A).</w:t>
      </w:r>
    </w:p>
    <w:p w:rsidR="00000000" w:rsidDel="00000000" w:rsidP="00000000" w:rsidRDefault="00000000" w:rsidRPr="00000000" w14:paraId="000000ED">
      <w:pPr>
        <w:jc w:val="both"/>
        <w:rPr/>
      </w:pPr>
      <w:r w:rsidDel="00000000" w:rsidR="00000000" w:rsidRPr="00000000">
        <w:rPr>
          <w:rtl w:val="0"/>
        </w:rPr>
        <w:t xml:space="preserve">Le choix stratégique pour une plateforme comme celle d'Adeena, où la continuité de service et la résilience sont les impératifs majeurs (pour éviter les pertes de revenus estimées à 250 €/minute), se porte sur un modèle </w:t>
      </w:r>
      <w:r w:rsidDel="00000000" w:rsidR="00000000" w:rsidRPr="00000000">
        <w:rPr>
          <w:b w:val="1"/>
          <w:bCs w:val="1"/>
          <w:rtl w:val="0"/>
        </w:rPr>
        <w:t xml:space="preserve">AP (Availability and Partition Tolerance)</w:t>
      </w:r>
      <w:r w:rsidDel="00000000" w:rsidR="00000000" w:rsidRPr="00000000">
        <w:rPr>
          <w:rtl w:val="0"/>
        </w:rPr>
        <w:t xml:space="preserve">, au détriment de la Cohérence transactionnelle immédiate.</w:t>
      </w:r>
    </w:p>
    <w:p w:rsidR="00000000" w:rsidDel="00000000" w:rsidP="00000000" w:rsidRDefault="00000000" w:rsidRPr="00000000" w14:paraId="000000EE">
      <w:pPr>
        <w:jc w:val="both"/>
        <w:rPr/>
      </w:pPr>
      <w:r w:rsidDel="00000000" w:rsidR="00000000" w:rsidRPr="00000000">
        <w:rPr>
          <w:rtl w:val="0"/>
        </w:rPr>
        <w:t xml:space="preserve">Ce choix mène à l'adoption de la </w:t>
      </w:r>
      <w:r w:rsidDel="00000000" w:rsidR="00000000" w:rsidRPr="00000000">
        <w:rPr>
          <w:b w:val="1"/>
          <w:bCs w:val="1"/>
          <w:rtl w:val="0"/>
        </w:rPr>
        <w:t xml:space="preserve">Cohérence à Terme (Eventual Consistency)</w:t>
      </w:r>
      <w:r w:rsidDel="00000000" w:rsidR="00000000" w:rsidRPr="00000000">
        <w:rPr>
          <w:rtl w:val="0"/>
        </w:rPr>
        <w:t xml:space="preserve">. Cela signifie que le système ne garantit plus que toutes les données soient à jour instantanément à travers tous les services. À la place, il garantit que si aucune nouvelle écriture n'a lieu, toutes les répliques finiront par converger vers le même état. Ce compromis permet aux micro-services de rester autonomes et disponibles même en cas de défaillance d'un autre service, ce qui est indispensable au "Zero Downtime Deployment" (ZDD).</w:t>
      </w:r>
    </w:p>
    <w:p w:rsidR="00000000" w:rsidDel="00000000" w:rsidP="00000000" w:rsidRDefault="00000000" w:rsidRPr="00000000" w14:paraId="000000EF">
      <w:pPr>
        <w:pStyle w:val="Heading3"/>
        <w:jc w:val="both"/>
        <w:rPr/>
      </w:pPr>
      <w:bookmarkStart w:colFirst="0" w:colLast="0" w:name="_heading=h.4f9jo4f99urv" w:id="16"/>
      <w:bookmarkEnd w:id="16"/>
      <w:r w:rsidDel="00000000" w:rsidR="00000000" w:rsidRPr="00000000">
        <w:rPr>
          <w:rtl w:val="0"/>
        </w:rPr>
        <w:t xml:space="preserve">1.2. La Taxonomie des Couplages : Le Découplage par Micro-services</w:t>
      </w:r>
    </w:p>
    <w:p w:rsidR="00000000" w:rsidDel="00000000" w:rsidP="00000000" w:rsidRDefault="00000000" w:rsidRPr="00000000" w14:paraId="000000F0">
      <w:pPr>
        <w:jc w:val="both"/>
        <w:rPr/>
      </w:pPr>
      <w:r w:rsidDel="00000000" w:rsidR="00000000" w:rsidRPr="00000000">
        <w:rPr>
          <w:rtl w:val="0"/>
        </w:rPr>
        <w:t xml:space="preserve">Le second pilier académique justifiant la migration est la Taxonomie des Couplages, qui classe la dépendance entre les modules logiciels. L'objectif de toute bonne conception est d'atteindre une </w:t>
      </w:r>
      <w:r w:rsidDel="00000000" w:rsidR="00000000" w:rsidRPr="00000000">
        <w:rPr>
          <w:b w:val="1"/>
          <w:bCs w:val="1"/>
          <w:rtl w:val="0"/>
        </w:rPr>
        <w:t xml:space="preserve">Faible Couplage / Forte Cohésion</w:t>
      </w:r>
      <w:r w:rsidDel="00000000" w:rsidR="00000000" w:rsidRPr="00000000">
        <w:rPr>
          <w:rtl w:val="0"/>
        </w:rPr>
        <w:t xml:space="preserve"> (Low Coupling / High Cohesion).</w:t>
      </w:r>
    </w:p>
    <w:p w:rsidR="00000000" w:rsidDel="00000000" w:rsidP="00000000" w:rsidRDefault="00000000" w:rsidRPr="00000000" w14:paraId="000000F1">
      <w:pPr>
        <w:numPr>
          <w:ilvl w:val="0"/>
          <w:numId w:val="8"/>
        </w:numPr>
        <w:ind w:left="720" w:hanging="360"/>
        <w:jc w:val="both"/>
      </w:pPr>
      <w:r w:rsidDel="00000000" w:rsidR="00000000" w:rsidRPr="00000000">
        <w:rPr>
          <w:b w:val="1"/>
          <w:bCs w:val="1"/>
          <w:rtl w:val="0"/>
        </w:rPr>
        <w:t xml:space="preserve">1. Le Couplage Fort du Monolithe (High Coupling) :</w:t>
      </w:r>
      <w:r w:rsidDel="00000000" w:rsidR="00000000" w:rsidRPr="00000000">
        <w:rPr>
          <w:rtl w:val="0"/>
        </w:rPr>
        <w:t xml:space="preserve"> L'architecture monolithique souffre des formes de couplage les plus fortes :</w:t>
      </w:r>
    </w:p>
    <w:p w:rsidR="00000000" w:rsidDel="00000000" w:rsidP="00000000" w:rsidRDefault="00000000" w:rsidRPr="00000000" w14:paraId="000000F2">
      <w:pPr>
        <w:numPr>
          <w:ilvl w:val="1"/>
          <w:numId w:val="8"/>
        </w:numPr>
        <w:ind w:left="1440" w:hanging="360"/>
        <w:jc w:val="both"/>
      </w:pPr>
      <w:r w:rsidDel="00000000" w:rsidR="00000000" w:rsidRPr="00000000">
        <w:rPr>
          <w:b w:val="1"/>
          <w:bCs w:val="1"/>
          <w:rtl w:val="0"/>
        </w:rPr>
        <w:t xml:space="preserve">Couplage de Contenu (Content Coupling) :</w:t>
      </w:r>
      <w:r w:rsidDel="00000000" w:rsidR="00000000" w:rsidRPr="00000000">
        <w:rPr>
          <w:rtl w:val="0"/>
        </w:rPr>
        <w:t xml:space="preserve"> Un module modifie les données internes d'un autre module (souvent via un accès direct à la même table de base de données). C'est le niveau le plus rigide, car toute modification interne à A brise B. C'est le moteur de la dette technique.</w:t>
      </w:r>
    </w:p>
    <w:p w:rsidR="00000000" w:rsidDel="00000000" w:rsidP="00000000" w:rsidRDefault="00000000" w:rsidRPr="00000000" w14:paraId="000000F3">
      <w:pPr>
        <w:numPr>
          <w:ilvl w:val="1"/>
          <w:numId w:val="8"/>
        </w:numPr>
        <w:ind w:left="1440" w:hanging="360"/>
        <w:jc w:val="both"/>
      </w:pPr>
      <w:r w:rsidDel="00000000" w:rsidR="00000000" w:rsidRPr="00000000">
        <w:rPr>
          <w:b w:val="1"/>
          <w:bCs w:val="1"/>
          <w:rtl w:val="0"/>
        </w:rPr>
        <w:t xml:space="preserve">Couplage Commun (Common Coupling) :</w:t>
      </w:r>
      <w:r w:rsidDel="00000000" w:rsidR="00000000" w:rsidRPr="00000000">
        <w:rPr>
          <w:rtl w:val="0"/>
        </w:rPr>
        <w:t xml:space="preserve"> Tous les modules partagent une ressource globale unique (la base de données monolithique). Il rend l'autonomie et le déploiement isolé impossibles, car une mise à jour du schéma de données impacte tous les services.</w:t>
      </w:r>
    </w:p>
    <w:p w:rsidR="00000000" w:rsidDel="00000000" w:rsidP="00000000" w:rsidRDefault="00000000" w:rsidRPr="00000000" w14:paraId="000000F4">
      <w:pPr>
        <w:numPr>
          <w:ilvl w:val="0"/>
          <w:numId w:val="8"/>
        </w:numPr>
        <w:ind w:left="720" w:hanging="360"/>
        <w:jc w:val="both"/>
      </w:pPr>
      <w:r w:rsidDel="00000000" w:rsidR="00000000" w:rsidRPr="00000000">
        <w:rPr>
          <w:b w:val="1"/>
          <w:bCs w:val="1"/>
          <w:rtl w:val="0"/>
        </w:rPr>
        <w:t xml:space="preserve">2. Le Couplage Faible des Micro-services (Low Coupling) :</w:t>
      </w:r>
      <w:r w:rsidDel="00000000" w:rsidR="00000000" w:rsidRPr="00000000">
        <w:rPr>
          <w:rtl w:val="0"/>
        </w:rPr>
        <w:t xml:space="preserve"> La stratégie micro-services vise à atteindre les niveaux de couplage les plus faibles, garantissant la résilience et l'agilité :</w:t>
      </w:r>
    </w:p>
    <w:p w:rsidR="00000000" w:rsidDel="00000000" w:rsidP="00000000" w:rsidRDefault="00000000" w:rsidRPr="00000000" w14:paraId="000000F5">
      <w:pPr>
        <w:numPr>
          <w:ilvl w:val="1"/>
          <w:numId w:val="8"/>
        </w:numPr>
        <w:ind w:left="1440" w:hanging="360"/>
        <w:jc w:val="both"/>
      </w:pPr>
      <w:r w:rsidDel="00000000" w:rsidR="00000000" w:rsidRPr="00000000">
        <w:rPr>
          <w:b w:val="1"/>
          <w:bCs w:val="1"/>
          <w:rtl w:val="0"/>
        </w:rPr>
        <w:t xml:space="preserve">Couplage de Messages (Message Coupling) :</w:t>
      </w:r>
      <w:r w:rsidDel="00000000" w:rsidR="00000000" w:rsidRPr="00000000">
        <w:rPr>
          <w:rtl w:val="0"/>
        </w:rPr>
        <w:t xml:space="preserve"> Il s'agit du niveau de couplage idéal pour une architecture distribuée, où la communication se fait par des appels de fonctions ou l'échange d'événements asynchrones (via des Message Brokers). Les services ne connaissent que le "contrat" (l'API) de l'autre, pas son implémentation interne, assurant une isolation totale des domaines métier (Bounded Contexts).</w:t>
      </w:r>
    </w:p>
    <w:p w:rsidR="00000000" w:rsidDel="00000000" w:rsidP="00000000" w:rsidRDefault="00000000" w:rsidRPr="00000000" w14:paraId="000000F6">
      <w:pPr>
        <w:jc w:val="both"/>
        <w:rPr/>
      </w:pPr>
      <w:r w:rsidDel="00000000" w:rsidR="00000000" w:rsidRPr="00000000">
        <w:rPr>
          <w:rtl w:val="0"/>
        </w:rPr>
        <w:t xml:space="preserve">Le découplage fonctionnel, basé sur cette taxonomie, est la justification première pour abandonner la base de données partagée et les appels en mémoire : il permet à Adeena de structurer ses équipes en Feature Teams (Loi de Conway) et de livrer des fonctionnalités rapidement sans risquer de briser le système global.</w:t>
      </w:r>
    </w:p>
    <w:p w:rsidR="00000000" w:rsidDel="00000000" w:rsidP="00000000" w:rsidRDefault="00000000" w:rsidRPr="00000000" w14:paraId="000000F7">
      <w:pPr>
        <w:pStyle w:val="Heading2"/>
        <w:numPr>
          <w:ilvl w:val="0"/>
          <w:numId w:val="8"/>
        </w:numPr>
        <w:ind w:left="720" w:hanging="360"/>
        <w:jc w:val="both"/>
      </w:pPr>
      <w:bookmarkStart w:colFirst="0" w:colLast="0" w:name="_heading=h.q8lr5xrr7bdd" w:id="17"/>
      <w:bookmarkEnd w:id="17"/>
      <w:r w:rsidDel="00000000" w:rsidR="00000000" w:rsidRPr="00000000">
        <w:rPr>
          <w:rtl w:val="0"/>
        </w:rPr>
        <w:t xml:space="preserve">2. Audit des solutions existantes (Le Monolithe) :</w:t>
      </w:r>
    </w:p>
    <w:p w:rsidR="00000000" w:rsidDel="00000000" w:rsidP="00000000" w:rsidRDefault="00000000" w:rsidRPr="00000000" w14:paraId="000000F8">
      <w:pPr>
        <w:pStyle w:val="Heading3"/>
        <w:rPr/>
      </w:pPr>
      <w:bookmarkStart w:colFirst="0" w:colLast="0" w:name="_heading=h.lrjz02miiqp0" w:id="18"/>
      <w:bookmarkEnd w:id="18"/>
      <w:r w:rsidDel="00000000" w:rsidR="00000000" w:rsidRPr="00000000">
        <w:rPr>
          <w:rtl w:val="0"/>
        </w:rPr>
        <w:t xml:space="preserve">2.1. Cartographie de la Dette Technique et du Couplage Fonctionnel</w:t>
      </w:r>
    </w:p>
    <w:p w:rsidR="00000000" w:rsidDel="00000000" w:rsidP="00000000" w:rsidRDefault="00000000" w:rsidRPr="00000000" w14:paraId="000000F9">
      <w:pPr>
        <w:jc w:val="both"/>
        <w:rPr/>
      </w:pPr>
      <w:r w:rsidDel="00000000" w:rsidR="00000000" w:rsidRPr="00000000">
        <w:rPr>
          <w:rtl w:val="0"/>
        </w:rPr>
        <w:t xml:space="preserve">L'audit initial exige une cartographie exhaustive de l'architecture existante pour mesurer le degré de couplage. Dans un monolithe mature, les frontières entre les domaines métiers sont souvent </w:t>
      </w:r>
      <w:r w:rsidDel="00000000" w:rsidR="00000000" w:rsidRPr="00000000">
        <w:rPr>
          <w:b w:val="1"/>
          <w:bCs w:val="1"/>
          <w:rtl w:val="0"/>
        </w:rPr>
        <w:t xml:space="preserve">perméables</w:t>
      </w:r>
      <w:r w:rsidDel="00000000" w:rsidR="00000000" w:rsidRPr="00000000">
        <w:rPr>
          <w:rtl w:val="0"/>
        </w:rPr>
        <w:t xml:space="preserve">, créant une forte adhérence du code où les composants s'invoquent directement en mémoire. Une modification mineure peut impacter l'ensemble du système, rendant le découpage périlleux. Cette rigidité se traduit directement en coût : dans l’hypothèse d’un monolithe complexe, on estime à </w:t>
      </w:r>
      <w:r w:rsidDel="00000000" w:rsidR="00000000" w:rsidRPr="00000000">
        <w:rPr>
          <w:b w:val="1"/>
          <w:bCs w:val="1"/>
          <w:rtl w:val="0"/>
        </w:rPr>
        <w:t xml:space="preserve">20% du temps de développement</w:t>
      </w:r>
      <w:r w:rsidDel="00000000" w:rsidR="00000000" w:rsidRPr="00000000">
        <w:rPr>
          <w:rtl w:val="0"/>
        </w:rPr>
        <w:t xml:space="preserve"> consacré à la recherche d’effet de bord lors d’une modification ou de résolution de bug suite à un effet de bord d’une modification. Cette perte de productivité, associée au risque de régression lors du déploiement, est directement corrélée à l'impact financier de l'indisponibilité, estimé à </w:t>
      </w:r>
      <w:r w:rsidDel="00000000" w:rsidR="00000000" w:rsidRPr="00000000">
        <w:rPr>
          <w:b w:val="1"/>
          <w:bCs w:val="1"/>
          <w:rtl w:val="0"/>
        </w:rPr>
        <w:t xml:space="preserve">250 €/minute</w:t>
      </w:r>
      <w:r w:rsidDel="00000000" w:rsidR="00000000" w:rsidRPr="00000000">
        <w:rPr>
          <w:rtl w:val="0"/>
        </w:rPr>
        <w:t xml:space="preserve"> (I-2.2). Pour réussir la migration, il est impératif de décomposer cette dette en ses composantes principales : Couplage de Persistance, Dette de Code et Dette de Stack.</w:t>
      </w:r>
    </w:p>
    <w:p w:rsidR="00000000" w:rsidDel="00000000" w:rsidP="00000000" w:rsidRDefault="00000000" w:rsidRPr="00000000" w14:paraId="000000FA">
      <w:pPr>
        <w:pStyle w:val="Heading4"/>
        <w:rPr/>
      </w:pPr>
      <w:bookmarkStart w:colFirst="0" w:colLast="0" w:name="_heading=h.8dcjjmacgb89" w:id="19"/>
      <w:bookmarkEnd w:id="19"/>
      <w:r w:rsidDel="00000000" w:rsidR="00000000" w:rsidRPr="00000000">
        <w:rPr>
          <w:rtl w:val="0"/>
        </w:rPr>
        <w:t xml:space="preserve">2.1.1. Le Couplage de Persistance et l'Impossibilité de l'Isolation</w:t>
      </w:r>
    </w:p>
    <w:p w:rsidR="00000000" w:rsidDel="00000000" w:rsidP="00000000" w:rsidRDefault="00000000" w:rsidRPr="00000000" w14:paraId="000000FB">
      <w:pPr>
        <w:jc w:val="both"/>
        <w:rPr/>
      </w:pPr>
      <w:r w:rsidDel="00000000" w:rsidR="00000000" w:rsidRPr="00000000">
        <w:rPr>
          <w:rtl w:val="0"/>
        </w:rPr>
        <w:t xml:space="preserve">Le couplage le plus critique se situe au niveau de la couche de persistance : une base de données centralisée et partagée où les différents modules accèdent aux mêmes tables. Cette architecture, bien que simple au départ, contrevient au principe d'isolation des micro-services. Ce partage de ressources est un cas d’école du </w:t>
      </w:r>
      <w:r w:rsidDel="00000000" w:rsidR="00000000" w:rsidRPr="00000000">
        <w:rPr>
          <w:b w:val="1"/>
          <w:bCs w:val="1"/>
          <w:rtl w:val="0"/>
        </w:rPr>
        <w:t xml:space="preserve">Couplage Commun</w:t>
      </w:r>
      <w:r w:rsidDel="00000000" w:rsidR="00000000" w:rsidRPr="00000000">
        <w:rPr>
          <w:rtl w:val="0"/>
        </w:rPr>
        <w:t xml:space="preserve"> (tel que défini en II-1.2), qui rend l’autonomie de déploiement et la gestion du risque exponentiellement difficiles.</w:t>
      </w:r>
    </w:p>
    <w:p w:rsidR="00000000" w:rsidDel="00000000" w:rsidP="00000000" w:rsidRDefault="00000000" w:rsidRPr="00000000" w14:paraId="000000FC">
      <w:pPr>
        <w:jc w:val="both"/>
        <w:rPr/>
      </w:pPr>
      <w:r w:rsidDel="00000000" w:rsidR="00000000" w:rsidRPr="00000000">
        <w:rPr>
          <w:rtl w:val="0"/>
        </w:rPr>
        <w:t xml:space="preserve">Dans un monolithe complexe, le partage de schémas crée une dépendance invisible mais rigide : une modification de structure pour un module peut corrompre la logique métier d'un autre module situé à l'opposé de l'application. Pour réussir le découplage de cette couche de persistance, il est impératif d'identifier les "Bounded Contexts" (contextes délimités) et de définir des interfaces de communication claires avant toute migration physique. Ce processus d'audit doit recenser les procédures stockées, les déclencheurs (</w:t>
      </w:r>
      <w:r w:rsidDel="00000000" w:rsidR="00000000" w:rsidRPr="00000000">
        <w:rPr>
          <w:i w:val="1"/>
          <w:iCs w:val="1"/>
          <w:rtl w:val="0"/>
        </w:rPr>
        <w:t xml:space="preserve">triggers</w:t>
      </w:r>
      <w:r w:rsidDel="00000000" w:rsidR="00000000" w:rsidRPr="00000000">
        <w:rPr>
          <w:rtl w:val="0"/>
        </w:rPr>
        <w:t xml:space="preserve">) et les vues partagées qui masquent souvent des règles métier complexes et interdépendantes. Dans un monolithe, faire une migration sur la base de données pour effectuer une modification sur de l’existant est dangereux et peut impacter des dizaines de service qui utilisent tous une même partie de la base de données, cela rend la partie test de l’application encore plus longue et oblige l’équipe QA et développement à devoir tester des parties de l'application qu’ils n’ont pas forcément touchées directement. Le risque de régression est maximal et est directement lié à la complexité de cette couche.</w:t>
      </w:r>
    </w:p>
    <w:p w:rsidR="00000000" w:rsidDel="00000000" w:rsidP="00000000" w:rsidRDefault="00000000" w:rsidRPr="00000000" w14:paraId="000000FD">
      <w:pPr>
        <w:pStyle w:val="Heading4"/>
        <w:rPr/>
      </w:pPr>
      <w:r w:rsidDel="00000000" w:rsidR="00000000" w:rsidRPr="00000000">
        <w:rPr>
          <w:rtl w:val="0"/>
        </w:rPr>
        <w:t xml:space="preserve">2.1.2. La Dette de Code Fonctionnel (Violation du Principe Ouvert/Fermé)</w:t>
      </w:r>
    </w:p>
    <w:p w:rsidR="00000000" w:rsidDel="00000000" w:rsidP="00000000" w:rsidRDefault="00000000" w:rsidRPr="00000000" w14:paraId="000000FE">
      <w:pPr>
        <w:jc w:val="both"/>
        <w:rPr/>
      </w:pPr>
      <w:r w:rsidDel="00000000" w:rsidR="00000000" w:rsidRPr="00000000">
        <w:rPr>
          <w:rtl w:val="0"/>
        </w:rPr>
        <w:t xml:space="preserve">Le couplage fort se manifeste également au niveau des appels de fonctions en mémoire, ce qui engendre des risques de régression lors des développements. Si par exemple on suit la gestion d’une aide CEE, lors d’un appel vers ce service, c’est lui-même qui va effectuer la tâche liée à ce service mais c’est également lui qui va faire suivre la logique métier de l’appel et faire travailler ensemble les différents services qui sont nécessaires à l'avancée du processus. Ici, si une modification est faite dans le service appelé et qui va persister des données, le prochain service appelé qui se basait sur un état en base de données pourrait ne plus fonctionner, n’atteignant jamais un état auparavant donné. Ainsi, le processus n’est plus suivi dans son ensemble et un premier bug est trouvé n’étant pas lié directement au second service appelé apparaît.</w:t>
      </w:r>
    </w:p>
    <w:p w:rsidR="00000000" w:rsidDel="00000000" w:rsidP="00000000" w:rsidRDefault="00000000" w:rsidRPr="00000000" w14:paraId="000000FF">
      <w:pPr>
        <w:jc w:val="both"/>
        <w:rPr/>
      </w:pPr>
      <w:r w:rsidDel="00000000" w:rsidR="00000000" w:rsidRPr="00000000">
        <w:rPr>
          <w:rtl w:val="0"/>
        </w:rPr>
        <w:t xml:space="preserve">Ce processus est exactement le même pour ce qui concerne des développements sur de simples fonctions d’un service. Dans la théorie, les tests unitaires permettent de réduire le risque de régression et de trouver rapidement quelles autres fonctions sont impactées par un changement. Cependant, dans la réalité d’un développeur, il est parfois nécessaire de modifier une fonction sans suivre le </w:t>
      </w:r>
      <w:r w:rsidDel="00000000" w:rsidR="00000000" w:rsidRPr="00000000">
        <w:rPr>
          <w:b w:val="1"/>
          <w:bCs w:val="1"/>
          <w:rtl w:val="0"/>
        </w:rPr>
        <w:t xml:space="preserve">Principe Ouvert/Fermé (Open/Closed Principle)</w:t>
      </w:r>
      <w:r w:rsidDel="00000000" w:rsidR="00000000" w:rsidRPr="00000000">
        <w:rPr>
          <w:rtl w:val="0"/>
        </w:rPr>
        <w:t xml:space="preserve"> donné par </w:t>
      </w:r>
      <w:r w:rsidDel="00000000" w:rsidR="00000000" w:rsidRPr="00000000">
        <w:rPr>
          <w:b w:val="1"/>
          <w:bCs w:val="1"/>
          <w:rtl w:val="0"/>
        </w:rPr>
        <w:t xml:space="preserve">SOLID</w:t>
      </w:r>
      <w:r w:rsidDel="00000000" w:rsidR="00000000" w:rsidRPr="00000000">
        <w:rPr>
          <w:rtl w:val="0"/>
        </w:rPr>
        <w:t xml:space="preserve">. Le Principe Ouvert/Fermé stipule qu’une entité logicielle (classe, module ou fonction) doit pouvoir être étendue pour ajouter de nouvelles fonctionnalités, mais doit rester fermée à la modification, nécessitant de créer une nouvelle fonction. Cela vise donc à garantir la stabilité et à prévenir le risque de régression, mais pour gagner du temps dans un sprint par exemple, il peut arriver que l’on modifie une fonction existante appelée depuis plusieurs autres fonctions. C’est là que le temps de développement pourrait être multiplié par 1,5 à 2 juste pour le temps d’assurer que les fonctions n’aient pas d’impact à d’autres endroits.</w:t>
      </w:r>
    </w:p>
    <w:p w:rsidR="00000000" w:rsidDel="00000000" w:rsidP="00000000" w:rsidRDefault="00000000" w:rsidRPr="00000000" w14:paraId="00000100">
      <w:pPr>
        <w:pStyle w:val="Heading4"/>
        <w:rPr/>
      </w:pPr>
      <w:bookmarkStart w:colFirst="0" w:colLast="0" w:name="_heading=h.wglxi1spyfjv" w:id="20"/>
      <w:bookmarkEnd w:id="20"/>
      <w:r w:rsidDel="00000000" w:rsidR="00000000" w:rsidRPr="00000000">
        <w:rPr>
          <w:rtl w:val="0"/>
        </w:rPr>
        <w:t xml:space="preserve">2.1.3. La Dette Technique de Stack (Obsolescence et Vulnérabilités)</w:t>
      </w:r>
    </w:p>
    <w:p w:rsidR="00000000" w:rsidDel="00000000" w:rsidP="00000000" w:rsidRDefault="00000000" w:rsidRPr="00000000" w14:paraId="00000101">
      <w:pPr>
        <w:jc w:val="both"/>
        <w:rPr/>
      </w:pPr>
      <w:r w:rsidDel="00000000" w:rsidR="00000000" w:rsidRPr="00000000">
        <w:rPr>
          <w:rtl w:val="0"/>
        </w:rPr>
        <w:t xml:space="preserve">Un autre point de dette technique important se situe au niveau de la stack technologique et de l’équipe de développement. En effet, le monolithe chez Adeena a été développé sur des vieilles versions de </w:t>
      </w:r>
      <w:r w:rsidDel="00000000" w:rsidR="00000000" w:rsidRPr="00000000">
        <w:rPr>
          <w:b w:val="1"/>
          <w:bCs w:val="1"/>
          <w:rtl w:val="0"/>
        </w:rPr>
        <w:t xml:space="preserve">PHP Symfony et Angular</w:t>
      </w:r>
      <w:r w:rsidDel="00000000" w:rsidR="00000000" w:rsidRPr="00000000">
        <w:rPr>
          <w:rtl w:val="0"/>
        </w:rPr>
        <w:t xml:space="preserve">. Les montées de version d’un composant comme le langage PHP qui touche à l’entièreté du projet constitue un énorme frein vers des montées de versions régulières et rapides. Cela va augmenter le risque de failles de sécurités qui va s’accumuler, et si les montées de versions ne sont pas faites régulièrement, la charge de travail afin de faire les suivantes va elle aussi se décupler et décourager l’équipe à prendre le temps nécessaire pour garantir la sécurité et la fiabilité de notre application.</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pStyle w:val="Heading4"/>
        <w:jc w:val="both"/>
        <w:rPr/>
      </w:pPr>
      <w:bookmarkStart w:colFirst="0" w:colLast="0" w:name="_heading=h.cd46vfaejduz" w:id="21"/>
      <w:bookmarkEnd w:id="21"/>
      <w:r w:rsidDel="00000000" w:rsidR="00000000" w:rsidRPr="00000000">
        <w:rPr>
          <w:rtl w:val="0"/>
        </w:rPr>
        <w:t xml:space="preserve">2.1.4. La dette structurelle</w:t>
      </w:r>
    </w:p>
    <w:p w:rsidR="00000000" w:rsidDel="00000000" w:rsidP="00000000" w:rsidRDefault="00000000" w:rsidRPr="00000000" w14:paraId="00000104">
      <w:pPr>
        <w:rPr/>
      </w:pPr>
      <w:r w:rsidDel="00000000" w:rsidR="00000000" w:rsidRPr="00000000">
        <w:rPr>
          <w:rtl w:val="0"/>
        </w:rPr>
        <w:t xml:space="preserve">Les désavantages du monolithe se font aussi ressentir sur un autre point : La structure, en effet dû au contrainte du monolithe, toutes les fonctionnalités sont étroitement liées et les domaines sont tous mélangés ensemble et aucun Bounded Context n’a été délimité. Une modification dans une fonction devient donc très dangereuse car elle peut entraîner des régressions à plusieurs niveaux, cela demande donc une compréhension globale du système. </w:t>
      </w:r>
    </w:p>
    <w:p w:rsidR="00000000" w:rsidDel="00000000" w:rsidP="00000000" w:rsidRDefault="00000000" w:rsidRPr="00000000" w14:paraId="00000105">
      <w:pPr>
        <w:rPr/>
      </w:pPr>
      <w:r w:rsidDel="00000000" w:rsidR="00000000" w:rsidRPr="00000000">
        <w:rPr>
          <w:rtl w:val="0"/>
        </w:rPr>
        <w:t xml:space="preserve">Le défaut de ce problème de structuration se pose également dans un contexte de développement de nouvelles application satellite autour de l’application métier, si l’on veut pouvoir répondre à un besoin par une application avec son propre système mais qu’elle doit avoir des données communes, c’est tout simplement impossible par le blocage que produit Doctrine avec PHP et le mélange de toutes les fonctionnalités ensemble. Cela empêche également d’utiliser un service indépendant pour une utilité qui sort qui cadre stricte de l’application, un micro-service de gestion de document par exemple pourrait s’occuper de la persistance et la gestion de version de document, mais également de la génération et une fois tous les documents regroupé au même endroit, c’est aux autres service de venir chercher leur fichier dans le service. Cette approche facilite la génération de documents propres au dispositif des CEE, tout en offrant la flexibilité nécessaire pour intégrer n'importe quel autre type de document, grâce à l'ouverture du contexte à l'ensemble des pièces justificatives possibles.</w:t>
      </w:r>
    </w:p>
    <w:p w:rsidR="00000000" w:rsidDel="00000000" w:rsidP="00000000" w:rsidRDefault="00000000" w:rsidRPr="00000000" w14:paraId="00000106">
      <w:pPr>
        <w:pStyle w:val="Heading3"/>
        <w:rPr/>
      </w:pPr>
      <w:bookmarkStart w:colFirst="0" w:colLast="0" w:name="_heading=h.r9wkxgqh207u" w:id="22"/>
      <w:bookmarkEnd w:id="22"/>
      <w:r w:rsidDel="00000000" w:rsidR="00000000" w:rsidRPr="00000000">
        <w:rPr>
          <w:rtl w:val="0"/>
        </w:rPr>
        <w:t xml:space="preserve">2.2. Identification des points de blocage pour une extraction en services</w:t>
      </w:r>
    </w:p>
    <w:p w:rsidR="00000000" w:rsidDel="00000000" w:rsidP="00000000" w:rsidRDefault="00000000" w:rsidRPr="00000000" w14:paraId="00000107">
      <w:pPr>
        <w:spacing w:after="240" w:before="240" w:lineRule="auto"/>
        <w:ind w:left="0" w:firstLine="0"/>
        <w:jc w:val="both"/>
        <w:rPr/>
      </w:pPr>
      <w:r w:rsidDel="00000000" w:rsidR="00000000" w:rsidRPr="00000000">
        <w:rPr>
          <w:rtl w:val="0"/>
        </w:rPr>
        <w:t xml:space="preserve">L'extraction d'un module vers un service autonome se heurte à plusieurs points de blocage techniques qu'il faut recenser. Le premier concerne la gestion de l'état (statefulness) : les composants monolithiques partageant souvent des sessions en mémoire locale, leur extraction nécessite une refonte vers des architectures sans état (stateless). Le second blocage réside dans les appels synchrones profonds qui, une fois distribués sur le réseau, génèrent de la latence, de la congestion et des risques de pannes en cascade. Enfin, la perte des garanties transactionnelles (ACID) traditionnelles constitue un frein majeur. L'audit doit identifier ces dépendances cachées, le code mort et les librairies partagées obsolètes afin de déterminer quels modules peuvent être extraits en premier (souvent les moins critiques et les moins couplés) pour valider la stratégie de migration en minimisant les risques de régression.</w:t>
      </w:r>
      <w:r w:rsidDel="00000000" w:rsidR="00000000" w:rsidRPr="00000000">
        <w:rPr>
          <w:rtl w:val="0"/>
        </w:rPr>
      </w:r>
    </w:p>
    <w:p w:rsidR="00000000" w:rsidDel="00000000" w:rsidP="00000000" w:rsidRDefault="00000000" w:rsidRPr="00000000" w14:paraId="00000108">
      <w:pPr>
        <w:pStyle w:val="Heading2"/>
        <w:numPr>
          <w:ilvl w:val="0"/>
          <w:numId w:val="8"/>
        </w:numPr>
        <w:ind w:left="720" w:hanging="360"/>
        <w:jc w:val="both"/>
      </w:pPr>
      <w:bookmarkStart w:colFirst="0" w:colLast="0" w:name="_heading=h.4w537gj9om3n" w:id="23"/>
      <w:bookmarkEnd w:id="23"/>
      <w:r w:rsidDel="00000000" w:rsidR="00000000" w:rsidRPr="00000000">
        <w:rPr>
          <w:rtl w:val="0"/>
        </w:rPr>
        <w:t xml:space="preserve">3. Définition de la solution cible (Micro-services) :</w:t>
      </w:r>
    </w:p>
    <w:p w:rsidR="00000000" w:rsidDel="00000000" w:rsidP="00000000" w:rsidRDefault="00000000" w:rsidRPr="00000000" w14:paraId="00000109">
      <w:pPr>
        <w:pStyle w:val="Heading3"/>
        <w:rPr/>
      </w:pPr>
      <w:r w:rsidDel="00000000" w:rsidR="00000000" w:rsidRPr="00000000">
        <w:rPr>
          <w:b w:val="1"/>
          <w:bCs w:val="1"/>
          <w:rtl w:val="0"/>
        </w:rPr>
        <w:t xml:space="preserve">3.1. Découpage fonctionnel par Domain-Driven Design (DDD) et définition des Contextes Délimités</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L’étape critique précédant l'implémentation technique des micro-services est l'identification des frontières fonctionnelles. En tant que consultant, la méthode structurante retenue est le </w:t>
      </w:r>
      <w:r w:rsidDel="00000000" w:rsidR="00000000" w:rsidRPr="00000000">
        <w:rPr>
          <w:b w:val="1"/>
          <w:bCs w:val="1"/>
          <w:rtl w:val="0"/>
        </w:rPr>
        <w:t xml:space="preserve">Domain-Driven Design (DDD)</w:t>
      </w:r>
      <w:r w:rsidDel="00000000" w:rsidR="00000000" w:rsidRPr="00000000">
        <w:rPr>
          <w:rtl w:val="0"/>
        </w:rPr>
        <w:t xml:space="preserve">, conceptualisé par Eric Evans. Le DDD est une approche stratégique qui vise à modéliser le logiciel en alignement direct avec les domaines métiers complexes (le « Domaine ») de l’entreprise, en utilisant un langage commun et sans ambiguïté entre les experts métiers et les développeurs. Ce n'est pas une simple technique de codage, mais le prérequis méthodologique pour garantir que le découpage architectural soutienne l'autonomie organisationnelle (Loi de Conway).</w:t>
      </w:r>
    </w:p>
    <w:p w:rsidR="00000000" w:rsidDel="00000000" w:rsidP="00000000" w:rsidRDefault="00000000" w:rsidRPr="00000000" w14:paraId="0000010B">
      <w:pPr>
        <w:pStyle w:val="Heading4"/>
        <w:rPr/>
      </w:pPr>
      <w:r w:rsidDel="00000000" w:rsidR="00000000" w:rsidRPr="00000000">
        <w:rPr>
          <w:b w:val="1"/>
          <w:bCs w:val="1"/>
          <w:i w:val="1"/>
          <w:iCs w:val="1"/>
          <w:rtl w:val="0"/>
        </w:rPr>
        <w:t xml:space="preserve">Le Bounded Context : l'Unité d'Autonomie du Micro-service</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Le concept central du DDD est le </w:t>
      </w:r>
      <w:r w:rsidDel="00000000" w:rsidR="00000000" w:rsidRPr="00000000">
        <w:rPr>
          <w:b w:val="1"/>
          <w:bCs w:val="1"/>
          <w:rtl w:val="0"/>
        </w:rPr>
        <w:t xml:space="preserve">Bounded Context (BC)</w:t>
      </w:r>
      <w:r w:rsidDel="00000000" w:rsidR="00000000" w:rsidRPr="00000000">
        <w:rPr>
          <w:rtl w:val="0"/>
        </w:rPr>
        <w:t xml:space="preserve">, ou Contexte Délimité. Un BC est une frontière logique et explicite au sein de laquelle un modèle métier spécifique est défini. Au-delà de cette frontière, les termes ou concepts peuvent avoir une signification différente. Par exemple, une « Commande » dans le contexte </w:t>
      </w:r>
      <w:r w:rsidDel="00000000" w:rsidR="00000000" w:rsidRPr="00000000">
        <w:rPr>
          <w:b w:val="1"/>
          <w:bCs w:val="1"/>
          <w:rtl w:val="0"/>
        </w:rPr>
        <w:t xml:space="preserve">Facturation CEE</w:t>
      </w:r>
      <w:r w:rsidDel="00000000" w:rsidR="00000000" w:rsidRPr="00000000">
        <w:rPr>
          <w:rtl w:val="0"/>
        </w:rPr>
        <w:t xml:space="preserve"> est un document légal et financier, alors que dans le contexte </w:t>
      </w:r>
      <w:r w:rsidDel="00000000" w:rsidR="00000000" w:rsidRPr="00000000">
        <w:rPr>
          <w:b w:val="1"/>
          <w:bCs w:val="1"/>
          <w:rtl w:val="0"/>
        </w:rPr>
        <w:t xml:space="preserve">Service Client</w:t>
      </w:r>
      <w:r w:rsidDel="00000000" w:rsidR="00000000" w:rsidRPr="00000000">
        <w:rPr>
          <w:rtl w:val="0"/>
        </w:rPr>
        <w:t xml:space="preserve">, elle est l'historique d'une interaction. L’adoption des micro-services impose que </w:t>
      </w:r>
      <w:r w:rsidDel="00000000" w:rsidR="00000000" w:rsidRPr="00000000">
        <w:rPr>
          <w:b w:val="1"/>
          <w:bCs w:val="1"/>
          <w:rtl w:val="0"/>
        </w:rPr>
        <w:t xml:space="preserve">chaque Bounded Context devienne un micro-service autonome</w:t>
      </w:r>
      <w:r w:rsidDel="00000000" w:rsidR="00000000" w:rsidRPr="00000000">
        <w:rPr>
          <w:rtl w:val="0"/>
        </w:rPr>
        <w:t xml:space="preserve">, possédant son propre code, son propre déploiement et, crucialement, sa propre base de données.</w:t>
      </w:r>
    </w:p>
    <w:p w:rsidR="00000000" w:rsidDel="00000000" w:rsidP="00000000" w:rsidRDefault="00000000" w:rsidRPr="00000000" w14:paraId="0000010D">
      <w:pPr>
        <w:pStyle w:val="Heading4"/>
        <w:rPr/>
      </w:pPr>
      <w:bookmarkStart w:colFirst="0" w:colLast="0" w:name="_heading=h.luaij6u0gx0f" w:id="24"/>
      <w:bookmarkEnd w:id="24"/>
      <w:r w:rsidDel="00000000" w:rsidR="00000000" w:rsidRPr="00000000">
        <w:rPr>
          <w:b w:val="1"/>
          <w:bCs w:val="1"/>
          <w:i w:val="1"/>
          <w:iCs w:val="1"/>
          <w:rtl w:val="0"/>
        </w:rPr>
        <w:t xml:space="preserve">Définition et Justification des Contextes Délimités chez Adeena</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L'analyse approfondie des processus métiers critiques du Groupe Adeena permet d'identifier non pas trois, mais </w:t>
      </w:r>
      <w:r w:rsidDel="00000000" w:rsidR="00000000" w:rsidRPr="00000000">
        <w:rPr>
          <w:b w:val="1"/>
          <w:bCs w:val="1"/>
          <w:rtl w:val="0"/>
        </w:rPr>
        <w:t xml:space="preserve">quatre Bounded Contexts fondamentaux et prioritaires</w:t>
      </w:r>
      <w:r w:rsidDel="00000000" w:rsidR="00000000" w:rsidRPr="00000000">
        <w:rPr>
          <w:rtl w:val="0"/>
        </w:rPr>
        <w:t xml:space="preserve"> à isoler. Cette granularité accrue est justifiée par l'impératif de créer des micro-services de taille modérée (principe de la « juste granularité ») afin de maximiser l'autonomie des équipes (Loi de Conway).</w:t>
      </w:r>
    </w:p>
    <w:p w:rsidR="00000000" w:rsidDel="00000000" w:rsidP="00000000" w:rsidRDefault="00000000" w:rsidRPr="00000000" w14:paraId="0000010F">
      <w:pPr>
        <w:numPr>
          <w:ilvl w:val="0"/>
          <w:numId w:val="8"/>
        </w:numPr>
        <w:ind w:left="720" w:hanging="360"/>
      </w:pPr>
      <w:r w:rsidDel="00000000" w:rsidR="00000000" w:rsidRPr="00000000">
        <w:rPr>
          <w:b w:val="1"/>
          <w:bCs w:val="1"/>
          <w:rtl w:val="0"/>
        </w:rPr>
        <w:t xml:space="preserve">Contexte : Service Client (ou CRM)</w:t>
      </w:r>
      <w:r w:rsidDel="00000000" w:rsidR="00000000" w:rsidRPr="00000000">
        <w:rPr>
          <w:rtl w:val="0"/>
        </w:rPr>
      </w:r>
    </w:p>
    <w:p w:rsidR="00000000" w:rsidDel="00000000" w:rsidP="00000000" w:rsidRDefault="00000000" w:rsidRPr="00000000" w14:paraId="00000110">
      <w:pPr>
        <w:numPr>
          <w:ilvl w:val="1"/>
          <w:numId w:val="8"/>
        </w:numPr>
        <w:ind w:left="1440" w:hanging="360"/>
      </w:pPr>
      <w:r w:rsidDel="00000000" w:rsidR="00000000" w:rsidRPr="00000000">
        <w:rPr>
          <w:i w:val="1"/>
          <w:iCs w:val="1"/>
          <w:rtl w:val="0"/>
        </w:rPr>
        <w:t xml:space="preserve">Périmètre :</w:t>
      </w:r>
      <w:r w:rsidDel="00000000" w:rsidR="00000000" w:rsidRPr="00000000">
        <w:rPr>
          <w:rtl w:val="0"/>
        </w:rPr>
        <w:t xml:space="preserve"> Gestion des comptes utilisateurs, des informations de contact, des préférences de communication et de l'historique des interactions avec le support.</w:t>
      </w:r>
    </w:p>
    <w:p w:rsidR="00000000" w:rsidDel="00000000" w:rsidP="00000000" w:rsidRDefault="00000000" w:rsidRPr="00000000" w14:paraId="00000111">
      <w:pPr>
        <w:numPr>
          <w:ilvl w:val="1"/>
          <w:numId w:val="8"/>
        </w:numPr>
        <w:ind w:left="1440" w:hanging="360"/>
      </w:pPr>
      <w:r w:rsidDel="00000000" w:rsidR="00000000" w:rsidRPr="00000000">
        <w:rPr>
          <w:i w:val="1"/>
          <w:iCs w:val="1"/>
          <w:rtl w:val="0"/>
        </w:rPr>
        <w:t xml:space="preserve">Justification de l'Isolation :</w:t>
      </w:r>
      <w:r w:rsidDel="00000000" w:rsidR="00000000" w:rsidRPr="00000000">
        <w:rPr>
          <w:rtl w:val="0"/>
        </w:rPr>
        <w:t xml:space="preserve"> Ce service est très sollicité (lecture et écriture fréquentes) et doit garantir une </w:t>
      </w:r>
      <w:r w:rsidDel="00000000" w:rsidR="00000000" w:rsidRPr="00000000">
        <w:rPr>
          <w:b w:val="1"/>
          <w:bCs w:val="1"/>
          <w:rtl w:val="0"/>
        </w:rPr>
        <w:t xml:space="preserve">haute disponibilité</w:t>
      </w:r>
      <w:r w:rsidDel="00000000" w:rsidR="00000000" w:rsidRPr="00000000">
        <w:rPr>
          <w:rtl w:val="0"/>
        </w:rPr>
        <w:t xml:space="preserve"> (critique pour l'expérience utilisateur et l'assistance en temps réel). Son modèle de données est relativement simple et centré sur l'identité de l'utilisateur. En l'isolant, on permet son </w:t>
      </w:r>
      <w:r w:rsidDel="00000000" w:rsidR="00000000" w:rsidRPr="00000000">
        <w:rPr>
          <w:i w:val="1"/>
          <w:iCs w:val="1"/>
          <w:rtl w:val="0"/>
        </w:rPr>
        <w:t xml:space="preserve">scaling</w:t>
      </w:r>
      <w:r w:rsidDel="00000000" w:rsidR="00000000" w:rsidRPr="00000000">
        <w:rPr>
          <w:rtl w:val="0"/>
        </w:rPr>
        <w:t xml:space="preserve"> indépendant et on protège les systèmes financiers plus sensibles de son trafic élevé.</w:t>
      </w:r>
    </w:p>
    <w:p w:rsidR="00000000" w:rsidDel="00000000" w:rsidP="00000000" w:rsidRDefault="00000000" w:rsidRPr="00000000" w14:paraId="00000112">
      <w:pPr>
        <w:numPr>
          <w:ilvl w:val="0"/>
          <w:numId w:val="8"/>
        </w:numPr>
        <w:ind w:left="720" w:hanging="360"/>
      </w:pPr>
      <w:r w:rsidDel="00000000" w:rsidR="00000000" w:rsidRPr="00000000">
        <w:rPr>
          <w:b w:val="1"/>
          <w:bCs w:val="1"/>
          <w:rtl w:val="0"/>
        </w:rPr>
        <w:t xml:space="preserve">Contexte : Facturation CEE</w:t>
      </w:r>
      <w:r w:rsidDel="00000000" w:rsidR="00000000" w:rsidRPr="00000000">
        <w:rPr>
          <w:rtl w:val="0"/>
        </w:rPr>
      </w:r>
    </w:p>
    <w:p w:rsidR="00000000" w:rsidDel="00000000" w:rsidP="00000000" w:rsidRDefault="00000000" w:rsidRPr="00000000" w14:paraId="00000113">
      <w:pPr>
        <w:numPr>
          <w:ilvl w:val="1"/>
          <w:numId w:val="8"/>
        </w:numPr>
        <w:ind w:left="1440" w:hanging="360"/>
      </w:pPr>
      <w:r w:rsidDel="00000000" w:rsidR="00000000" w:rsidRPr="00000000">
        <w:rPr>
          <w:i w:val="1"/>
          <w:iCs w:val="1"/>
          <w:rtl w:val="0"/>
        </w:rPr>
        <w:t xml:space="preserve">Périmètre :</w:t>
      </w:r>
      <w:r w:rsidDel="00000000" w:rsidR="00000000" w:rsidRPr="00000000">
        <w:rPr>
          <w:rtl w:val="0"/>
        </w:rPr>
        <w:t xml:space="preserve"> Logique de calcul des montants d'aide CEE, génération des documents fiscaux, gestion des impayés et des transactions financières.</w:t>
      </w:r>
    </w:p>
    <w:p w:rsidR="00000000" w:rsidDel="00000000" w:rsidP="00000000" w:rsidRDefault="00000000" w:rsidRPr="00000000" w14:paraId="00000114">
      <w:pPr>
        <w:numPr>
          <w:ilvl w:val="1"/>
          <w:numId w:val="8"/>
        </w:numPr>
        <w:ind w:left="1440" w:hanging="360"/>
      </w:pPr>
      <w:r w:rsidDel="00000000" w:rsidR="00000000" w:rsidRPr="00000000">
        <w:rPr>
          <w:i w:val="1"/>
          <w:iCs w:val="1"/>
          <w:rtl w:val="0"/>
        </w:rPr>
        <w:t xml:space="preserve">Justification de l'Isolation :</w:t>
      </w:r>
      <w:r w:rsidDel="00000000" w:rsidR="00000000" w:rsidRPr="00000000">
        <w:rPr>
          <w:rtl w:val="0"/>
        </w:rPr>
        <w:t xml:space="preserve"> Il s'agit du cœur de la </w:t>
      </w:r>
      <w:r w:rsidDel="00000000" w:rsidR="00000000" w:rsidRPr="00000000">
        <w:rPr>
          <w:b w:val="1"/>
          <w:bCs w:val="1"/>
          <w:rtl w:val="0"/>
        </w:rPr>
        <w:t xml:space="preserve">logique réglementaire et financière</w:t>
      </w:r>
      <w:r w:rsidDel="00000000" w:rsidR="00000000" w:rsidRPr="00000000">
        <w:rPr>
          <w:rtl w:val="0"/>
        </w:rPr>
        <w:t xml:space="preserve">. Ce modèle est intrinsèquement </w:t>
      </w:r>
      <w:r w:rsidDel="00000000" w:rsidR="00000000" w:rsidRPr="00000000">
        <w:rPr>
          <w:b w:val="1"/>
          <w:bCs w:val="1"/>
          <w:rtl w:val="0"/>
        </w:rPr>
        <w:t xml:space="preserve">complexe</w:t>
      </w:r>
      <w:r w:rsidDel="00000000" w:rsidR="00000000" w:rsidRPr="00000000">
        <w:rPr>
          <w:rtl w:val="0"/>
        </w:rPr>
        <w:t xml:space="preserve"> et évolue souvent en fonction des lois. Son isolation garantit que sa complexité n'infecte pas les autres domaines. De plus, il est le domaine d'application privilégié des mécanismes de </w:t>
      </w:r>
      <w:r w:rsidDel="00000000" w:rsidR="00000000" w:rsidRPr="00000000">
        <w:rPr>
          <w:b w:val="1"/>
          <w:bCs w:val="1"/>
          <w:rtl w:val="0"/>
        </w:rPr>
        <w:t xml:space="preserve">Motif Saga</w:t>
      </w:r>
      <w:r w:rsidDel="00000000" w:rsidR="00000000" w:rsidRPr="00000000">
        <w:rPr>
          <w:rtl w:val="0"/>
        </w:rPr>
        <w:t xml:space="preserve"> (II-3.1) et doit donc posséder une forte autonomie sur ses données pour assurer la cohérence à terme.</w:t>
      </w:r>
    </w:p>
    <w:p w:rsidR="00000000" w:rsidDel="00000000" w:rsidP="00000000" w:rsidRDefault="00000000" w:rsidRPr="00000000" w14:paraId="00000115">
      <w:pPr>
        <w:numPr>
          <w:ilvl w:val="0"/>
          <w:numId w:val="8"/>
        </w:numPr>
        <w:ind w:left="720" w:hanging="360"/>
      </w:pPr>
      <w:r w:rsidDel="00000000" w:rsidR="00000000" w:rsidRPr="00000000">
        <w:rPr>
          <w:b w:val="1"/>
          <w:bCs w:val="1"/>
          <w:rtl w:val="0"/>
        </w:rPr>
        <w:t xml:space="preserve">Contexte : Catalogue des Opérations/Aides</w:t>
      </w:r>
      <w:r w:rsidDel="00000000" w:rsidR="00000000" w:rsidRPr="00000000">
        <w:rPr>
          <w:rtl w:val="0"/>
        </w:rPr>
      </w:r>
    </w:p>
    <w:p w:rsidR="00000000" w:rsidDel="00000000" w:rsidP="00000000" w:rsidRDefault="00000000" w:rsidRPr="00000000" w14:paraId="00000116">
      <w:pPr>
        <w:numPr>
          <w:ilvl w:val="1"/>
          <w:numId w:val="8"/>
        </w:numPr>
        <w:ind w:left="1440" w:hanging="360"/>
      </w:pPr>
      <w:r w:rsidDel="00000000" w:rsidR="00000000" w:rsidRPr="00000000">
        <w:rPr>
          <w:i w:val="1"/>
          <w:iCs w:val="1"/>
          <w:rtl w:val="0"/>
        </w:rPr>
        <w:t xml:space="preserve">Périmètre :</w:t>
      </w:r>
      <w:r w:rsidDel="00000000" w:rsidR="00000000" w:rsidRPr="00000000">
        <w:rPr>
          <w:rtl w:val="0"/>
        </w:rPr>
        <w:t xml:space="preserve"> Définition et gestion de l'offre (liste des aides, descriptions, images, informations publiques) et des informations utilisées par l'interface utilisateur.</w:t>
      </w:r>
    </w:p>
    <w:p w:rsidR="00000000" w:rsidDel="00000000" w:rsidP="00000000" w:rsidRDefault="00000000" w:rsidRPr="00000000" w14:paraId="00000117">
      <w:pPr>
        <w:numPr>
          <w:ilvl w:val="1"/>
          <w:numId w:val="8"/>
        </w:numPr>
        <w:ind w:left="1440" w:hanging="360"/>
      </w:pPr>
      <w:r w:rsidDel="00000000" w:rsidR="00000000" w:rsidRPr="00000000">
        <w:rPr>
          <w:i w:val="1"/>
          <w:iCs w:val="1"/>
          <w:rtl w:val="0"/>
        </w:rPr>
        <w:t xml:space="preserve">Justification de l'Isolation :</w:t>
      </w:r>
      <w:r w:rsidDel="00000000" w:rsidR="00000000" w:rsidRPr="00000000">
        <w:rPr>
          <w:rtl w:val="0"/>
        </w:rPr>
        <w:t xml:space="preserve"> Ce contexte est un service de </w:t>
      </w:r>
      <w:r w:rsidDel="00000000" w:rsidR="00000000" w:rsidRPr="00000000">
        <w:rPr>
          <w:b w:val="1"/>
          <w:bCs w:val="1"/>
          <w:rtl w:val="0"/>
        </w:rPr>
        <w:t xml:space="preserve">lecture seule (read-heavy)</w:t>
      </w:r>
      <w:r w:rsidDel="00000000" w:rsidR="00000000" w:rsidRPr="00000000">
        <w:rPr>
          <w:rtl w:val="0"/>
        </w:rPr>
        <w:t xml:space="preserve">, géré par l'équipe produit/marketing. Son isolation lui confère une grande vélocité de déploiement et permet un </w:t>
      </w:r>
      <w:r w:rsidDel="00000000" w:rsidR="00000000" w:rsidRPr="00000000">
        <w:rPr>
          <w:i w:val="1"/>
          <w:iCs w:val="1"/>
          <w:rtl w:val="0"/>
        </w:rPr>
        <w:t xml:space="preserve">scaling</w:t>
      </w:r>
      <w:r w:rsidDel="00000000" w:rsidR="00000000" w:rsidRPr="00000000">
        <w:rPr>
          <w:rtl w:val="0"/>
        </w:rPr>
        <w:t xml:space="preserve"> optimisé pour la lecture, sans aucune dépendance envers les bases de données transactionnelles et l'évolution des règles métier complexes.</w:t>
      </w:r>
    </w:p>
    <w:p w:rsidR="00000000" w:rsidDel="00000000" w:rsidP="00000000" w:rsidRDefault="00000000" w:rsidRPr="00000000" w14:paraId="00000118">
      <w:pPr>
        <w:numPr>
          <w:ilvl w:val="0"/>
          <w:numId w:val="8"/>
        </w:numPr>
        <w:ind w:left="720" w:hanging="360"/>
      </w:pPr>
      <w:r w:rsidDel="00000000" w:rsidR="00000000" w:rsidRPr="00000000">
        <w:rPr>
          <w:b w:val="1"/>
          <w:bCs w:val="1"/>
          <w:rtl w:val="0"/>
        </w:rPr>
        <w:t xml:space="preserve">Contexte : Dossier CEE et Éligibilité</w:t>
      </w:r>
      <w:r w:rsidDel="00000000" w:rsidR="00000000" w:rsidRPr="00000000">
        <w:rPr>
          <w:rtl w:val="0"/>
        </w:rPr>
      </w:r>
    </w:p>
    <w:p w:rsidR="00000000" w:rsidDel="00000000" w:rsidP="00000000" w:rsidRDefault="00000000" w:rsidRPr="00000000" w14:paraId="00000119">
      <w:pPr>
        <w:numPr>
          <w:ilvl w:val="1"/>
          <w:numId w:val="8"/>
        </w:numPr>
        <w:ind w:left="1440" w:hanging="360"/>
      </w:pPr>
      <w:r w:rsidDel="00000000" w:rsidR="00000000" w:rsidRPr="00000000">
        <w:rPr>
          <w:i w:val="1"/>
          <w:iCs w:val="1"/>
          <w:rtl w:val="0"/>
        </w:rPr>
        <w:t xml:space="preserve">Périmètre :</w:t>
      </w:r>
      <w:r w:rsidDel="00000000" w:rsidR="00000000" w:rsidRPr="00000000">
        <w:rPr>
          <w:rtl w:val="0"/>
        </w:rPr>
        <w:t xml:space="preserve"> Gestion des règles d'éligibilité associées aux différentes aides, exécution des calculs complexes et gestion de l'état d'avancement d'un dossier CEE. Ce service est le moteur de validation métier.</w:t>
      </w:r>
    </w:p>
    <w:p w:rsidR="00000000" w:rsidDel="00000000" w:rsidP="00000000" w:rsidRDefault="00000000" w:rsidRPr="00000000" w14:paraId="0000011A">
      <w:pPr>
        <w:numPr>
          <w:ilvl w:val="1"/>
          <w:numId w:val="8"/>
        </w:numPr>
        <w:ind w:left="1440" w:hanging="360"/>
      </w:pPr>
      <w:r w:rsidDel="00000000" w:rsidR="00000000" w:rsidRPr="00000000">
        <w:rPr>
          <w:i w:val="1"/>
          <w:iCs w:val="1"/>
          <w:rtl w:val="0"/>
        </w:rPr>
        <w:t xml:space="preserve">Justification de l'Isolation :</w:t>
      </w:r>
      <w:r w:rsidDel="00000000" w:rsidR="00000000" w:rsidRPr="00000000">
        <w:rPr>
          <w:rtl w:val="0"/>
        </w:rPr>
        <w:t xml:space="preserve"> En isolant cette logique de la simple présentation catalogue, on protège le cœur métier. Ce service est le premier consommateur d'événements (via le Message Broker) et le point de départ de la majorité des </w:t>
      </w:r>
      <w:r w:rsidDel="00000000" w:rsidR="00000000" w:rsidRPr="00000000">
        <w:rPr>
          <w:b w:val="1"/>
          <w:bCs w:val="1"/>
          <w:rtl w:val="0"/>
        </w:rPr>
        <w:t xml:space="preserve">Sagas distribuées</w:t>
      </w:r>
      <w:r w:rsidDel="00000000" w:rsidR="00000000" w:rsidRPr="00000000">
        <w:rPr>
          <w:rtl w:val="0"/>
        </w:rPr>
        <w:t xml:space="preserve"> d'Adeena (Transaction 2 de la chaîne CEE). Il doit être hautement performant en calcul, mais son évolution peut être distincte des mises à jour rapides de l'offre catalogue.</w:t>
      </w:r>
    </w:p>
    <w:p w:rsidR="00000000" w:rsidDel="00000000" w:rsidP="00000000" w:rsidRDefault="00000000" w:rsidRPr="00000000" w14:paraId="0000011B">
      <w:pPr>
        <w:rPr/>
      </w:pPr>
      <w:r w:rsidDel="00000000" w:rsidR="00000000" w:rsidRPr="00000000">
        <w:rPr>
          <w:i w:val="1"/>
          <w:iCs w:val="1"/>
          <w:rtl w:val="0"/>
        </w:rPr>
        <w:t xml:space="preserve">(Le schéma d'architecture mettant en relation ces trois Bounded Contexts (Context Map) est disponible en Annexe X.X).</w:t>
      </w:r>
      <w:r w:rsidDel="00000000" w:rsidR="00000000" w:rsidRPr="00000000">
        <w:rPr>
          <w:rtl w:val="0"/>
        </w:rPr>
      </w:r>
    </w:p>
    <w:p w:rsidR="00000000" w:rsidDel="00000000" w:rsidP="00000000" w:rsidRDefault="00000000" w:rsidRPr="00000000" w14:paraId="0000011C">
      <w:pPr>
        <w:pStyle w:val="Heading4"/>
        <w:rPr/>
      </w:pPr>
      <w:bookmarkStart w:colFirst="0" w:colLast="0" w:name="_heading=h.jxji2gcb1twd" w:id="25"/>
      <w:bookmarkEnd w:id="25"/>
      <w:r w:rsidDel="00000000" w:rsidR="00000000" w:rsidRPr="00000000">
        <w:rPr>
          <w:b w:val="1"/>
          <w:bCs w:val="1"/>
          <w:i w:val="1"/>
          <w:iCs w:val="1"/>
          <w:rtl w:val="0"/>
        </w:rPr>
        <w:t xml:space="preserve">Risques et Conséquences d'un Mauvais Découpage</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Un découpage fonctionnel raté compromet l'intégralité des bénéfices attendus de l'architecture micro-services. Les risques majeurs sont les suivants :</w:t>
      </w:r>
    </w:p>
    <w:p w:rsidR="00000000" w:rsidDel="00000000" w:rsidP="00000000" w:rsidRDefault="00000000" w:rsidRPr="00000000" w14:paraId="0000011E">
      <w:pPr>
        <w:numPr>
          <w:ilvl w:val="0"/>
          <w:numId w:val="8"/>
        </w:numPr>
        <w:ind w:left="720" w:hanging="360"/>
      </w:pPr>
      <w:r w:rsidDel="00000000" w:rsidR="00000000" w:rsidRPr="00000000">
        <w:rPr>
          <w:b w:val="1"/>
          <w:bCs w:val="1"/>
          <w:rtl w:val="0"/>
        </w:rPr>
        <w:t xml:space="preserve">Création d'un Monolithe Distribué :</w:t>
      </w:r>
      <w:r w:rsidDel="00000000" w:rsidR="00000000" w:rsidRPr="00000000">
        <w:rPr>
          <w:rtl w:val="0"/>
        </w:rPr>
        <w:t xml:space="preserve"> Si les frontières des BC sont mal définies, les micro-services se mettent à communiquer excessivement entre eux (</w:t>
      </w:r>
      <w:r w:rsidDel="00000000" w:rsidR="00000000" w:rsidRPr="00000000">
        <w:rPr>
          <w:i w:val="1"/>
          <w:iCs w:val="1"/>
          <w:rtl w:val="0"/>
        </w:rPr>
        <w:t xml:space="preserve">Chattiness</w:t>
      </w:r>
      <w:r w:rsidDel="00000000" w:rsidR="00000000" w:rsidRPr="00000000">
        <w:rPr>
          <w:rtl w:val="0"/>
        </w:rPr>
        <w:t xml:space="preserve">), souvent de manière synchrone, ou partagent des données de manière informelle. Le système gagne la complexité du distribué sans en obtenir l'autonomie, car un changement dans un service nécessite la modification et le redéploiement d'une chaîne entière de dépendances.</w:t>
      </w:r>
    </w:p>
    <w:p w:rsidR="00000000" w:rsidDel="00000000" w:rsidP="00000000" w:rsidRDefault="00000000" w:rsidRPr="00000000" w14:paraId="0000011F">
      <w:pPr>
        <w:numPr>
          <w:ilvl w:val="0"/>
          <w:numId w:val="8"/>
        </w:numPr>
        <w:ind w:left="720" w:hanging="360"/>
      </w:pPr>
      <w:r w:rsidDel="00000000" w:rsidR="00000000" w:rsidRPr="00000000">
        <w:rPr>
          <w:b w:val="1"/>
          <w:bCs w:val="1"/>
          <w:rtl w:val="0"/>
        </w:rPr>
        <w:t xml:space="preserve">Couplage de Persistance Camouflé :</w:t>
      </w:r>
      <w:r w:rsidDel="00000000" w:rsidR="00000000" w:rsidRPr="00000000">
        <w:rPr>
          <w:rtl w:val="0"/>
        </w:rPr>
        <w:t xml:space="preserve"> Le risque le plus courant est que les développeurs continuent à accéder à la base de données d'un autre service pour des raisons de performance ou de simplicité. Cela réintroduit le </w:t>
      </w:r>
      <w:r w:rsidDel="00000000" w:rsidR="00000000" w:rsidRPr="00000000">
        <w:rPr>
          <w:b w:val="1"/>
          <w:bCs w:val="1"/>
          <w:rtl w:val="0"/>
        </w:rPr>
        <w:t xml:space="preserve">Couplage Commun</w:t>
      </w:r>
      <w:r w:rsidDel="00000000" w:rsidR="00000000" w:rsidRPr="00000000">
        <w:rPr>
          <w:rtl w:val="0"/>
        </w:rPr>
        <w:t xml:space="preserve"> (II-1.2), annulant l'isolation des données et rendant les déploiements locaux risqués, car l'intégrité métier n'est plus garantie par le service propriétaire de la donnée.</w:t>
      </w:r>
    </w:p>
    <w:p w:rsidR="00000000" w:rsidDel="00000000" w:rsidP="00000000" w:rsidRDefault="00000000" w:rsidRPr="00000000" w14:paraId="00000120">
      <w:pPr>
        <w:numPr>
          <w:ilvl w:val="0"/>
          <w:numId w:val="8"/>
        </w:numPr>
        <w:ind w:left="720" w:hanging="360"/>
      </w:pPr>
      <w:r w:rsidDel="00000000" w:rsidR="00000000" w:rsidRPr="00000000">
        <w:rPr>
          <w:b w:val="1"/>
          <w:bCs w:val="1"/>
          <w:rtl w:val="0"/>
        </w:rPr>
        <w:t xml:space="preserve">Perte d'Autonomie et Blocage :</w:t>
      </w:r>
      <w:r w:rsidDel="00000000" w:rsidR="00000000" w:rsidRPr="00000000">
        <w:rPr>
          <w:rtl w:val="0"/>
        </w:rPr>
        <w:t xml:space="preserve"> Un BC trop grand devient un mini-monolithe et un goulot d'étranglement pour la </w:t>
      </w:r>
      <w:r w:rsidDel="00000000" w:rsidR="00000000" w:rsidRPr="00000000">
        <w:rPr>
          <w:i w:val="1"/>
          <w:iCs w:val="1"/>
          <w:rtl w:val="0"/>
        </w:rPr>
        <w:t xml:space="preserve">Feature Team</w:t>
      </w:r>
      <w:r w:rsidDel="00000000" w:rsidR="00000000" w:rsidRPr="00000000">
        <w:rPr>
          <w:rtl w:val="0"/>
        </w:rPr>
        <w:t xml:space="preserve"> qui en a la charge. Un BC trop petit conduit à une multiplication excessive des services, augmentant la charge opérationnelle de l'équipe modérée d'Adeena, sans gain fonctionnel suffisant. Le découpage doit être dimensionné pour maximiser l'autonomie des équipes dans le cadre du principe </w:t>
      </w:r>
      <w:r w:rsidDel="00000000" w:rsidR="00000000" w:rsidRPr="00000000">
        <w:rPr>
          <w:i w:val="1"/>
          <w:iCs w:val="1"/>
          <w:rtl w:val="0"/>
        </w:rPr>
        <w:t xml:space="preserve">"You build it, you run it"</w:t>
      </w:r>
      <w:r w:rsidDel="00000000" w:rsidR="00000000" w:rsidRPr="00000000">
        <w:rPr>
          <w:rtl w:val="0"/>
        </w:rPr>
        <w:t xml:space="preserve"> (III-3).</w:t>
      </w:r>
    </w:p>
    <w:p w:rsidR="00000000" w:rsidDel="00000000" w:rsidP="00000000" w:rsidRDefault="00000000" w:rsidRPr="00000000" w14:paraId="00000121">
      <w:pPr>
        <w:rPr/>
      </w:pPr>
      <w:r w:rsidDel="00000000" w:rsidR="00000000" w:rsidRPr="00000000">
        <w:rPr>
          <w:rtl w:val="0"/>
        </w:rPr>
        <w:t xml:space="preserve">En conclusion, la rigueur du DDD garantit que chaque micro-service soit cohérent en interne (Forte Cohésion) et faiblement dépendant des autres (Faible Couplage), ce qui est la seule voie pour garantir la résilience, la scalabilité granulaire et la continuité de service pour le Groupe Adeena.</w:t>
      </w:r>
    </w:p>
    <w:p w:rsidR="00000000" w:rsidDel="00000000" w:rsidP="00000000" w:rsidRDefault="00000000" w:rsidRPr="00000000" w14:paraId="00000122">
      <w:pPr>
        <w:pStyle w:val="Heading3"/>
        <w:rPr/>
      </w:pPr>
      <w:bookmarkStart w:colFirst="0" w:colLast="0" w:name="_heading=h.ysbv1xe3bech" w:id="26"/>
      <w:bookmarkEnd w:id="26"/>
      <w:r w:rsidDel="00000000" w:rsidR="00000000" w:rsidRPr="00000000">
        <w:rPr>
          <w:b w:val="1"/>
          <w:bCs w:val="1"/>
          <w:rtl w:val="0"/>
        </w:rPr>
        <w:t xml:space="preserve">3.2. Stratégie de Communication Inter-services et Architectures de Résilience</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La collaboration entre les micro-services doit être architecturée avec rigueur pour éviter de recréer le couplage du monolithe. En tant que consultant, la stratégie recommandée pour Adeena se fonde sur une approche hybride, combinant la simplicité du synchrone (REST) et la résilience de l'asynchrone (Message Broker), tout en intégrant des motifs de tolérance aux pannes.</w:t>
      </w:r>
    </w:p>
    <w:p w:rsidR="00000000" w:rsidDel="00000000" w:rsidP="00000000" w:rsidRDefault="00000000" w:rsidRPr="00000000" w14:paraId="00000124">
      <w:pPr>
        <w:pStyle w:val="Heading4"/>
        <w:rPr/>
      </w:pPr>
      <w:r w:rsidDel="00000000" w:rsidR="00000000" w:rsidRPr="00000000">
        <w:rPr>
          <w:b w:val="1"/>
          <w:bCs w:val="1"/>
          <w:rtl w:val="0"/>
        </w:rPr>
        <w:t xml:space="preserve">Communication Synchrone : Le choix pragmatique de REST</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Pour les interactions inter-services nécessitant une réponse immédiate et bloquante (par exemple, la vérification instantanée d'un statut), la communication synchrone est inévitable. Les standards offrent deux options principales : REST (HTTP/JSON) et gRPC (HTTP/2, Protobuf).</w:t>
      </w:r>
    </w:p>
    <w:p w:rsidR="00000000" w:rsidDel="00000000" w:rsidP="00000000" w:rsidRDefault="00000000" w:rsidRPr="00000000" w14:paraId="00000126">
      <w:pPr>
        <w:rPr/>
      </w:pPr>
      <w:r w:rsidDel="00000000" w:rsidR="00000000" w:rsidRPr="00000000">
        <w:rPr>
          <w:rtl w:val="0"/>
        </w:rPr>
        <w:t xml:space="preserve">Bien que gRPC offre une performance supérieure grâce à la sérialisation binaire, l'adoption de ce protocole exige des efforts de formation, la génération de code client/serveur pour les contrats, et une complexité opérationnelle accrue au niveau du déploiement (gestion des certificats, </w:t>
      </w:r>
      <w:r w:rsidDel="00000000" w:rsidR="00000000" w:rsidRPr="00000000">
        <w:rPr>
          <w:i w:val="1"/>
          <w:iCs w:val="1"/>
          <w:rtl w:val="0"/>
        </w:rPr>
        <w:t xml:space="preserve">load balancing</w:t>
      </w:r>
      <w:r w:rsidDel="00000000" w:rsidR="00000000" w:rsidRPr="00000000">
        <w:rPr>
          <w:rtl w:val="0"/>
        </w:rPr>
        <w:t xml:space="preserve"> HTTP/2). Au vu de la </w:t>
      </w:r>
      <w:r w:rsidDel="00000000" w:rsidR="00000000" w:rsidRPr="00000000">
        <w:rPr>
          <w:b w:val="1"/>
          <w:bCs w:val="1"/>
          <w:rtl w:val="0"/>
        </w:rPr>
        <w:t xml:space="preserve">taille modérée de l'équipe technique d'Adeena</w:t>
      </w:r>
      <w:r w:rsidDel="00000000" w:rsidR="00000000" w:rsidRPr="00000000">
        <w:rPr>
          <w:rtl w:val="0"/>
        </w:rPr>
        <w:t xml:space="preserve"> (I-2.3) et de l'impératif de vélocité dans la phase initiale de migration, notre recommandation est de </w:t>
      </w:r>
      <w:r w:rsidDel="00000000" w:rsidR="00000000" w:rsidRPr="00000000">
        <w:rPr>
          <w:b w:val="1"/>
          <w:bCs w:val="1"/>
          <w:rtl w:val="0"/>
        </w:rPr>
        <w:t xml:space="preserve">privilégier le standard REST pour toutes les communications synchrones internes</w:t>
      </w:r>
      <w:r w:rsidDel="00000000" w:rsidR="00000000" w:rsidRPr="00000000">
        <w:rPr>
          <w:rtl w:val="0"/>
        </w:rPr>
        <w:t xml:space="preserve">. REST permet de réutiliser les compétences existantes, de simplifier le </w:t>
      </w:r>
      <w:r w:rsidDel="00000000" w:rsidR="00000000" w:rsidRPr="00000000">
        <w:rPr>
          <w:i w:val="1"/>
          <w:iCs w:val="1"/>
          <w:rtl w:val="0"/>
        </w:rPr>
        <w:t xml:space="preserve">debugging</w:t>
      </w:r>
      <w:r w:rsidDel="00000000" w:rsidR="00000000" w:rsidRPr="00000000">
        <w:rPr>
          <w:rtl w:val="0"/>
        </w:rPr>
        <w:t xml:space="preserve"> grâce à la visibilité du format JSON, et de réduire le </w:t>
      </w:r>
      <w:r w:rsidDel="00000000" w:rsidR="00000000" w:rsidRPr="00000000">
        <w:rPr>
          <w:i w:val="1"/>
          <w:iCs w:val="1"/>
          <w:rtl w:val="0"/>
        </w:rPr>
        <w:t xml:space="preserve">Time-to-Market</w:t>
      </w:r>
      <w:r w:rsidDel="00000000" w:rsidR="00000000" w:rsidRPr="00000000">
        <w:rPr>
          <w:rtl w:val="0"/>
        </w:rPr>
        <w:t xml:space="preserve"> des premiers micro-services. Le surcoût en latence du JSON est acceptable dans cette phase, sachant que la performance critique sera gérée par l'asynchronisme et par l'implémentation de motifs de résilience.</w:t>
      </w:r>
    </w:p>
    <w:p w:rsidR="00000000" w:rsidDel="00000000" w:rsidP="00000000" w:rsidRDefault="00000000" w:rsidRPr="00000000" w14:paraId="00000127">
      <w:pPr>
        <w:pStyle w:val="Heading4"/>
        <w:rPr/>
      </w:pPr>
      <w:r w:rsidDel="00000000" w:rsidR="00000000" w:rsidRPr="00000000">
        <w:rPr>
          <w:b w:val="1"/>
          <w:bCs w:val="1"/>
          <w:rtl w:val="0"/>
        </w:rPr>
        <w:t xml:space="preserve">Communication Asynchrone : Le Pilier de la Résilience (Event-Driven Architecture)</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Le véritable socle de la continuité de service reside dans l'adoption d'une </w:t>
      </w:r>
      <w:r w:rsidDel="00000000" w:rsidR="00000000" w:rsidRPr="00000000">
        <w:rPr>
          <w:b w:val="1"/>
          <w:bCs w:val="1"/>
          <w:rtl w:val="0"/>
        </w:rPr>
        <w:t xml:space="preserve">Architecture Orientée Événements (EDA)</w:t>
      </w:r>
      <w:r w:rsidDel="00000000" w:rsidR="00000000" w:rsidRPr="00000000">
        <w:rPr>
          <w:rtl w:val="0"/>
        </w:rPr>
        <w:t xml:space="preserve">, pilotée par un </w:t>
      </w:r>
      <w:r w:rsidDel="00000000" w:rsidR="00000000" w:rsidRPr="00000000">
        <w:rPr>
          <w:b w:val="1"/>
          <w:bCs w:val="1"/>
          <w:rtl w:val="0"/>
        </w:rPr>
        <w:t xml:space="preserve">Message Broker</w:t>
      </w:r>
      <w:r w:rsidDel="00000000" w:rsidR="00000000" w:rsidRPr="00000000">
        <w:rPr>
          <w:rtl w:val="0"/>
        </w:rPr>
        <w:t xml:space="preserve"> (tel que RabbitMQ pour sa facilité d'adoption ou Kafka pour sa scalabilité).</w:t>
      </w:r>
    </w:p>
    <w:p w:rsidR="00000000" w:rsidDel="00000000" w:rsidP="00000000" w:rsidRDefault="00000000" w:rsidRPr="00000000" w14:paraId="00000129">
      <w:pPr>
        <w:rPr/>
      </w:pPr>
      <w:r w:rsidDel="00000000" w:rsidR="00000000" w:rsidRPr="00000000">
        <w:rPr>
          <w:rtl w:val="0"/>
        </w:rPr>
        <w:t xml:space="preserve">Le Message Broker introduit un </w:t>
      </w:r>
      <w:r w:rsidDel="00000000" w:rsidR="00000000" w:rsidRPr="00000000">
        <w:rPr>
          <w:b w:val="1"/>
          <w:bCs w:val="1"/>
          <w:rtl w:val="0"/>
        </w:rPr>
        <w:t xml:space="preserve">découplage temporel</w:t>
      </w:r>
      <w:r w:rsidDel="00000000" w:rsidR="00000000" w:rsidRPr="00000000">
        <w:rPr>
          <w:rtl w:val="0"/>
        </w:rPr>
        <w:t xml:space="preserve"> total. Lorsqu'un service (</w:t>
      </w:r>
      <w:r w:rsidDel="00000000" w:rsidR="00000000" w:rsidRPr="00000000">
        <w:rPr>
          <w:b w:val="1"/>
          <w:bCs w:val="1"/>
          <w:rtl w:val="0"/>
        </w:rPr>
        <w:t xml:space="preserve">Service Comptes</w:t>
      </w:r>
      <w:r w:rsidDel="00000000" w:rsidR="00000000" w:rsidRPr="00000000">
        <w:rPr>
          <w:rtl w:val="0"/>
        </w:rPr>
        <w:t xml:space="preserve"> par exemple) effectue une action (ex: "NouvelleDemandeCEE_Créée"), il émet un événement vers le </w:t>
      </w:r>
      <w:r w:rsidDel="00000000" w:rsidR="00000000" w:rsidRPr="00000000">
        <w:rPr>
          <w:i w:val="1"/>
          <w:iCs w:val="1"/>
          <w:rtl w:val="0"/>
        </w:rPr>
        <w:t xml:space="preserve">Broker</w:t>
      </w:r>
      <w:r w:rsidDel="00000000" w:rsidR="00000000" w:rsidRPr="00000000">
        <w:rPr>
          <w:rtl w:val="0"/>
        </w:rPr>
        <w:t xml:space="preserve">. Il n'a pas besoin de savoir si le </w:t>
      </w:r>
      <w:r w:rsidDel="00000000" w:rsidR="00000000" w:rsidRPr="00000000">
        <w:rPr>
          <w:b w:val="1"/>
          <w:bCs w:val="1"/>
          <w:rtl w:val="0"/>
        </w:rPr>
        <w:t xml:space="preserve">Service Facturation</w:t>
      </w:r>
      <w:r w:rsidDel="00000000" w:rsidR="00000000" w:rsidRPr="00000000">
        <w:rPr>
          <w:rtl w:val="0"/>
        </w:rPr>
        <w:t xml:space="preserve"> est opérationnel ou occupé. Cela garantit une haute résilience : si un service cible est en maintenance ou s'effondre sous la charge, l'événement reste en file d'attente et sera traité dès son rétablissement. L'appelant n'est jamais bloqué, ce qui est critique pour le "Zero Downtime".</w:t>
      </w:r>
    </w:p>
    <w:p w:rsidR="00000000" w:rsidDel="00000000" w:rsidP="00000000" w:rsidRDefault="00000000" w:rsidRPr="00000000" w14:paraId="0000012A">
      <w:pPr>
        <w:rPr/>
      </w:pPr>
      <w:r w:rsidDel="00000000" w:rsidR="00000000" w:rsidRPr="00000000">
        <w:rPr>
          <w:rtl w:val="0"/>
        </w:rPr>
        <w:t xml:space="preserve">Pour gérer les défaillances réseau inhérentes au distribué, l'implémentation rigoureuse de motifs de résilience est non négociable :</w:t>
      </w:r>
    </w:p>
    <w:p w:rsidR="00000000" w:rsidDel="00000000" w:rsidP="00000000" w:rsidRDefault="00000000" w:rsidRPr="00000000" w14:paraId="0000012B">
      <w:pPr>
        <w:numPr>
          <w:ilvl w:val="0"/>
          <w:numId w:val="8"/>
        </w:numPr>
        <w:ind w:left="720" w:hanging="360"/>
      </w:pPr>
      <w:r w:rsidDel="00000000" w:rsidR="00000000" w:rsidRPr="00000000">
        <w:rPr>
          <w:b w:val="1"/>
          <w:bCs w:val="1"/>
          <w:rtl w:val="0"/>
        </w:rPr>
        <w:t xml:space="preserve">Circuit Breaker :</w:t>
      </w:r>
      <w:r w:rsidDel="00000000" w:rsidR="00000000" w:rsidRPr="00000000">
        <w:rPr>
          <w:rtl w:val="0"/>
        </w:rPr>
        <w:t xml:space="preserve"> Lors d'une communication synchrone échouée (REST), ce motif est déployé pour éviter de surcharger un service défaillant. Si un service A constate que le service B répond mal de manière répétée, le </w:t>
      </w:r>
      <w:r w:rsidDel="00000000" w:rsidR="00000000" w:rsidRPr="00000000">
        <w:rPr>
          <w:i w:val="1"/>
          <w:iCs w:val="1"/>
          <w:rtl w:val="0"/>
        </w:rPr>
        <w:t xml:space="preserve">Circuit Breaker</w:t>
      </w:r>
      <w:r w:rsidDel="00000000" w:rsidR="00000000" w:rsidRPr="00000000">
        <w:rPr>
          <w:rtl w:val="0"/>
        </w:rPr>
        <w:t xml:space="preserve"> "ouvre le circuit" et renvoie immédiatement une erreur à l'appelant sans tenter de contacter B, protégeant ainsi B de l'épuisement.</w:t>
      </w:r>
    </w:p>
    <w:p w:rsidR="00000000" w:rsidDel="00000000" w:rsidP="00000000" w:rsidRDefault="00000000" w:rsidRPr="00000000" w14:paraId="0000012C">
      <w:pPr>
        <w:numPr>
          <w:ilvl w:val="0"/>
          <w:numId w:val="8"/>
        </w:numPr>
        <w:ind w:left="720" w:hanging="360"/>
      </w:pPr>
      <w:r w:rsidDel="00000000" w:rsidR="00000000" w:rsidRPr="00000000">
        <w:rPr>
          <w:b w:val="1"/>
          <w:bCs w:val="1"/>
          <w:rtl w:val="0"/>
        </w:rPr>
        <w:t xml:space="preserve">Retries :</w:t>
      </w:r>
      <w:r w:rsidDel="00000000" w:rsidR="00000000" w:rsidRPr="00000000">
        <w:rPr>
          <w:rtl w:val="0"/>
        </w:rPr>
        <w:t xml:space="preserve"> Mise en place d'une logique de nouvelle tentative avec un </w:t>
      </w:r>
      <w:r w:rsidDel="00000000" w:rsidR="00000000" w:rsidRPr="00000000">
        <w:rPr>
          <w:b w:val="1"/>
          <w:bCs w:val="1"/>
          <w:rtl w:val="0"/>
        </w:rPr>
        <w:t xml:space="preserve">backoff exponentiel</w:t>
      </w:r>
      <w:r w:rsidDel="00000000" w:rsidR="00000000" w:rsidRPr="00000000">
        <w:rPr>
          <w:rtl w:val="0"/>
        </w:rPr>
        <w:t xml:space="preserve"> pour les erreurs transitoires (saturation temporaire ou </w:t>
      </w:r>
      <w:r w:rsidDel="00000000" w:rsidR="00000000" w:rsidRPr="00000000">
        <w:rPr>
          <w:i w:val="1"/>
          <w:iCs w:val="1"/>
          <w:rtl w:val="0"/>
        </w:rPr>
        <w:t xml:space="preserve">timeout</w:t>
      </w:r>
      <w:r w:rsidDel="00000000" w:rsidR="00000000" w:rsidRPr="00000000">
        <w:rPr>
          <w:rtl w:val="0"/>
        </w:rPr>
        <w:t xml:space="preserve"> bref), évitant de surcharger le réseau sans pour autant abandonner la requête initiale.</w:t>
      </w:r>
    </w:p>
    <w:p w:rsidR="00000000" w:rsidDel="00000000" w:rsidP="00000000" w:rsidRDefault="00000000" w:rsidRPr="00000000" w14:paraId="0000012D">
      <w:pPr>
        <w:numPr>
          <w:ilvl w:val="0"/>
          <w:numId w:val="8"/>
        </w:numPr>
        <w:ind w:left="720" w:hanging="360"/>
      </w:pPr>
      <w:r w:rsidDel="00000000" w:rsidR="00000000" w:rsidRPr="00000000">
        <w:rPr>
          <w:b w:val="1"/>
          <w:bCs w:val="1"/>
          <w:rtl w:val="0"/>
        </w:rPr>
        <w:t xml:space="preserve">Bulkheads (Cloisons) :</w:t>
      </w:r>
      <w:r w:rsidDel="00000000" w:rsidR="00000000" w:rsidRPr="00000000">
        <w:rPr>
          <w:rtl w:val="0"/>
        </w:rPr>
        <w:t xml:space="preserve"> Isolation des ressources (fils d'exécution, pools de connexion) par domaine d'activité. Une défaillance dans le traitement des requêtes du </w:t>
      </w:r>
      <w:r w:rsidDel="00000000" w:rsidR="00000000" w:rsidRPr="00000000">
        <w:rPr>
          <w:b w:val="1"/>
          <w:bCs w:val="1"/>
          <w:rtl w:val="0"/>
        </w:rPr>
        <w:t xml:space="preserve">Service DossierCEE</w:t>
      </w:r>
      <w:r w:rsidDel="00000000" w:rsidR="00000000" w:rsidRPr="00000000">
        <w:rPr>
          <w:rtl w:val="0"/>
        </w:rPr>
        <w:t xml:space="preserve"> n'épuisera pas les ressources vitales allouées au traitement des requêtes du </w:t>
      </w:r>
      <w:r w:rsidDel="00000000" w:rsidR="00000000" w:rsidRPr="00000000">
        <w:rPr>
          <w:b w:val="1"/>
          <w:bCs w:val="1"/>
          <w:rtl w:val="0"/>
        </w:rPr>
        <w:t xml:space="preserve">Service Facturation</w:t>
      </w:r>
      <w:r w:rsidDel="00000000" w:rsidR="00000000" w:rsidRPr="00000000">
        <w:rPr>
          <w:rtl w:val="0"/>
        </w:rPr>
        <w:t xml:space="preserve">, confinant ainsi les pannes.</w:t>
      </w:r>
    </w:p>
    <w:p w:rsidR="00000000" w:rsidDel="00000000" w:rsidP="00000000" w:rsidRDefault="00000000" w:rsidRPr="00000000" w14:paraId="0000012E">
      <w:pPr>
        <w:pStyle w:val="Heading4"/>
        <w:rPr/>
      </w:pPr>
      <w:bookmarkStart w:colFirst="0" w:colLast="0" w:name="_heading=h.f4h5y1tmem77" w:id="27"/>
      <w:bookmarkEnd w:id="27"/>
      <w:r w:rsidDel="00000000" w:rsidR="00000000" w:rsidRPr="00000000">
        <w:rPr>
          <w:b w:val="1"/>
          <w:bCs w:val="1"/>
          <w:rtl w:val="0"/>
        </w:rPr>
        <w:t xml:space="preserve">Cohérence à Terme et Transactions Distribuées : L'Implémentation du Motif Saga</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Le défi majeur des micro-services est la gestion des transactions couvrant plusieurs services, puisque chaque service possède sa propre base de données. Le système ne peut plus s'appuyer sur la garantie transactionnelle ACID. La solution réside dans le </w:t>
      </w:r>
      <w:r w:rsidDel="00000000" w:rsidR="00000000" w:rsidRPr="00000000">
        <w:rPr>
          <w:b w:val="1"/>
          <w:bCs w:val="1"/>
          <w:rtl w:val="0"/>
        </w:rPr>
        <w:t xml:space="preserve">Motif Saga</w:t>
      </w:r>
      <w:r w:rsidDel="00000000" w:rsidR="00000000" w:rsidRPr="00000000">
        <w:rPr>
          <w:rtl w:val="0"/>
        </w:rPr>
        <w:t xml:space="preserve">, qui assure la </w:t>
      </w:r>
      <w:r w:rsidDel="00000000" w:rsidR="00000000" w:rsidRPr="00000000">
        <w:rPr>
          <w:b w:val="1"/>
          <w:bCs w:val="1"/>
          <w:rtl w:val="0"/>
        </w:rPr>
        <w:t xml:space="preserve">cohérence à terme (</w:t>
      </w:r>
      <w:r w:rsidDel="00000000" w:rsidR="00000000" w:rsidRPr="00000000">
        <w:rPr>
          <w:b w:val="1"/>
          <w:bCs w:val="1"/>
          <w:i w:val="1"/>
          <w:iCs w:val="1"/>
          <w:rtl w:val="0"/>
        </w:rPr>
        <w:t xml:space="preserve">eventual consistency</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Un Saga est une séquence de transactions locales. Chaque transaction locale met à jour la base de données d'un service et publie un événement déclenchant la prochaine transaction locale dans le Saga. Si une étape échoue, le Saga exécute une ou plusieurs </w:t>
      </w:r>
      <w:r w:rsidDel="00000000" w:rsidR="00000000" w:rsidRPr="00000000">
        <w:rPr>
          <w:b w:val="1"/>
          <w:bCs w:val="1"/>
          <w:rtl w:val="0"/>
        </w:rPr>
        <w:t xml:space="preserve">transactions compensatoires</w:t>
      </w:r>
      <w:r w:rsidDel="00000000" w:rsidR="00000000" w:rsidRPr="00000000">
        <w:rPr>
          <w:rtl w:val="0"/>
        </w:rPr>
        <w:t xml:space="preserve"> pour annuler les modifications effectuées par les transactions locales précédentes, ramenant le système à un état métier cohérent.</w:t>
      </w:r>
    </w:p>
    <w:p w:rsidR="00000000" w:rsidDel="00000000" w:rsidP="00000000" w:rsidRDefault="00000000" w:rsidRPr="00000000" w14:paraId="00000132">
      <w:pPr>
        <w:rPr/>
      </w:pPr>
      <w:r w:rsidDel="00000000" w:rsidR="00000000" w:rsidRPr="00000000">
        <w:rPr>
          <w:b w:val="1"/>
          <w:bCs w:val="1"/>
          <w:rtl w:val="0"/>
        </w:rPr>
        <w:t xml:space="preserve">Application au Groupe Adeena :</w:t>
      </w:r>
      <w:r w:rsidDel="00000000" w:rsidR="00000000" w:rsidRPr="00000000">
        <w:rPr>
          <w:rtl w:val="0"/>
        </w:rPr>
        <w:t xml:space="preserve"> Considérons le processus d'attribution d'un Certificat d’économie d’énergie (CEE).</w:t>
      </w:r>
    </w:p>
    <w:p w:rsidR="00000000" w:rsidDel="00000000" w:rsidP="00000000" w:rsidRDefault="00000000" w:rsidRPr="00000000" w14:paraId="00000133">
      <w:pPr>
        <w:numPr>
          <w:ilvl w:val="0"/>
          <w:numId w:val="8"/>
        </w:numPr>
        <w:ind w:left="720" w:hanging="360"/>
      </w:pPr>
      <w:r w:rsidDel="00000000" w:rsidR="00000000" w:rsidRPr="00000000">
        <w:rPr>
          <w:b w:val="1"/>
          <w:bCs w:val="1"/>
          <w:rtl w:val="0"/>
        </w:rPr>
        <w:t xml:space="preserve">Service Comptes</w:t>
      </w:r>
      <w:r w:rsidDel="00000000" w:rsidR="00000000" w:rsidRPr="00000000">
        <w:rPr>
          <w:rtl w:val="0"/>
        </w:rPr>
        <w:t xml:space="preserve"> enregistre la demande (Transaction 1) et publie un événement : </w:t>
      </w:r>
      <w:r w:rsidDel="00000000" w:rsidR="00000000" w:rsidRPr="00000000">
        <w:rPr>
          <w:rFonts w:ascii="Roboto Mono" w:cs="Roboto Mono" w:eastAsia="Roboto Mono" w:hAnsi="Roboto Mono"/>
          <w:rtl w:val="0"/>
        </w:rPr>
        <w:t xml:space="preserve">DemandeCEE_Validée</w:t>
      </w:r>
      <w:r w:rsidDel="00000000" w:rsidR="00000000" w:rsidRPr="00000000">
        <w:rPr>
          <w:rtl w:val="0"/>
        </w:rPr>
        <w:t xml:space="preserve">.</w:t>
      </w:r>
    </w:p>
    <w:p w:rsidR="00000000" w:rsidDel="00000000" w:rsidP="00000000" w:rsidRDefault="00000000" w:rsidRPr="00000000" w14:paraId="00000134">
      <w:pPr>
        <w:numPr>
          <w:ilvl w:val="0"/>
          <w:numId w:val="8"/>
        </w:numPr>
        <w:ind w:left="720" w:hanging="360"/>
      </w:pPr>
      <w:r w:rsidDel="00000000" w:rsidR="00000000" w:rsidRPr="00000000">
        <w:rPr>
          <w:b w:val="1"/>
          <w:bCs w:val="1"/>
          <w:rtl w:val="0"/>
        </w:rPr>
        <w:t xml:space="preserve">Service TraitementDossier</w:t>
      </w:r>
      <w:r w:rsidDel="00000000" w:rsidR="00000000" w:rsidRPr="00000000">
        <w:rPr>
          <w:rtl w:val="0"/>
        </w:rPr>
        <w:t xml:space="preserve"> écoute l'événement, vérifie le dossier (Transaction 2) et publie un événement : </w:t>
      </w:r>
      <w:r w:rsidDel="00000000" w:rsidR="00000000" w:rsidRPr="00000000">
        <w:rPr>
          <w:rFonts w:ascii="Roboto Mono" w:cs="Roboto Mono" w:eastAsia="Roboto Mono" w:hAnsi="Roboto Mono"/>
          <w:rtl w:val="0"/>
        </w:rPr>
        <w:t xml:space="preserve">Dossier_Accepté</w:t>
      </w:r>
      <w:r w:rsidDel="00000000" w:rsidR="00000000" w:rsidRPr="00000000">
        <w:rPr>
          <w:rtl w:val="0"/>
        </w:rPr>
        <w:t xml:space="preserve">.</w:t>
      </w:r>
    </w:p>
    <w:p w:rsidR="00000000" w:rsidDel="00000000" w:rsidP="00000000" w:rsidRDefault="00000000" w:rsidRPr="00000000" w14:paraId="00000135">
      <w:pPr>
        <w:numPr>
          <w:ilvl w:val="0"/>
          <w:numId w:val="8"/>
        </w:numPr>
        <w:ind w:left="720" w:hanging="360"/>
      </w:pPr>
      <w:r w:rsidDel="00000000" w:rsidR="00000000" w:rsidRPr="00000000">
        <w:rPr>
          <w:i w:val="1"/>
          <w:iCs w:val="1"/>
          <w:rtl w:val="0"/>
        </w:rPr>
        <w:t xml:space="preserve">Service Facturation</w:t>
      </w:r>
      <w:r w:rsidDel="00000000" w:rsidR="00000000" w:rsidRPr="00000000">
        <w:rPr>
          <w:rtl w:val="0"/>
        </w:rPr>
        <w:t xml:space="preserve"> écoute l'événement, génère la facture CEE (Transaction 3).</w:t>
      </w:r>
    </w:p>
    <w:p w:rsidR="00000000" w:rsidDel="00000000" w:rsidP="00000000" w:rsidRDefault="00000000" w:rsidRPr="00000000" w14:paraId="00000136">
      <w:pPr>
        <w:numPr>
          <w:ilvl w:val="0"/>
          <w:numId w:val="8"/>
        </w:numPr>
        <w:ind w:left="720" w:hanging="360"/>
      </w:pPr>
      <w:r w:rsidDel="00000000" w:rsidR="00000000" w:rsidRPr="00000000">
        <w:rPr>
          <w:rtl w:val="0"/>
        </w:rPr>
        <w:t xml:space="preserve">Si le </w:t>
      </w:r>
      <w:r w:rsidDel="00000000" w:rsidR="00000000" w:rsidRPr="00000000">
        <w:rPr>
          <w:b w:val="1"/>
          <w:bCs w:val="1"/>
          <w:rtl w:val="0"/>
        </w:rPr>
        <w:t xml:space="preserve">Service TraitementDossier</w:t>
      </w:r>
      <w:r w:rsidDel="00000000" w:rsidR="00000000" w:rsidRPr="00000000">
        <w:rPr>
          <w:rtl w:val="0"/>
        </w:rPr>
        <w:t xml:space="preserve"> échoue (problème technique ou validation métier), il publie un événement compensatoire : </w:t>
      </w:r>
      <w:r w:rsidDel="00000000" w:rsidR="00000000" w:rsidRPr="00000000">
        <w:rPr>
          <w:rFonts w:ascii="Roboto Mono" w:cs="Roboto Mono" w:eastAsia="Roboto Mono" w:hAnsi="Roboto Mono"/>
          <w:rtl w:val="0"/>
        </w:rPr>
        <w:t xml:space="preserve">Dossier_Rejeté</w:t>
      </w:r>
      <w:r w:rsidDel="00000000" w:rsidR="00000000" w:rsidRPr="00000000">
        <w:rPr>
          <w:rtl w:val="0"/>
        </w:rPr>
        <w:t xml:space="preserve">.</w:t>
      </w:r>
    </w:p>
    <w:p w:rsidR="00000000" w:rsidDel="00000000" w:rsidP="00000000" w:rsidRDefault="00000000" w:rsidRPr="00000000" w14:paraId="00000137">
      <w:pPr>
        <w:numPr>
          <w:ilvl w:val="0"/>
          <w:numId w:val="8"/>
        </w:numPr>
        <w:ind w:left="720" w:hanging="360"/>
      </w:pPr>
      <w:r w:rsidDel="00000000" w:rsidR="00000000" w:rsidRPr="00000000">
        <w:rPr>
          <w:rtl w:val="0"/>
        </w:rPr>
        <w:t xml:space="preserve">Le </w:t>
      </w:r>
      <w:r w:rsidDel="00000000" w:rsidR="00000000" w:rsidRPr="00000000">
        <w:rPr>
          <w:b w:val="1"/>
          <w:bCs w:val="1"/>
          <w:rtl w:val="0"/>
        </w:rPr>
        <w:t xml:space="preserve">Service Comptes</w:t>
      </w:r>
      <w:r w:rsidDel="00000000" w:rsidR="00000000" w:rsidRPr="00000000">
        <w:rPr>
          <w:rtl w:val="0"/>
        </w:rPr>
        <w:t xml:space="preserve"> écoute ce rejet et exécute une transaction compensatoire (marquage de la demande comme "Annulée" dans sa base de données).</w:t>
      </w:r>
    </w:p>
    <w:p w:rsidR="00000000" w:rsidDel="00000000" w:rsidP="00000000" w:rsidRDefault="00000000" w:rsidRPr="00000000" w14:paraId="00000138">
      <w:pPr>
        <w:rPr/>
      </w:pPr>
      <w:r w:rsidDel="00000000" w:rsidR="00000000" w:rsidRPr="00000000">
        <w:rPr>
          <w:rtl w:val="0"/>
        </w:rPr>
        <w:t xml:space="preserve">L'implémentation du Motif Saga, essentielle pour les processus critiques et longs d'Adeena (comme la gestion CEE), garantit que, même si le système ne réalise plus d'opérations ACID instantanées, l'intégrité métier est maintenue de manière fiable via la séquence d'événements et de compensations.</w:t>
      </w:r>
    </w:p>
    <w:p w:rsidR="00000000" w:rsidDel="00000000" w:rsidP="00000000" w:rsidRDefault="00000000" w:rsidRPr="00000000" w14:paraId="00000139">
      <w:pPr>
        <w:spacing w:after="240" w:before="240" w:lineRule="auto"/>
        <w:jc w:val="both"/>
        <w:rPr/>
      </w:pPr>
      <w:r w:rsidDel="00000000" w:rsidR="00000000" w:rsidRPr="00000000">
        <w:rPr>
          <w:rtl w:val="0"/>
        </w:rPr>
        <w:t xml:space="preserve">La transition vers les micro-services impose de repenser l'architecture autour des domaines métiers plutôt que des couches techniques, en s'appuyant sur l'approche Domain-Driven Design (DDD). Le monolithe est scindé en Bounded Contexts (contextes délimités), où chaque micro-service devient l'unique responsable de sa logique métier et de ses données. Ce découpage fonctionnel isole les processus : la défaillance d'un domaine n'entraîne plus la chute globale du système, ce qui constitue le premier prérequis technique pour assurer la continuité de service.</w:t>
      </w:r>
    </w:p>
    <w:p w:rsidR="00000000" w:rsidDel="00000000" w:rsidP="00000000" w:rsidRDefault="00000000" w:rsidRPr="00000000" w14:paraId="0000013A">
      <w:pPr>
        <w:pStyle w:val="Heading3"/>
        <w:rPr/>
      </w:pPr>
      <w:bookmarkStart w:colFirst="0" w:colLast="0" w:name="_heading=h.ettsu2f6vyvt" w:id="28"/>
      <w:bookmarkEnd w:id="28"/>
      <w:r w:rsidDel="00000000" w:rsidR="00000000" w:rsidRPr="00000000">
        <w:rPr>
          <w:b w:val="1"/>
          <w:bCs w:val="1"/>
          <w:rtl w:val="0"/>
        </w:rPr>
        <w:t xml:space="preserve">3.3. Gestion centralisée des secrets : Le choix de l'auto-hébergement via Infisical</w:t>
      </w: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Le choix technique pour le Groupe Adeena s'est porté sur l'auto-hébergement (self-hosted) d'une instance Infisical déployée via Docker. Cette stratégie est doublement justifiée : elle permet d'une part de s'affranchir de coûts de licence prohibitifs inhérents à certaines solutions SaaS tout en conservant une souveraineté totale sur les données de sécurité sensibles. Contrairement à HashiCorp Vault, qui offre une puissance immense mais impose une courbe d'apprentissage abrupte et une maintenance complexe souvent disproportionnée pour une équipe de taille modérée, Infisical propose une interface intuitive, une gestion native des environnements et une agilité supérieure. L'intégration dans l'infrastructure conteneurisée existante est naturelle : via un conteneur dédié, nous centralisons la source de vérité pour tous les micro-services. Cette architecture offre une résilience accrue, car la gestion des secrets ne dépend plus d'un fournisseur tiers externe (Vendor Lock-in), garantissant ainsi la pérennité de l'infrastructure distribuée. Le déploiement par Docker permet également une isolation parfaite, facilitant les mises à jour et les sauvegardes de cette instance, assurant que même en cas de rupture réseau, l'infrastructure locale reste autonome et sécurisée.</w:t>
      </w:r>
    </w:p>
    <w:p w:rsidR="00000000" w:rsidDel="00000000" w:rsidP="00000000" w:rsidRDefault="00000000" w:rsidRPr="00000000" w14:paraId="0000013C">
      <w:pPr>
        <w:ind w:left="0" w:firstLine="0"/>
        <w:jc w:val="both"/>
        <w:rPr>
          <w:b w:val="1"/>
          <w:bCs w:val="1"/>
        </w:rPr>
      </w:pPr>
      <w:r w:rsidDel="00000000" w:rsidR="00000000" w:rsidRPr="00000000">
        <w:rPr>
          <w:rtl w:val="0"/>
        </w:rPr>
      </w:r>
    </w:p>
    <w:p w:rsidR="00000000" w:rsidDel="00000000" w:rsidP="00000000" w:rsidRDefault="00000000" w:rsidRPr="00000000" w14:paraId="0000013D">
      <w:pPr>
        <w:numPr>
          <w:ilvl w:val="1"/>
          <w:numId w:val="8"/>
        </w:numPr>
        <w:ind w:left="1440" w:hanging="360"/>
        <w:jc w:val="both"/>
        <w:rPr>
          <w:b w:val="1"/>
          <w:bCs w:val="1"/>
        </w:rPr>
      </w:pPr>
      <w:r w:rsidDel="00000000" w:rsidR="00000000" w:rsidRPr="00000000">
        <w:rPr>
          <w:b w:val="1"/>
          <w:bCs w:val="1"/>
          <w:rtl w:val="0"/>
        </w:rPr>
        <w:t xml:space="preserve">Stratégie d'infrastructure : Conteneurisation et Orchestration (ex: Kubernetes).</w:t>
      </w:r>
    </w:p>
    <w:p w:rsidR="00000000" w:rsidDel="00000000" w:rsidP="00000000" w:rsidRDefault="00000000" w:rsidRPr="00000000" w14:paraId="0000013E">
      <w:pPr>
        <w:spacing w:after="240" w:before="240" w:lineRule="auto"/>
        <w:jc w:val="both"/>
        <w:rPr/>
      </w:pPr>
      <w:r w:rsidDel="00000000" w:rsidR="00000000" w:rsidRPr="00000000">
        <w:rPr>
          <w:rtl w:val="0"/>
        </w:rPr>
        <w:t xml:space="preserve">Pour supporter une architecture distribuée et garantir le "Zero Downtime", l'infrastructure sous-jacente doit radicalement évoluer. Toutefois, avant d'envisager des orchestrateurs complexes, la démarche exige de poser une fondation technique maîtrisée. Le modèle traditionnel basé sur des machines virtuelles (VM) lourdes et statiques cède ainsi la place à un écosystème dynamique centré sur les conteneurs, couplé à un système de routage intelligent.</w:t>
      </w:r>
    </w:p>
    <w:p w:rsidR="00000000" w:rsidDel="00000000" w:rsidP="00000000" w:rsidRDefault="00000000" w:rsidRPr="00000000" w14:paraId="0000013F">
      <w:pPr>
        <w:spacing w:after="240" w:before="240" w:lineRule="auto"/>
        <w:jc w:val="both"/>
        <w:rPr>
          <w:b w:val="1"/>
          <w:bCs w:val="1"/>
        </w:rPr>
      </w:pPr>
      <w:r w:rsidDel="00000000" w:rsidR="00000000" w:rsidRPr="00000000">
        <w:rPr>
          <w:b w:val="1"/>
          <w:bCs w:val="1"/>
          <w:rtl w:val="0"/>
        </w:rPr>
        <w:t xml:space="preserve">La Conteneurisation (ex: Docker) : L'unité standardisée</w:t>
      </w:r>
    </w:p>
    <w:p w:rsidR="00000000" w:rsidDel="00000000" w:rsidP="00000000" w:rsidRDefault="00000000" w:rsidRPr="00000000" w14:paraId="00000140">
      <w:pPr>
        <w:spacing w:after="240" w:before="240" w:lineRule="auto"/>
        <w:jc w:val="both"/>
        <w:rPr/>
      </w:pPr>
      <w:r w:rsidDel="00000000" w:rsidR="00000000" w:rsidRPr="00000000">
        <w:rPr>
          <w:rtl w:val="0"/>
        </w:rPr>
        <w:t xml:space="preserve">La pierre angulaire de cette migration consiste à encapsuler chaque micro-service et l'intégralité de ses dépendances (librairies, fichiers de configuration) au sein d'un conteneur isolé.</w:t>
      </w:r>
    </w:p>
    <w:p w:rsidR="00000000" w:rsidDel="00000000" w:rsidP="00000000" w:rsidRDefault="00000000" w:rsidRPr="00000000" w14:paraId="00000141">
      <w:pPr>
        <w:numPr>
          <w:ilvl w:val="0"/>
          <w:numId w:val="5"/>
        </w:numPr>
        <w:spacing w:after="0" w:afterAutospacing="0" w:before="240" w:lineRule="auto"/>
        <w:ind w:left="720" w:hanging="360"/>
        <w:jc w:val="both"/>
      </w:pPr>
      <w:r w:rsidDel="00000000" w:rsidR="00000000" w:rsidRPr="00000000">
        <w:rPr>
          <w:b w:val="1"/>
          <w:bCs w:val="1"/>
          <w:rtl w:val="0"/>
        </w:rPr>
        <w:t xml:space="preserve">Immutabilité et fiabilité :</w:t>
      </w:r>
      <w:r w:rsidDel="00000000" w:rsidR="00000000" w:rsidRPr="00000000">
        <w:rPr>
          <w:rtl w:val="0"/>
        </w:rPr>
        <w:t xml:space="preserve"> Le conteneur garantit que le service s'exécutera de manière strictement identique sur le poste du développeur, dans les environnements de test (staging) et en production. Cette standardisation absolue élimine le syndrome du "ça marche sur ma machine" et réduit drastiquement les risques d'erreurs liées aux différences de configuration lors des déploiements.</w:t>
      </w:r>
    </w:p>
    <w:p w:rsidR="00000000" w:rsidDel="00000000" w:rsidP="00000000" w:rsidRDefault="00000000" w:rsidRPr="00000000" w14:paraId="00000142">
      <w:pPr>
        <w:numPr>
          <w:ilvl w:val="0"/>
          <w:numId w:val="5"/>
        </w:numPr>
        <w:spacing w:after="240" w:before="0" w:beforeAutospacing="0" w:lineRule="auto"/>
        <w:ind w:left="720" w:hanging="360"/>
        <w:jc w:val="both"/>
      </w:pPr>
      <w:r w:rsidDel="00000000" w:rsidR="00000000" w:rsidRPr="00000000">
        <w:rPr>
          <w:b w:val="1"/>
          <w:bCs w:val="1"/>
          <w:rtl w:val="0"/>
        </w:rPr>
        <w:t xml:space="preserve">Légèreté et vélocité :</w:t>
      </w:r>
      <w:r w:rsidDel="00000000" w:rsidR="00000000" w:rsidRPr="00000000">
        <w:rPr>
          <w:rtl w:val="0"/>
        </w:rPr>
        <w:t xml:space="preserve"> Contrairement à une machine virtuelle qui doit initialiser un système d'exploitation complet, un conteneur partage le noyau de l'hôte et démarre en quelques secondes. Cette vélocité est une propriété indispensable pour réagir instantanément en cas d'anomalie ou pour déployer de nouvelles versions à la volée.</w:t>
      </w:r>
    </w:p>
    <w:p w:rsidR="00000000" w:rsidDel="00000000" w:rsidP="00000000" w:rsidRDefault="00000000" w:rsidRPr="00000000" w14:paraId="00000143">
      <w:pPr>
        <w:spacing w:after="240" w:before="240" w:lineRule="auto"/>
        <w:jc w:val="both"/>
        <w:rPr>
          <w:b w:val="1"/>
          <w:bCs w:val="1"/>
        </w:rPr>
      </w:pPr>
      <w:r w:rsidDel="00000000" w:rsidR="00000000" w:rsidRPr="00000000">
        <w:rPr>
          <w:b w:val="1"/>
          <w:bCs w:val="1"/>
          <w:rtl w:val="0"/>
        </w:rPr>
        <w:t xml:space="preserve">Le routage dynamique et la gestion des requêtes (Graceful Shutdown)</w:t>
      </w:r>
    </w:p>
    <w:p w:rsidR="00000000" w:rsidDel="00000000" w:rsidP="00000000" w:rsidRDefault="00000000" w:rsidRPr="00000000" w14:paraId="00000144">
      <w:pPr>
        <w:spacing w:after="240" w:before="240" w:lineRule="auto"/>
        <w:jc w:val="both"/>
        <w:rPr/>
      </w:pPr>
      <w:r w:rsidDel="00000000" w:rsidR="00000000" w:rsidRPr="00000000">
        <w:rPr>
          <w:rtl w:val="0"/>
        </w:rPr>
        <w:t xml:space="preserve">Dans une approche dimensionnée au juste besoin (sans sur-ingénierie), l'objectif de continuité de service ne repose pas sur une orchestration massive, mais sur la synergie entre les conteneurs et un </w:t>
      </w:r>
      <w:r w:rsidDel="00000000" w:rsidR="00000000" w:rsidRPr="00000000">
        <w:rPr>
          <w:i w:val="1"/>
          <w:iCs w:val="1"/>
          <w:rtl w:val="0"/>
        </w:rPr>
        <w:t xml:space="preserve">Reverse Proxy</w:t>
      </w:r>
      <w:r w:rsidDel="00000000" w:rsidR="00000000" w:rsidRPr="00000000">
        <w:rPr>
          <w:rtl w:val="0"/>
        </w:rPr>
        <w:t xml:space="preserve"> (proxy inverse dynamique, type Nginx ou Traefik).</w:t>
      </w:r>
    </w:p>
    <w:p w:rsidR="00000000" w:rsidDel="00000000" w:rsidP="00000000" w:rsidRDefault="00000000" w:rsidRPr="00000000" w14:paraId="00000145">
      <w:pPr>
        <w:numPr>
          <w:ilvl w:val="0"/>
          <w:numId w:val="14"/>
        </w:numPr>
        <w:spacing w:after="0" w:afterAutospacing="0" w:before="240" w:lineRule="auto"/>
        <w:ind w:left="720" w:hanging="360"/>
        <w:jc w:val="both"/>
      </w:pPr>
      <w:r w:rsidDel="00000000" w:rsidR="00000000" w:rsidRPr="00000000">
        <w:rPr>
          <w:b w:val="1"/>
          <w:bCs w:val="1"/>
          <w:rtl w:val="0"/>
        </w:rPr>
        <w:t xml:space="preserve">Le déploiement sans interruption :</w:t>
      </w:r>
      <w:r w:rsidDel="00000000" w:rsidR="00000000" w:rsidRPr="00000000">
        <w:rPr>
          <w:rtl w:val="0"/>
        </w:rPr>
        <w:t xml:space="preserve"> Lors du déploiement d'une mise à jour, la nouvelle version du conteneur (V2) est démarrée sur le serveur en parallèle de l'ancienne (V1). Le </w:t>
      </w:r>
      <w:r w:rsidDel="00000000" w:rsidR="00000000" w:rsidRPr="00000000">
        <w:rPr>
          <w:i w:val="1"/>
          <w:iCs w:val="1"/>
          <w:rtl w:val="0"/>
        </w:rPr>
        <w:t xml:space="preserve">Reverse Proxy</w:t>
      </w:r>
      <w:r w:rsidDel="00000000" w:rsidR="00000000" w:rsidRPr="00000000">
        <w:rPr>
          <w:rtl w:val="0"/>
        </w:rPr>
        <w:t xml:space="preserve"> bascule le trafic entrant vers la V2 uniquement lorsque celle-ci est pleinement démarrée et apte à recevoir des requêtes.</w:t>
      </w:r>
    </w:p>
    <w:p w:rsidR="00000000" w:rsidDel="00000000" w:rsidP="00000000" w:rsidRDefault="00000000" w:rsidRPr="00000000" w14:paraId="00000146">
      <w:pPr>
        <w:numPr>
          <w:ilvl w:val="0"/>
          <w:numId w:val="14"/>
        </w:numPr>
        <w:spacing w:after="240" w:before="0" w:beforeAutospacing="0" w:lineRule="auto"/>
        <w:ind w:left="720" w:hanging="360"/>
        <w:jc w:val="both"/>
      </w:pPr>
      <w:r w:rsidDel="00000000" w:rsidR="00000000" w:rsidRPr="00000000">
        <w:rPr>
          <w:b w:val="1"/>
          <w:bCs w:val="1"/>
          <w:rtl w:val="0"/>
        </w:rPr>
        <w:t xml:space="preserve">L'arrêt gracieux pour les requêtes "en vol" :</w:t>
      </w:r>
      <w:r w:rsidDel="00000000" w:rsidR="00000000" w:rsidRPr="00000000">
        <w:rPr>
          <w:rtl w:val="0"/>
        </w:rPr>
        <w:t xml:space="preserve"> La rapidité de démarrage d'un conteneur ne suffit pas à elle seule à garantir un véritable "Zero Downtime". Pour éviter qu'une transaction en cours (ex: un paiement ou la soumission d'un formulaire) ne soit brutalement coupée, il est impératif d'implémenter un mécanisme de </w:t>
      </w:r>
      <w:r w:rsidDel="00000000" w:rsidR="00000000" w:rsidRPr="00000000">
        <w:rPr>
          <w:i w:val="1"/>
          <w:iCs w:val="1"/>
          <w:rtl w:val="0"/>
        </w:rPr>
        <w:t xml:space="preserve">Graceful Shutdown</w:t>
      </w:r>
      <w:r w:rsidDel="00000000" w:rsidR="00000000" w:rsidRPr="00000000">
        <w:rPr>
          <w:rtl w:val="0"/>
        </w:rPr>
        <w:t xml:space="preserve"> (arrêt gracieux). Le proxy cesse d'envoyer de nouveaux clients au conteneur V1, mais lui accorde un délai (ex: 5 à 10 secondes) pour finaliser le traitement des requêtes en cours avant de s'éteindre définitivement, garantissant ainsi la transparence totale de l'opération pour l'utilisateur final.</w:t>
      </w:r>
    </w:p>
    <w:p w:rsidR="00000000" w:rsidDel="00000000" w:rsidP="00000000" w:rsidRDefault="00000000" w:rsidRPr="00000000" w14:paraId="00000147">
      <w:pPr>
        <w:ind w:left="0" w:firstLine="0"/>
        <w:jc w:val="both"/>
        <w:rPr>
          <w:b w:val="1"/>
          <w:bCs w:val="1"/>
        </w:rPr>
      </w:pPr>
      <w:r w:rsidDel="00000000" w:rsidR="00000000" w:rsidRPr="00000000">
        <w:rPr>
          <w:rtl w:val="0"/>
        </w:rPr>
      </w:r>
    </w:p>
    <w:p w:rsidR="00000000" w:rsidDel="00000000" w:rsidP="00000000" w:rsidRDefault="00000000" w:rsidRPr="00000000" w14:paraId="00000148">
      <w:pPr>
        <w:pStyle w:val="Heading2"/>
        <w:numPr>
          <w:ilvl w:val="0"/>
          <w:numId w:val="8"/>
        </w:numPr>
        <w:ind w:left="720" w:hanging="360"/>
        <w:jc w:val="both"/>
      </w:pPr>
      <w:bookmarkStart w:colFirst="0" w:colLast="0" w:name="_heading=h.rijm1vdxswf" w:id="29"/>
      <w:bookmarkEnd w:id="29"/>
      <w:r w:rsidDel="00000000" w:rsidR="00000000" w:rsidRPr="00000000">
        <w:rPr>
          <w:rtl w:val="0"/>
        </w:rPr>
        <w:t xml:space="preserve">4. Alignement avec les standards et réglementations :</w:t>
      </w:r>
    </w:p>
    <w:p w:rsidR="00000000" w:rsidDel="00000000" w:rsidP="00000000" w:rsidRDefault="00000000" w:rsidRPr="00000000" w14:paraId="00000149">
      <w:pPr>
        <w:ind w:left="720" w:firstLine="0"/>
        <w:jc w:val="both"/>
        <w:rPr/>
      </w:pPr>
      <w:r w:rsidDel="00000000" w:rsidR="00000000" w:rsidRPr="00000000">
        <w:rPr>
          <w:rtl w:val="0"/>
        </w:rPr>
        <w:t xml:space="preserve">Dans une architecture monolithique, la sécurité et la donnée sont centralisées, ce qui simplifie leur gestion. Le passage aux micro-services fragmente ces éléments, imposant de repenser les standards pour rester conforme. </w:t>
      </w:r>
    </w:p>
    <w:p w:rsidR="00000000" w:rsidDel="00000000" w:rsidP="00000000" w:rsidRDefault="00000000" w:rsidRPr="00000000" w14:paraId="0000014A">
      <w:pPr>
        <w:numPr>
          <w:ilvl w:val="1"/>
          <w:numId w:val="8"/>
        </w:numPr>
        <w:ind w:left="1440" w:hanging="360"/>
        <w:jc w:val="both"/>
        <w:rPr>
          <w:b w:val="1"/>
          <w:bCs w:val="1"/>
        </w:rPr>
      </w:pPr>
      <w:r w:rsidDel="00000000" w:rsidR="00000000" w:rsidRPr="00000000">
        <w:rPr>
          <w:b w:val="1"/>
          <w:bCs w:val="1"/>
          <w:rtl w:val="0"/>
        </w:rPr>
        <w:t xml:space="preserve">Sécurité des échanges (OAuth2, OpenID Connect) dans un système distribué.</w:t>
      </w:r>
    </w:p>
    <w:p w:rsidR="00000000" w:rsidDel="00000000" w:rsidP="00000000" w:rsidRDefault="00000000" w:rsidRPr="00000000" w14:paraId="0000014B">
      <w:pPr>
        <w:jc w:val="both"/>
        <w:rPr/>
      </w:pPr>
      <w:r w:rsidDel="00000000" w:rsidR="00000000" w:rsidRPr="00000000">
        <w:rPr>
          <w:rtl w:val="0"/>
        </w:rPr>
        <w:t xml:space="preserve">Le problème : Dans l'ancien système, l'utilisateur se connectait une fois et le serveur gardait sa "session" en mémoire. Avec des micro-services, si l'utilisateur interroge le service "Panier" puis le service "Paiement", on ne peut pas lui redemander son mot de passe à chaque fois, ni forcer chaque service à interroger la base de données (ce qui créerait un goulet d'étranglement et des lenteurs).</w:t>
      </w:r>
    </w:p>
    <w:p w:rsidR="00000000" w:rsidDel="00000000" w:rsidP="00000000" w:rsidRDefault="00000000" w:rsidRPr="00000000" w14:paraId="0000014C">
      <w:pPr>
        <w:jc w:val="both"/>
        <w:rPr>
          <w:b w:val="1"/>
          <w:bCs w:val="1"/>
        </w:rPr>
      </w:pPr>
      <w:r w:rsidDel="00000000" w:rsidR="00000000" w:rsidRPr="00000000">
        <w:rPr>
          <w:rtl w:val="0"/>
        </w:rPr>
        <w:t xml:space="preserve">La solution cible : L'utilisation de protocoles standards (OAuth2/OpenID Connect) et de jetons sans état (JWT - JSON Web Tokens). Lors de la connexion, l'utilisateur reçoit un jeton cryptographique. Ensuite, notre </w:t>
      </w:r>
      <w:r w:rsidDel="00000000" w:rsidR="00000000" w:rsidRPr="00000000">
        <w:rPr>
          <w:i w:val="1"/>
          <w:iCs w:val="1"/>
          <w:rtl w:val="0"/>
        </w:rPr>
        <w:t xml:space="preserve">Reverse Proxy</w:t>
      </w:r>
      <w:r w:rsidDel="00000000" w:rsidR="00000000" w:rsidRPr="00000000">
        <w:rPr>
          <w:rtl w:val="0"/>
        </w:rPr>
        <w:t xml:space="preserve"> (qui sert de passerelle) vérifie la validité de ce jeton et le transmet aux micro-services. Chaque service sait instantanément qui est l'utilisateur et quels sont ses droits, garantissant des performances optimales et une sécurité homo</w:t>
      </w:r>
      <w:r w:rsidDel="00000000" w:rsidR="00000000" w:rsidRPr="00000000">
        <w:rPr>
          <w:b w:val="1"/>
          <w:bCs w:val="1"/>
          <w:rtl w:val="0"/>
        </w:rPr>
        <w:t xml:space="preserve">gène sans ralentir le flux.</w:t>
      </w:r>
    </w:p>
    <w:p w:rsidR="00000000" w:rsidDel="00000000" w:rsidP="00000000" w:rsidRDefault="00000000" w:rsidRPr="00000000" w14:paraId="0000014D">
      <w:pPr>
        <w:ind w:left="0" w:firstLine="0"/>
        <w:jc w:val="both"/>
        <w:rPr>
          <w:b w:val="1"/>
          <w:bCs w:val="1"/>
        </w:rPr>
      </w:pPr>
      <w:r w:rsidDel="00000000" w:rsidR="00000000" w:rsidRPr="00000000">
        <w:rPr>
          <w:rtl w:val="0"/>
        </w:rPr>
      </w:r>
    </w:p>
    <w:p w:rsidR="00000000" w:rsidDel="00000000" w:rsidP="00000000" w:rsidRDefault="00000000" w:rsidRPr="00000000" w14:paraId="0000014E">
      <w:pPr>
        <w:numPr>
          <w:ilvl w:val="1"/>
          <w:numId w:val="8"/>
        </w:numPr>
        <w:ind w:left="1440" w:hanging="360"/>
        <w:jc w:val="both"/>
        <w:rPr>
          <w:b w:val="1"/>
          <w:bCs w:val="1"/>
        </w:rPr>
      </w:pPr>
      <w:r w:rsidDel="00000000" w:rsidR="00000000" w:rsidRPr="00000000">
        <w:rPr>
          <w:b w:val="1"/>
          <w:bCs w:val="1"/>
          <w:rtl w:val="0"/>
        </w:rPr>
        <w:t xml:space="preserve">Conformité RGPD lors de la séparation des bases de données.</w:t>
      </w:r>
    </w:p>
    <w:p w:rsidR="00000000" w:rsidDel="00000000" w:rsidP="00000000" w:rsidRDefault="00000000" w:rsidRPr="00000000" w14:paraId="0000014F">
      <w:pPr>
        <w:jc w:val="both"/>
        <w:rPr/>
      </w:pPr>
      <w:r w:rsidDel="00000000" w:rsidR="00000000" w:rsidRPr="00000000">
        <w:rPr>
          <w:rtl w:val="0"/>
        </w:rPr>
        <w:t xml:space="preserve">Le défi : Le Règlement Général sur la Protection des Données (RGPD) impose notamment le "droit à l'oubli" (la suppression totale des données d'un client). Dans un monolithe, une simple requête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dans la base de données unique suffisait. En micro-services, les informations du client (nom, adresses, historique) sont éparpillées dans plusieurs bases indépendantes.</w:t>
      </w:r>
    </w:p>
    <w:p w:rsidR="00000000" w:rsidDel="00000000" w:rsidP="00000000" w:rsidRDefault="00000000" w:rsidRPr="00000000" w14:paraId="00000150">
      <w:pPr>
        <w:jc w:val="both"/>
        <w:rPr/>
      </w:pPr>
      <w:r w:rsidDel="00000000" w:rsidR="00000000" w:rsidRPr="00000000">
        <w:rPr>
          <w:rtl w:val="0"/>
        </w:rPr>
        <w:t xml:space="preserve">La stratégie : Il faut mettre en place une logique de propagation. Si un client demande sa suppression, le service "Compte" émet un événement asynchrone (ex: </w:t>
      </w:r>
      <w:r w:rsidDel="00000000" w:rsidR="00000000" w:rsidRPr="00000000">
        <w:rPr>
          <w:rFonts w:ascii="Roboto Mono" w:cs="Roboto Mono" w:eastAsia="Roboto Mono" w:hAnsi="Roboto Mono"/>
          <w:color w:val="188038"/>
          <w:rtl w:val="0"/>
        </w:rPr>
        <w:t xml:space="preserve">Utilisateur_Supprimé</w:t>
      </w:r>
      <w:r w:rsidDel="00000000" w:rsidR="00000000" w:rsidRPr="00000000">
        <w:rPr>
          <w:rtl w:val="0"/>
        </w:rPr>
        <w:t xml:space="preserve">). Tous les autres micro-services écoutent cet événement et procèdent à l'anonymisation ou la suppression de leurs propres données locales. Cela garantit la conformité légale tout en respectant l'isolation de notre architecture.</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pStyle w:val="Heading2"/>
        <w:numPr>
          <w:ilvl w:val="0"/>
          <w:numId w:val="8"/>
        </w:numPr>
        <w:ind w:left="720" w:hanging="360"/>
        <w:jc w:val="both"/>
      </w:pPr>
      <w:bookmarkStart w:colFirst="0" w:colLast="0" w:name="_heading=h.xgw8qbe8szvp" w:id="30"/>
      <w:bookmarkEnd w:id="30"/>
      <w:r w:rsidDel="00000000" w:rsidR="00000000" w:rsidRPr="00000000">
        <w:rPr>
          <w:rtl w:val="0"/>
        </w:rPr>
        <w:t xml:space="preserve">5. Outils de pilotage et indicateurs de performance :</w:t>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Le pilotage d'une architecture distribuée impose un changement de paradigme fondamental en matière de supervision. Dans un modèle monolithique, les appels de fonctions s'exécutent en mémoire au sein d'un processus unique, ce qui rend le traçage des erreurs localisé et linéaire. À l'inverse, l'architecture en micro-services fragmente l'application en une multitude de composants autonomes qui communiquent à travers le réseau. Cette distribution introduit des risques inhérents liés à la latence réseau, aux pannes partielles et à la perte de visibilité sur le cycle de vie d'une requête.</w:t>
      </w:r>
    </w:p>
    <w:p w:rsidR="00000000" w:rsidDel="00000000" w:rsidP="00000000" w:rsidRDefault="00000000" w:rsidRPr="00000000" w14:paraId="00000155">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Dès lors, garantir la continuité de service et l'objectif du </w:t>
      </w:r>
      <w:r w:rsidDel="00000000" w:rsidR="00000000" w:rsidRPr="00000000">
        <w:rPr>
          <w:rFonts w:ascii="Arial" w:cs="Arial" w:eastAsia="Arial" w:hAnsi="Arial"/>
          <w:i w:val="1"/>
          <w:iCs w:val="1"/>
          <w:rtl w:val="0"/>
        </w:rPr>
        <w:t xml:space="preserve">Zero Downtime</w:t>
      </w:r>
      <w:r w:rsidDel="00000000" w:rsidR="00000000" w:rsidRPr="00000000">
        <w:rPr>
          <w:rFonts w:ascii="Arial" w:cs="Arial" w:eastAsia="Arial" w:hAnsi="Arial"/>
          <w:rtl w:val="0"/>
        </w:rPr>
        <w:t xml:space="preserve"> exige de transcender le monitoring traditionnel (purement centré sur la disponibilité des machines) pour implémenter un paradigme d'observabilité systémique. L'observabilité se définit comme la capacité à inférer l'état interne d'un système à partir de ses sorties externes, structurées autour de trois piliers fondamentaux : les journaux (Logs), les métriques (Metrics) et les traces (Traces).</w:t>
      </w:r>
    </w:p>
    <w:p w:rsidR="00000000" w:rsidDel="00000000" w:rsidP="00000000" w:rsidRDefault="00000000" w:rsidRPr="00000000" w14:paraId="00000156">
      <w:pPr>
        <w:pStyle w:val="Heading3"/>
        <w:keepNext w:val="0"/>
        <w:keepLines w:val="0"/>
        <w:spacing w:before="0" w:line="276" w:lineRule="auto"/>
        <w:ind w:left="1440" w:hanging="360"/>
        <w:jc w:val="both"/>
        <w:rPr>
          <w:rFonts w:ascii="Arial" w:cs="Arial" w:eastAsia="Arial" w:hAnsi="Arial"/>
          <w:b w:val="1"/>
          <w:bCs w:val="1"/>
          <w:color w:val="000000"/>
          <w:sz w:val="26"/>
          <w:szCs w:val="26"/>
        </w:rPr>
      </w:pPr>
      <w:bookmarkStart w:colFirst="0" w:colLast="0" w:name="_heading=h.it082988fxws" w:id="31"/>
      <w:bookmarkEnd w:id="31"/>
      <w:r w:rsidDel="00000000" w:rsidR="00000000" w:rsidRPr="00000000">
        <w:rPr>
          <w:rFonts w:ascii="Arial" w:cs="Arial" w:eastAsia="Arial" w:hAnsi="Arial"/>
          <w:b w:val="1"/>
          <w:bCs w:val="1"/>
          <w:color w:val="000000"/>
          <w:sz w:val="26"/>
          <w:szCs w:val="26"/>
          <w:rtl w:val="0"/>
        </w:rPr>
        <w:t xml:space="preserve">A. Le Logging centralisé : Choix et implémentation de la pile Grafana Loki</w:t>
      </w:r>
    </w:p>
    <w:p w:rsidR="00000000" w:rsidDel="00000000" w:rsidP="00000000" w:rsidRDefault="00000000" w:rsidRPr="00000000" w14:paraId="00000157">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La fragmentation des processus implique la dispersion des journaux d'événements. Se connecter manuellement sur chaque conteneur pour analyser des fichiers texte bruts est une approche incompatible avec les exigences de réactivité d'un environnement de production. La centralisation des logs est donc un prérequis technique absolu.</w:t>
      </w:r>
    </w:p>
    <w:p w:rsidR="00000000" w:rsidDel="00000000" w:rsidP="00000000" w:rsidRDefault="00000000" w:rsidRPr="00000000" w14:paraId="00000158">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Dans le cadre d'un audit comparatif des solutions de centralisation, deux approches majeures s'affrontent sur le marché :</w:t>
      </w:r>
    </w:p>
    <w:p w:rsidR="00000000" w:rsidDel="00000000" w:rsidP="00000000" w:rsidRDefault="00000000" w:rsidRPr="00000000" w14:paraId="00000159">
      <w:pPr>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La suite ELK / Opensearch (Elasticsearch, Logstash, Kibana) :</w:t>
      </w:r>
      <w:r w:rsidDel="00000000" w:rsidR="00000000" w:rsidRPr="00000000">
        <w:rPr>
          <w:rFonts w:ascii="Arial" w:cs="Arial" w:eastAsia="Arial" w:hAnsi="Arial"/>
          <w:rtl w:val="0"/>
        </w:rPr>
        <w:t xml:space="preserve"> Historiquement dominante, cette solution repose sur l'indexation textuelle intégrale de chaque ligne de log. Bien que performante pour des recherches complexes sur de très gros volumes, elle s'avère extrêmement gourmande en ressources matérielles (mémoire RAM et stockage disque) en raison de la lourdeur de ses indices.</w:t>
      </w:r>
    </w:p>
    <w:p w:rsidR="00000000" w:rsidDel="00000000" w:rsidP="00000000" w:rsidRDefault="00000000" w:rsidRPr="00000000" w14:paraId="0000015A">
      <w:pPr>
        <w:numPr>
          <w:ilvl w:val="0"/>
          <w:numId w:val="4"/>
        </w:numPr>
        <w:spacing w:after="240" w:line="276" w:lineRule="auto"/>
        <w:ind w:left="720" w:hanging="360"/>
      </w:pPr>
      <w:r w:rsidDel="00000000" w:rsidR="00000000" w:rsidRPr="00000000">
        <w:rPr>
          <w:rFonts w:ascii="Arial" w:cs="Arial" w:eastAsia="Arial" w:hAnsi="Arial"/>
          <w:b w:val="1"/>
          <w:bCs w:val="1"/>
          <w:rtl w:val="0"/>
        </w:rPr>
        <w:t xml:space="preserve">Grafana Loki :</w:t>
      </w:r>
      <w:r w:rsidDel="00000000" w:rsidR="00000000" w:rsidRPr="00000000">
        <w:rPr>
          <w:rFonts w:ascii="Arial" w:cs="Arial" w:eastAsia="Arial" w:hAnsi="Arial"/>
          <w:rtl w:val="0"/>
        </w:rPr>
        <w:t xml:space="preserve"> Conçu selon une philosophie inspirée de Prometheus, Loki n'indexe pas le texte brut du log, mais uniquement les métadonnées (les étiquettes ou </w:t>
      </w:r>
      <w:r w:rsidDel="00000000" w:rsidR="00000000" w:rsidRPr="00000000">
        <w:rPr>
          <w:rFonts w:ascii="Arial" w:cs="Arial" w:eastAsia="Arial" w:hAnsi="Arial"/>
          <w:i w:val="1"/>
          <w:iCs w:val="1"/>
          <w:rtl w:val="0"/>
        </w:rPr>
        <w:t xml:space="preserve">labels</w:t>
      </w:r>
      <w:r w:rsidDel="00000000" w:rsidR="00000000" w:rsidRPr="00000000">
        <w:rPr>
          <w:rFonts w:ascii="Arial" w:cs="Arial" w:eastAsia="Arial" w:hAnsi="Arial"/>
          <w:rtl w:val="0"/>
        </w:rPr>
        <w:t xml:space="preserve"> associées au conteneur, au service ou à l'environnement). Le corps du message est stocké sous forme de flux compressés non indexés.</w:t>
      </w:r>
    </w:p>
    <w:p w:rsidR="00000000" w:rsidDel="00000000" w:rsidP="00000000" w:rsidRDefault="00000000" w:rsidRPr="00000000" w14:paraId="0000015B">
      <w:pPr>
        <w:pStyle w:val="Heading4"/>
        <w:keepNext w:val="0"/>
        <w:keepLines w:val="0"/>
        <w:spacing w:before="0" w:line="276" w:lineRule="auto"/>
        <w:ind w:left="1440" w:hanging="360"/>
        <w:jc w:val="both"/>
        <w:rPr>
          <w:rFonts w:ascii="Arial" w:cs="Arial" w:eastAsia="Arial" w:hAnsi="Arial"/>
          <w:b w:val="1"/>
          <w:bCs w:val="1"/>
          <w:i w:val="0"/>
          <w:iCs w:val="0"/>
          <w:color w:val="000000"/>
          <w:sz w:val="22"/>
          <w:szCs w:val="22"/>
        </w:rPr>
      </w:pPr>
      <w:bookmarkStart w:colFirst="0" w:colLast="0" w:name="_heading=h.sqcqljww3imp" w:id="32"/>
      <w:bookmarkEnd w:id="32"/>
      <w:r w:rsidDel="00000000" w:rsidR="00000000" w:rsidRPr="00000000">
        <w:rPr>
          <w:rFonts w:ascii="Arial" w:cs="Arial" w:eastAsia="Arial" w:hAnsi="Arial"/>
          <w:b w:val="1"/>
          <w:bCs w:val="1"/>
          <w:i w:val="0"/>
          <w:iCs w:val="0"/>
          <w:color w:val="000000"/>
          <w:sz w:val="22"/>
          <w:szCs w:val="22"/>
          <w:rtl w:val="0"/>
        </w:rPr>
        <w:t xml:space="preserve">Justification du choix technologique pour le Groupe Adeena</w:t>
      </w:r>
    </w:p>
    <w:p w:rsidR="00000000" w:rsidDel="00000000" w:rsidP="00000000" w:rsidRDefault="00000000" w:rsidRPr="00000000" w14:paraId="0000015C">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Pour une organisation disposant d'une infrastructure rationalisée et d'une équipe technique de taille modérée, le choix de </w:t>
      </w:r>
      <w:r w:rsidDel="00000000" w:rsidR="00000000" w:rsidRPr="00000000">
        <w:rPr>
          <w:rFonts w:ascii="Arial" w:cs="Arial" w:eastAsia="Arial" w:hAnsi="Arial"/>
          <w:b w:val="1"/>
          <w:bCs w:val="1"/>
          <w:rtl w:val="0"/>
        </w:rPr>
        <w:t xml:space="preserve">Grafana Loki</w:t>
      </w:r>
      <w:r w:rsidDel="00000000" w:rsidR="00000000" w:rsidRPr="00000000">
        <w:rPr>
          <w:rFonts w:ascii="Arial" w:cs="Arial" w:eastAsia="Arial" w:hAnsi="Arial"/>
          <w:rtl w:val="0"/>
        </w:rPr>
        <w:t xml:space="preserve"> s'impose comme la solution la plus légitime. Elle offre un excellent compromis entre puissance et sobriété opérationnelle :</w:t>
      </w:r>
    </w:p>
    <w:p w:rsidR="00000000" w:rsidDel="00000000" w:rsidP="00000000" w:rsidRDefault="00000000" w:rsidRPr="00000000" w14:paraId="0000015D">
      <w:pPr>
        <w:numPr>
          <w:ilvl w:val="0"/>
          <w:numId w:val="2"/>
        </w:numPr>
        <w:spacing w:after="0" w:afterAutospacing="0" w:line="276" w:lineRule="auto"/>
        <w:ind w:left="720" w:hanging="360"/>
      </w:pPr>
      <w:r w:rsidDel="00000000" w:rsidR="00000000" w:rsidRPr="00000000">
        <w:rPr>
          <w:rFonts w:ascii="Arial" w:cs="Arial" w:eastAsia="Arial" w:hAnsi="Arial"/>
          <w:b w:val="1"/>
          <w:bCs w:val="1"/>
          <w:rtl w:val="0"/>
        </w:rPr>
        <w:t xml:space="preserve">Efficience budgétaire et matérielle :</w:t>
      </w:r>
      <w:r w:rsidDel="00000000" w:rsidR="00000000" w:rsidRPr="00000000">
        <w:rPr>
          <w:rFonts w:ascii="Arial" w:cs="Arial" w:eastAsia="Arial" w:hAnsi="Arial"/>
          <w:rtl w:val="0"/>
        </w:rPr>
        <w:t xml:space="preserve"> L'absence d'indexation totale du texte réduit le coût de stockage disque et l'empreinte mémoire d'un facteur 2 à 5 par rapport à Elasticsearch. Cela permet une intégration fluide sur un serveur dédié chez un hébergeur, sans saturer les ressources au détriment des services métiers.</w:t>
      </w:r>
    </w:p>
    <w:p w:rsidR="00000000" w:rsidDel="00000000" w:rsidP="00000000" w:rsidRDefault="00000000" w:rsidRPr="00000000" w14:paraId="0000015E">
      <w:pPr>
        <w:numPr>
          <w:ilvl w:val="0"/>
          <w:numId w:val="2"/>
        </w:numPr>
        <w:spacing w:after="240" w:line="276" w:lineRule="auto"/>
        <w:ind w:left="720" w:hanging="360"/>
      </w:pPr>
      <w:r w:rsidDel="00000000" w:rsidR="00000000" w:rsidRPr="00000000">
        <w:rPr>
          <w:rFonts w:ascii="Arial" w:cs="Arial" w:eastAsia="Arial" w:hAnsi="Arial"/>
          <w:b w:val="1"/>
          <w:bCs w:val="1"/>
          <w:rtl w:val="0"/>
        </w:rPr>
        <w:t xml:space="preserve">Corrélation native du plan de contrôle :</w:t>
      </w:r>
      <w:r w:rsidDel="00000000" w:rsidR="00000000" w:rsidRPr="00000000">
        <w:rPr>
          <w:rFonts w:ascii="Arial" w:cs="Arial" w:eastAsia="Arial" w:hAnsi="Arial"/>
          <w:rtl w:val="0"/>
        </w:rPr>
        <w:t xml:space="preserve"> Loki s'intègre nativement avec l'interface Grafana. Un développeur peut basculer d'un graphe de performance à l'affichage des logs associés en un seul clic, accélérant considérablement le diagnostic d'une anomalie.</w:t>
      </w:r>
    </w:p>
    <w:p w:rsidR="00000000" w:rsidDel="00000000" w:rsidP="00000000" w:rsidRDefault="00000000" w:rsidRPr="00000000" w14:paraId="0000015F">
      <w:pPr>
        <w:pStyle w:val="Heading3"/>
        <w:keepNext w:val="0"/>
        <w:keepLines w:val="0"/>
        <w:spacing w:before="0" w:line="276" w:lineRule="auto"/>
        <w:ind w:left="1440" w:hanging="360"/>
        <w:jc w:val="both"/>
        <w:rPr>
          <w:rFonts w:ascii="Arial" w:cs="Arial" w:eastAsia="Arial" w:hAnsi="Arial"/>
          <w:b w:val="1"/>
          <w:bCs w:val="1"/>
          <w:color w:val="000000"/>
          <w:sz w:val="26"/>
          <w:szCs w:val="26"/>
        </w:rPr>
      </w:pPr>
      <w:bookmarkStart w:colFirst="0" w:colLast="0" w:name="_heading=h.yd3k8pbi0z2k" w:id="33"/>
      <w:bookmarkEnd w:id="33"/>
      <w:r w:rsidDel="00000000" w:rsidR="00000000" w:rsidRPr="00000000">
        <w:rPr>
          <w:rFonts w:ascii="Arial" w:cs="Arial" w:eastAsia="Arial" w:hAnsi="Arial"/>
          <w:b w:val="1"/>
          <w:bCs w:val="1"/>
          <w:color w:val="000000"/>
          <w:sz w:val="26"/>
          <w:szCs w:val="26"/>
          <w:rtl w:val="0"/>
        </w:rPr>
        <w:t xml:space="preserve">B. Le Monitoring proactif et l'Alerting : Modélisation des SLO/SLA avec Prometheus et Grafana</w:t>
      </w:r>
    </w:p>
    <w:p w:rsidR="00000000" w:rsidDel="00000000" w:rsidP="00000000" w:rsidRDefault="00000000" w:rsidRPr="00000000" w14:paraId="00000160">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Le monitoring traditionnel se contente de constater une panne après sa survenue (approche réactive). Pour sécuriser la continuité de service, le système de pilotage doit devenir proactif. Le couple </w:t>
      </w:r>
      <w:r w:rsidDel="00000000" w:rsidR="00000000" w:rsidRPr="00000000">
        <w:rPr>
          <w:rFonts w:ascii="Arial" w:cs="Arial" w:eastAsia="Arial" w:hAnsi="Arial"/>
          <w:b w:val="1"/>
          <w:bCs w:val="1"/>
          <w:rtl w:val="0"/>
        </w:rPr>
        <w:t xml:space="preserve">Prometheus et Grafana</w:t>
      </w:r>
      <w:r w:rsidDel="00000000" w:rsidR="00000000" w:rsidRPr="00000000">
        <w:rPr>
          <w:rFonts w:ascii="Arial" w:cs="Arial" w:eastAsia="Arial" w:hAnsi="Arial"/>
          <w:rtl w:val="0"/>
        </w:rPr>
        <w:t xml:space="preserve"> constitue le standard de l'industrie pour la collecte et la visualisation de séries temporelles (métriques).</w:t>
      </w:r>
    </w:p>
    <w:p w:rsidR="00000000" w:rsidDel="00000000" w:rsidP="00000000" w:rsidRDefault="00000000" w:rsidRPr="00000000" w14:paraId="00000161">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Afin d'éviter l'écueil de la sur-ingénierie consistant à surveiller des centaines de métriques inutiles, l'implémentation logicielle se structure autour des </w:t>
      </w:r>
      <w:r w:rsidDel="00000000" w:rsidR="00000000" w:rsidRPr="00000000">
        <w:rPr>
          <w:rFonts w:ascii="Arial" w:cs="Arial" w:eastAsia="Arial" w:hAnsi="Arial"/>
          <w:b w:val="1"/>
          <w:bCs w:val="1"/>
          <w:rtl w:val="0"/>
        </w:rPr>
        <w:t xml:space="preserve">Quatre Signaux d'Or</w:t>
      </w:r>
      <w:r w:rsidDel="00000000" w:rsidR="00000000" w:rsidRPr="00000000">
        <w:rPr>
          <w:rFonts w:ascii="Arial" w:cs="Arial" w:eastAsia="Arial" w:hAnsi="Arial"/>
          <w:rtl w:val="0"/>
        </w:rPr>
        <w:t xml:space="preserve"> (Golden Signals) de Google : la latence, le trafic, les erreurs et la saturation.</w:t>
      </w:r>
    </w:p>
    <w:p w:rsidR="00000000" w:rsidDel="00000000" w:rsidP="00000000" w:rsidRDefault="00000000" w:rsidRPr="00000000" w14:paraId="00000162">
      <w:pPr>
        <w:pStyle w:val="Heading4"/>
        <w:keepNext w:val="0"/>
        <w:keepLines w:val="0"/>
        <w:spacing w:before="0" w:line="276" w:lineRule="auto"/>
        <w:ind w:left="1440" w:hanging="360"/>
        <w:jc w:val="both"/>
        <w:rPr>
          <w:rFonts w:ascii="Arial" w:cs="Arial" w:eastAsia="Arial" w:hAnsi="Arial"/>
          <w:b w:val="1"/>
          <w:bCs w:val="1"/>
          <w:i w:val="0"/>
          <w:iCs w:val="0"/>
          <w:color w:val="000000"/>
          <w:sz w:val="22"/>
          <w:szCs w:val="22"/>
        </w:rPr>
      </w:pPr>
      <w:bookmarkStart w:colFirst="0" w:colLast="0" w:name="_heading=h.179l6ck7gfns" w:id="34"/>
      <w:bookmarkEnd w:id="34"/>
      <w:r w:rsidDel="00000000" w:rsidR="00000000" w:rsidRPr="00000000">
        <w:rPr>
          <w:rFonts w:ascii="Arial" w:cs="Arial" w:eastAsia="Arial" w:hAnsi="Arial"/>
          <w:b w:val="1"/>
          <w:bCs w:val="1"/>
          <w:i w:val="0"/>
          <w:iCs w:val="0"/>
          <w:color w:val="000000"/>
          <w:sz w:val="22"/>
          <w:szCs w:val="22"/>
          <w:rtl w:val="0"/>
        </w:rPr>
        <w:t xml:space="preserve">Quantification des objectifs de performance (SLA, SLO, SLI)</w:t>
      </w:r>
    </w:p>
    <w:p w:rsidR="00000000" w:rsidDel="00000000" w:rsidP="00000000" w:rsidRDefault="00000000" w:rsidRPr="00000000" w14:paraId="00000163">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Pour matérialiser ce pilotage, l'organisation doit traduire ses engagements contractuels (SLA - </w:t>
      </w:r>
      <w:r w:rsidDel="00000000" w:rsidR="00000000" w:rsidRPr="00000000">
        <w:rPr>
          <w:rFonts w:ascii="Arial" w:cs="Arial" w:eastAsia="Arial" w:hAnsi="Arial"/>
          <w:i w:val="1"/>
          <w:iCs w:val="1"/>
          <w:rtl w:val="0"/>
        </w:rPr>
        <w:t xml:space="preserve">Service Level Agreement</w:t>
      </w:r>
      <w:r w:rsidDel="00000000" w:rsidR="00000000" w:rsidRPr="00000000">
        <w:rPr>
          <w:rFonts w:ascii="Arial" w:cs="Arial" w:eastAsia="Arial" w:hAnsi="Arial"/>
          <w:rtl w:val="0"/>
        </w:rPr>
        <w:t xml:space="preserve">) en objectifs techniques internes (SLO - </w:t>
      </w:r>
      <w:r w:rsidDel="00000000" w:rsidR="00000000" w:rsidRPr="00000000">
        <w:rPr>
          <w:rFonts w:ascii="Arial" w:cs="Arial" w:eastAsia="Arial" w:hAnsi="Arial"/>
          <w:i w:val="1"/>
          <w:iCs w:val="1"/>
          <w:rtl w:val="0"/>
        </w:rPr>
        <w:t xml:space="preserve">Service Level Objective</w:t>
      </w:r>
      <w:r w:rsidDel="00000000" w:rsidR="00000000" w:rsidRPr="00000000">
        <w:rPr>
          <w:rFonts w:ascii="Arial" w:cs="Arial" w:eastAsia="Arial" w:hAnsi="Arial"/>
          <w:rtl w:val="0"/>
        </w:rPr>
        <w:t xml:space="preserve">), mesurés par des indicateurs précis (SLI - </w:t>
      </w:r>
      <w:r w:rsidDel="00000000" w:rsidR="00000000" w:rsidRPr="00000000">
        <w:rPr>
          <w:rFonts w:ascii="Arial" w:cs="Arial" w:eastAsia="Arial" w:hAnsi="Arial"/>
          <w:i w:val="1"/>
          <w:iCs w:val="1"/>
          <w:rtl w:val="0"/>
        </w:rPr>
        <w:t xml:space="preserve">Service Level Indicator</w:t>
      </w:r>
      <w:r w:rsidDel="00000000" w:rsidR="00000000" w:rsidRPr="00000000">
        <w:rPr>
          <w:rFonts w:ascii="Arial" w:cs="Arial" w:eastAsia="Arial" w:hAnsi="Arial"/>
          <w:rtl w:val="0"/>
        </w:rPr>
        <w:t xml:space="preserve">).</w:t>
      </w:r>
    </w:p>
    <w:p w:rsidR="00000000" w:rsidDel="00000000" w:rsidP="00000000" w:rsidRDefault="00000000" w:rsidRPr="00000000" w14:paraId="00000164">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Pour un mémoire de Master 2, il est crucial de définir et quantifier ces seuils pour les micro-services clés du Groupe Adeena :</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920"/>
        <w:gridCol w:w="1905"/>
        <w:gridCol w:w="2655"/>
        <w:tblGridChange w:id="0">
          <w:tblGrid>
            <w:gridCol w:w="2310"/>
            <w:gridCol w:w="1920"/>
            <w:gridCol w:w="1905"/>
            <w:gridCol w:w="2655"/>
          </w:tblGrid>
        </w:tblGridChange>
      </w:tblGrid>
      <w:tr>
        <w:trPr>
          <w:cantSplit w:val="0"/>
          <w:trHeight w:val="1095" w:hRule="atLeast"/>
          <w:tblHeader w:val="1"/>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Micro-service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276"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Indicateur (SLI)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276"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Objectif Interne (SLO)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276"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Impact sur le SLA Global</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276"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Service Facturation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Taux d'erreur HTTP 5xx / total des requêtes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&lt; 0,1 % sur un mois glissant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Garantie de conformité financière (Zéro perte de transaction)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276"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Service Facturation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Latence au percentile 95 (P95)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&lt; 200 ms pour les requêtes nominales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Fluidité du tunnel de paiement utilisateur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76"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Service Authentification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Saturation de la mémoire du conteneur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&lt; 80 % de la limite allouée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Déclenchement d'alertes avant le crash par </w:t>
            </w:r>
            <w:r w:rsidDel="00000000" w:rsidR="00000000" w:rsidRPr="00000000">
              <w:rPr>
                <w:rFonts w:ascii="Arial" w:cs="Arial" w:eastAsia="Arial" w:hAnsi="Arial"/>
                <w:i w:val="1"/>
                <w:iCs w:val="1"/>
                <w:rtl w:val="0"/>
              </w:rPr>
              <w:t xml:space="preserve">Out-Of-Memory</w:t>
            </w:r>
            <w:r w:rsidDel="00000000" w:rsidR="00000000" w:rsidRPr="00000000">
              <w:rPr>
                <w:rFonts w:ascii="Arial" w:cs="Arial" w:eastAsia="Arial" w:hAnsi="Arial"/>
                <w:rtl w:val="0"/>
              </w:rPr>
              <w:t xml:space="preserve"> (OOM)</w:t>
            </w:r>
          </w:p>
        </w:tc>
      </w:tr>
    </w:tbl>
    <w:p w:rsidR="00000000" w:rsidDel="00000000" w:rsidP="00000000" w:rsidRDefault="00000000" w:rsidRPr="00000000" w14:paraId="00000175">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L'utilisation du </w:t>
      </w:r>
      <w:r w:rsidDel="00000000" w:rsidR="00000000" w:rsidRPr="00000000">
        <w:rPr>
          <w:rFonts w:ascii="Arial" w:cs="Arial" w:eastAsia="Arial" w:hAnsi="Arial"/>
          <w:b w:val="1"/>
          <w:bCs w:val="1"/>
          <w:rtl w:val="0"/>
        </w:rPr>
        <w:t xml:space="preserve">percentile P95</w:t>
      </w:r>
      <w:r w:rsidDel="00000000" w:rsidR="00000000" w:rsidRPr="00000000">
        <w:rPr>
          <w:rFonts w:ascii="Arial" w:cs="Arial" w:eastAsia="Arial" w:hAnsi="Arial"/>
          <w:rtl w:val="0"/>
        </w:rPr>
        <w:t xml:space="preserve"> (au lieu d'une simple moyenne) est une recommandation technique majeure : elle signifie que 95 % des requêtes s'exécutent en moins de 200 ms, ce qui permet de traquer et de lisser les comportements des requêtes anormalement lentes qui dégradent l'expérience utilisateur.</w:t>
      </w:r>
    </w:p>
    <w:p w:rsidR="00000000" w:rsidDel="00000000" w:rsidP="00000000" w:rsidRDefault="00000000" w:rsidRPr="00000000" w14:paraId="00000176">
      <w:pPr>
        <w:pStyle w:val="Heading3"/>
        <w:keepNext w:val="0"/>
        <w:keepLines w:val="0"/>
        <w:spacing w:before="0" w:line="276" w:lineRule="auto"/>
        <w:ind w:left="1440" w:hanging="360"/>
        <w:jc w:val="both"/>
        <w:rPr>
          <w:rFonts w:ascii="Arial" w:cs="Arial" w:eastAsia="Arial" w:hAnsi="Arial"/>
          <w:b w:val="1"/>
          <w:bCs w:val="1"/>
          <w:color w:val="000000"/>
          <w:sz w:val="26"/>
          <w:szCs w:val="26"/>
        </w:rPr>
      </w:pPr>
      <w:bookmarkStart w:colFirst="0" w:colLast="0" w:name="_heading=h.op74j1t6o4j7" w:id="35"/>
      <w:bookmarkEnd w:id="35"/>
      <w:r w:rsidDel="00000000" w:rsidR="00000000" w:rsidRPr="00000000">
        <w:rPr>
          <w:rFonts w:ascii="Arial" w:cs="Arial" w:eastAsia="Arial" w:hAnsi="Arial"/>
          <w:b w:val="1"/>
          <w:bCs w:val="1"/>
          <w:color w:val="000000"/>
          <w:sz w:val="26"/>
          <w:szCs w:val="26"/>
          <w:rtl w:val="0"/>
        </w:rPr>
        <w:t xml:space="preserve">C. Le Tracing distribué : Corrélation des flux et réduction du MTTR avec Jaeger</w:t>
      </w:r>
    </w:p>
    <w:p w:rsidR="00000000" w:rsidDel="00000000" w:rsidP="00000000" w:rsidRDefault="00000000" w:rsidRPr="00000000" w14:paraId="00000177">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Dans une architecture monolithique, l'analyse d'une exception se fait via la lecture de la pile d'exécution (</w:t>
      </w:r>
      <w:r w:rsidDel="00000000" w:rsidR="00000000" w:rsidRPr="00000000">
        <w:rPr>
          <w:rFonts w:ascii="Arial" w:cs="Arial" w:eastAsia="Arial" w:hAnsi="Arial"/>
          <w:i w:val="1"/>
          <w:iCs w:val="1"/>
          <w:rtl w:val="0"/>
        </w:rPr>
        <w:t xml:space="preserve">stack trace</w:t>
      </w:r>
      <w:r w:rsidDel="00000000" w:rsidR="00000000" w:rsidRPr="00000000">
        <w:rPr>
          <w:rFonts w:ascii="Arial" w:cs="Arial" w:eastAsia="Arial" w:hAnsi="Arial"/>
          <w:rtl w:val="0"/>
        </w:rPr>
        <w:t xml:space="preserve">). En environnement distribué, une requête utilisateur peut échouer au niveau du quatrième sous-service appelé en cascade, sans que le premier composant (la Gateway) n'en connaisse la cause racine. C'est ici qu'intervient le </w:t>
      </w:r>
      <w:r w:rsidDel="00000000" w:rsidR="00000000" w:rsidRPr="00000000">
        <w:rPr>
          <w:rFonts w:ascii="Arial" w:cs="Arial" w:eastAsia="Arial" w:hAnsi="Arial"/>
          <w:b w:val="1"/>
          <w:bCs w:val="1"/>
          <w:rtl w:val="0"/>
        </w:rPr>
        <w:t xml:space="preserve">Tracing distribué via Jaeger</w:t>
      </w:r>
      <w:r w:rsidDel="00000000" w:rsidR="00000000" w:rsidRPr="00000000">
        <w:rPr>
          <w:rFonts w:ascii="Arial" w:cs="Arial" w:eastAsia="Arial" w:hAnsi="Arial"/>
          <w:rtl w:val="0"/>
        </w:rPr>
        <w:t xml:space="preserve">.</w:t>
      </w:r>
    </w:p>
    <w:p w:rsidR="00000000" w:rsidDel="00000000" w:rsidP="00000000" w:rsidRDefault="00000000" w:rsidRPr="00000000" w14:paraId="00000178">
      <w:pPr>
        <w:pStyle w:val="Heading4"/>
        <w:keepNext w:val="0"/>
        <w:keepLines w:val="0"/>
        <w:spacing w:before="0" w:line="276" w:lineRule="auto"/>
        <w:ind w:left="1440" w:hanging="360"/>
        <w:jc w:val="both"/>
        <w:rPr>
          <w:rFonts w:ascii="Arial" w:cs="Arial" w:eastAsia="Arial" w:hAnsi="Arial"/>
          <w:b w:val="1"/>
          <w:bCs w:val="1"/>
          <w:i w:val="0"/>
          <w:iCs w:val="0"/>
          <w:color w:val="000000"/>
          <w:sz w:val="22"/>
          <w:szCs w:val="22"/>
        </w:rPr>
      </w:pPr>
      <w:bookmarkStart w:colFirst="0" w:colLast="0" w:name="_heading=h.rtzvohw1qcvl" w:id="36"/>
      <w:bookmarkEnd w:id="36"/>
      <w:r w:rsidDel="00000000" w:rsidR="00000000" w:rsidRPr="00000000">
        <w:rPr>
          <w:rFonts w:ascii="Arial" w:cs="Arial" w:eastAsia="Arial" w:hAnsi="Arial"/>
          <w:b w:val="1"/>
          <w:bCs w:val="1"/>
          <w:i w:val="0"/>
          <w:iCs w:val="0"/>
          <w:color w:val="000000"/>
          <w:sz w:val="22"/>
          <w:szCs w:val="22"/>
          <w:rtl w:val="0"/>
        </w:rPr>
        <w:t xml:space="preserve">Le mécanisme du Correlation ID</w:t>
      </w:r>
    </w:p>
    <w:p w:rsidR="00000000" w:rsidDel="00000000" w:rsidP="00000000" w:rsidRDefault="00000000" w:rsidRPr="00000000" w14:paraId="00000179">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Lorsqu'une requête HTTP entre dans le système via le </w:t>
      </w:r>
      <w:r w:rsidDel="00000000" w:rsidR="00000000" w:rsidRPr="00000000">
        <w:rPr>
          <w:rFonts w:ascii="Arial" w:cs="Arial" w:eastAsia="Arial" w:hAnsi="Arial"/>
          <w:i w:val="1"/>
          <w:iCs w:val="1"/>
          <w:rtl w:val="0"/>
        </w:rPr>
        <w:t xml:space="preserve">Reverse Proxy</w:t>
      </w:r>
      <w:r w:rsidDel="00000000" w:rsidR="00000000" w:rsidRPr="00000000">
        <w:rPr>
          <w:rFonts w:ascii="Arial" w:cs="Arial" w:eastAsia="Arial" w:hAnsi="Arial"/>
          <w:rtl w:val="0"/>
        </w:rPr>
        <w:t xml:space="preserve"> ou l'API Gateway, cette brique d'infrastructure génère un identifiant unique universel, le </w:t>
      </w:r>
      <w:r w:rsidDel="00000000" w:rsidR="00000000" w:rsidRPr="00000000">
        <w:rPr>
          <w:rFonts w:ascii="Arial" w:cs="Arial" w:eastAsia="Arial" w:hAnsi="Arial"/>
          <w:b w:val="1"/>
          <w:bCs w:val="1"/>
          <w:rtl w:val="0"/>
        </w:rPr>
        <w:t xml:space="preserve">Correlation ID</w:t>
      </w:r>
      <w:r w:rsidDel="00000000" w:rsidR="00000000" w:rsidRPr="00000000">
        <w:rPr>
          <w:rFonts w:ascii="Arial" w:cs="Arial" w:eastAsia="Arial" w:hAnsi="Arial"/>
          <w:rtl w:val="0"/>
        </w:rPr>
        <w:t xml:space="preserve"> (ou </w:t>
      </w:r>
      <w:r w:rsidDel="00000000" w:rsidR="00000000" w:rsidRPr="00000000">
        <w:rPr>
          <w:rFonts w:ascii="Arial" w:cs="Arial" w:eastAsia="Arial" w:hAnsi="Arial"/>
          <w:color w:val="188038"/>
          <w:rtl w:val="0"/>
        </w:rPr>
        <w:t xml:space="preserve">X-Correlation-ID</w:t>
      </w:r>
      <w:r w:rsidDel="00000000" w:rsidR="00000000" w:rsidRPr="00000000">
        <w:rPr>
          <w:rFonts w:ascii="Arial" w:cs="Arial" w:eastAsia="Arial" w:hAnsi="Arial"/>
          <w:rtl w:val="0"/>
        </w:rPr>
        <w:t xml:space="preserve"> dans les en-têtes HTTP).</w:t>
      </w:r>
    </w:p>
    <w:p w:rsidR="00000000" w:rsidDel="00000000" w:rsidP="00000000" w:rsidRDefault="00000000" w:rsidRPr="00000000" w14:paraId="0000017A">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Cet identifiant est obligatoirement propagé de service en service lors de chaque appel réseau (qu'il soit synchrone via REST ou asynchrone via des Webhooks). Chaque micro-service inscrit ce jeton dans ses propres logs et traces.</w:t>
      </w:r>
    </w:p>
    <w:p w:rsidR="00000000" w:rsidDel="00000000" w:rsidP="00000000" w:rsidRDefault="00000000" w:rsidRPr="00000000" w14:paraId="0000017B">
      <w:pPr>
        <w:spacing w:after="240" w:before="240" w:lineRule="auto"/>
        <w:ind w:left="0" w:firstLine="0"/>
        <w:jc w:val="both"/>
        <w:rPr>
          <w:b w:val="1"/>
          <w:bCs w:val="1"/>
        </w:rPr>
      </w:pPr>
      <w:r w:rsidDel="00000000" w:rsidR="00000000" w:rsidRPr="00000000">
        <w:rPr>
          <w:b w:val="1"/>
          <w:bCs w:val="1"/>
        </w:rPr>
        <w:drawing>
          <wp:inline distB="114300" distT="114300" distL="114300" distR="114300">
            <wp:extent cx="3001497" cy="2743517"/>
            <wp:effectExtent b="0" l="0" r="0" t="0"/>
            <wp:docPr descr="Aperçu de la miniature de l'URL associée." id="2" name="image2.png"/>
            <a:graphic>
              <a:graphicData uri="http://schemas.openxmlformats.org/drawingml/2006/picture">
                <pic:pic>
                  <pic:nvPicPr>
                    <pic:cNvPr descr="Aperçu de la miniature de l'URL associée." id="0" name="image2.png"/>
                    <pic:cNvPicPr preferRelativeResize="0"/>
                  </pic:nvPicPr>
                  <pic:blipFill>
                    <a:blip r:embed="rId7"/>
                    <a:srcRect b="0" l="0" r="0" t="0"/>
                    <a:stretch>
                      <a:fillRect/>
                    </a:stretch>
                  </pic:blipFill>
                  <pic:spPr>
                    <a:xfrm>
                      <a:off x="0" y="0"/>
                      <a:ext cx="3001497" cy="2743517"/>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17D">
      <w:pPr>
        <w:pStyle w:val="Heading4"/>
        <w:keepNext w:val="0"/>
        <w:keepLines w:val="0"/>
        <w:spacing w:before="0" w:line="276" w:lineRule="auto"/>
        <w:jc w:val="both"/>
        <w:rPr>
          <w:rFonts w:ascii="Arial" w:cs="Arial" w:eastAsia="Arial" w:hAnsi="Arial"/>
          <w:i w:val="0"/>
          <w:iCs w:val="0"/>
          <w:color w:val="000000"/>
          <w:sz w:val="22"/>
          <w:szCs w:val="22"/>
        </w:rPr>
      </w:pPr>
      <w:bookmarkStart w:colFirst="0" w:colLast="0" w:name="_heading=h.s214gh3e9d4p" w:id="37"/>
      <w:bookmarkEnd w:id="37"/>
      <w:r w:rsidDel="00000000" w:rsidR="00000000" w:rsidRPr="00000000">
        <w:rPr>
          <w:rFonts w:ascii="Arial" w:cs="Arial" w:eastAsia="Arial" w:hAnsi="Arial"/>
          <w:i w:val="0"/>
          <w:iCs w:val="0"/>
          <w:color w:val="000000"/>
          <w:sz w:val="22"/>
          <w:szCs w:val="22"/>
          <w:rtl w:val="0"/>
        </w:rPr>
        <w:t xml:space="preserve">Modélisation mathématique de l'impact sur le MTTR</w:t>
      </w:r>
    </w:p>
    <w:p w:rsidR="00000000" w:rsidDel="00000000" w:rsidP="00000000" w:rsidRDefault="00000000" w:rsidRPr="00000000" w14:paraId="0000017E">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Le succès de l'observabilité se mesure par sa capacité à réduire drastiquement le MTTR (</w:t>
      </w:r>
      <w:r w:rsidDel="00000000" w:rsidR="00000000" w:rsidRPr="00000000">
        <w:rPr>
          <w:rFonts w:ascii="Arial" w:cs="Arial" w:eastAsia="Arial" w:hAnsi="Arial"/>
          <w:i w:val="1"/>
          <w:iCs w:val="1"/>
          <w:rtl w:val="0"/>
        </w:rPr>
        <w:t xml:space="preserve">Mean Time To Repair</w:t>
      </w:r>
      <w:r w:rsidDel="00000000" w:rsidR="00000000" w:rsidRPr="00000000">
        <w:rPr>
          <w:rFonts w:ascii="Arial" w:cs="Arial" w:eastAsia="Arial" w:hAnsi="Arial"/>
          <w:rtl w:val="0"/>
        </w:rPr>
        <w:t xml:space="preserve"> ou temps moyen de résolution). On peut modéliser le cycle de vie d'un incident selon l'équation suivante :</w:t>
      </w:r>
    </w:p>
    <w:p w:rsidR="00000000" w:rsidDel="00000000" w:rsidP="00000000" w:rsidRDefault="00000000" w:rsidRPr="00000000" w14:paraId="0000017F">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MTTR = T_détection + T_localisation + T_résolution + T_déploiement</w:t>
      </w:r>
    </w:p>
    <w:p w:rsidR="00000000" w:rsidDel="00000000" w:rsidP="00000000" w:rsidRDefault="00000000" w:rsidRPr="00000000" w14:paraId="00000180">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Dans un système monolithique mal instrumenté ou un système distribué sans tracing, le temps de localisation (T_localisation) est la composante la plus lourde de l'équation, car l'équipe technique doit inspecter de nombreuses bases de données et serveurs à l'aveugle.</w:t>
      </w:r>
    </w:p>
    <w:p w:rsidR="00000000" w:rsidDel="00000000" w:rsidP="00000000" w:rsidRDefault="00000000" w:rsidRPr="00000000" w14:paraId="00000181">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L'apport de Jaeger et du couplage avec le </w:t>
      </w:r>
      <w:r w:rsidDel="00000000" w:rsidR="00000000" w:rsidRPr="00000000">
        <w:rPr>
          <w:rFonts w:ascii="Arial" w:cs="Arial" w:eastAsia="Arial" w:hAnsi="Arial"/>
          <w:i w:val="1"/>
          <w:iCs w:val="1"/>
          <w:rtl w:val="0"/>
        </w:rPr>
        <w:t xml:space="preserve">Correlation ID</w:t>
      </w:r>
      <w:r w:rsidDel="00000000" w:rsidR="00000000" w:rsidRPr="00000000">
        <w:rPr>
          <w:rFonts w:ascii="Arial" w:cs="Arial" w:eastAsia="Arial" w:hAnsi="Arial"/>
          <w:rtl w:val="0"/>
        </w:rPr>
        <w:t xml:space="preserve"> permet d'isoler graphiquement le cheminement d'une requête échouée sous forme de graphe orienté d'appels (</w:t>
      </w:r>
      <w:r w:rsidDel="00000000" w:rsidR="00000000" w:rsidRPr="00000000">
        <w:rPr>
          <w:rFonts w:ascii="Arial" w:cs="Arial" w:eastAsia="Arial" w:hAnsi="Arial"/>
          <w:i w:val="1"/>
          <w:iCs w:val="1"/>
          <w:rtl w:val="0"/>
        </w:rPr>
        <w:t xml:space="preserve">Spans</w:t>
      </w:r>
      <w:r w:rsidDel="00000000" w:rsidR="00000000" w:rsidRPr="00000000">
        <w:rPr>
          <w:rFonts w:ascii="Arial" w:cs="Arial" w:eastAsia="Arial" w:hAnsi="Arial"/>
          <w:rtl w:val="0"/>
        </w:rPr>
        <w:t xml:space="preserve">). La localisation de l'erreur en cascade devient quasi instantanée.</w:t>
      </w:r>
    </w:p>
    <w:p w:rsidR="00000000" w:rsidDel="00000000" w:rsidP="00000000" w:rsidRDefault="00000000" w:rsidRPr="00000000" w14:paraId="00000182">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Techniquement, l'implémentation de ce dispositif permet de diviser par un facteur supérieur à 5 le temps de diagnostic, faisant chuter le T_localisation de plusieurs heures à quelques minutes. Le gain opérationnel se traduit par une minimisation du coût du downtime et une préservation immédiate des engagements de disponibilité de la plateforme.</w:t>
      </w:r>
    </w:p>
    <w:p w:rsidR="00000000" w:rsidDel="00000000" w:rsidP="00000000" w:rsidRDefault="00000000" w:rsidRPr="00000000" w14:paraId="00000183">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184">
      <w:pPr>
        <w:ind w:left="0" w:firstLine="0"/>
        <w:jc w:val="both"/>
        <w:rPr>
          <w:b w:val="1"/>
          <w:bCs w:val="1"/>
        </w:rPr>
      </w:pP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b w:val="1"/>
          <w:bCs w:val="1"/>
        </w:rPr>
      </w:pPr>
      <w:r w:rsidDel="00000000" w:rsidR="00000000" w:rsidRPr="00000000">
        <w:rPr>
          <w:rtl w:val="0"/>
        </w:rPr>
      </w:r>
    </w:p>
    <w:p w:rsidR="00000000" w:rsidDel="00000000" w:rsidP="00000000" w:rsidRDefault="00000000" w:rsidRPr="00000000" w14:paraId="00000187">
      <w:pPr>
        <w:jc w:val="both"/>
        <w:rPr>
          <w:b w:val="1"/>
          <w:bCs w:val="1"/>
        </w:rPr>
      </w:pPr>
      <w:r w:rsidDel="00000000" w:rsidR="00000000" w:rsidRPr="00000000">
        <w:rPr>
          <w:rtl w:val="0"/>
        </w:rPr>
      </w:r>
    </w:p>
    <w:p w:rsidR="00000000" w:rsidDel="00000000" w:rsidP="00000000" w:rsidRDefault="00000000" w:rsidRPr="00000000" w14:paraId="00000188">
      <w:pPr>
        <w:jc w:val="both"/>
        <w:rPr>
          <w:b w:val="1"/>
          <w:bCs w:val="1"/>
        </w:rPr>
      </w:pPr>
      <w:r w:rsidDel="00000000" w:rsidR="00000000" w:rsidRPr="00000000">
        <w:rPr>
          <w:rtl w:val="0"/>
        </w:rPr>
      </w:r>
    </w:p>
    <w:p w:rsidR="00000000" w:rsidDel="00000000" w:rsidP="00000000" w:rsidRDefault="00000000" w:rsidRPr="00000000" w14:paraId="00000189">
      <w:pPr>
        <w:jc w:val="both"/>
        <w:rPr>
          <w:b w:val="1"/>
          <w:bCs w:val="1"/>
        </w:rPr>
      </w:pPr>
      <w:r w:rsidDel="00000000" w:rsidR="00000000" w:rsidRPr="00000000">
        <w:rPr>
          <w:rtl w:val="0"/>
        </w:rPr>
      </w:r>
    </w:p>
    <w:p w:rsidR="00000000" w:rsidDel="00000000" w:rsidP="00000000" w:rsidRDefault="00000000" w:rsidRPr="00000000" w14:paraId="0000018A">
      <w:pPr>
        <w:jc w:val="both"/>
        <w:rPr>
          <w:b w:val="1"/>
          <w:bCs w:val="1"/>
        </w:rPr>
      </w:pPr>
      <w:r w:rsidDel="00000000" w:rsidR="00000000" w:rsidRPr="00000000">
        <w:rPr>
          <w:rtl w:val="0"/>
        </w:rPr>
      </w:r>
    </w:p>
    <w:p w:rsidR="00000000" w:rsidDel="00000000" w:rsidP="00000000" w:rsidRDefault="00000000" w:rsidRPr="00000000" w14:paraId="0000018B">
      <w:pPr>
        <w:jc w:val="both"/>
        <w:rPr>
          <w:b w:val="1"/>
          <w:bCs w:val="1"/>
        </w:rPr>
      </w:pPr>
      <w:r w:rsidDel="00000000" w:rsidR="00000000" w:rsidRPr="00000000">
        <w:rPr>
          <w:rtl w:val="0"/>
        </w:rPr>
      </w:r>
    </w:p>
    <w:p w:rsidR="00000000" w:rsidDel="00000000" w:rsidP="00000000" w:rsidRDefault="00000000" w:rsidRPr="00000000" w14:paraId="0000018C">
      <w:pPr>
        <w:jc w:val="both"/>
        <w:rPr>
          <w:b w:val="1"/>
          <w:bCs w:val="1"/>
        </w:rPr>
      </w:pPr>
      <w:r w:rsidDel="00000000" w:rsidR="00000000" w:rsidRPr="00000000">
        <w:rPr>
          <w:rtl w:val="0"/>
        </w:rPr>
      </w:r>
    </w:p>
    <w:p w:rsidR="00000000" w:rsidDel="00000000" w:rsidP="00000000" w:rsidRDefault="00000000" w:rsidRPr="00000000" w14:paraId="0000018D">
      <w:pPr>
        <w:jc w:val="both"/>
        <w:rPr>
          <w:b w:val="1"/>
          <w:bCs w:val="1"/>
        </w:rPr>
      </w:pPr>
      <w:r w:rsidDel="00000000" w:rsidR="00000000" w:rsidRPr="00000000">
        <w:rPr>
          <w:rtl w:val="0"/>
        </w:rPr>
      </w:r>
    </w:p>
    <w:p w:rsidR="00000000" w:rsidDel="00000000" w:rsidP="00000000" w:rsidRDefault="00000000" w:rsidRPr="00000000" w14:paraId="0000018E">
      <w:pPr>
        <w:jc w:val="both"/>
        <w:rPr>
          <w:b w:val="1"/>
          <w:bCs w:val="1"/>
        </w:rPr>
      </w:pPr>
      <w:r w:rsidDel="00000000" w:rsidR="00000000" w:rsidRPr="00000000">
        <w:rPr>
          <w:rtl w:val="0"/>
        </w:rPr>
      </w:r>
    </w:p>
    <w:p w:rsidR="00000000" w:rsidDel="00000000" w:rsidP="00000000" w:rsidRDefault="00000000" w:rsidRPr="00000000" w14:paraId="0000018F">
      <w:pPr>
        <w:jc w:val="both"/>
        <w:rPr>
          <w:b w:val="1"/>
          <w:bCs w:val="1"/>
        </w:rPr>
      </w:pPr>
      <w:r w:rsidDel="00000000" w:rsidR="00000000" w:rsidRPr="00000000">
        <w:rPr>
          <w:rtl w:val="0"/>
        </w:rPr>
      </w:r>
    </w:p>
    <w:p w:rsidR="00000000" w:rsidDel="00000000" w:rsidP="00000000" w:rsidRDefault="00000000" w:rsidRPr="00000000" w14:paraId="00000190">
      <w:pPr>
        <w:jc w:val="both"/>
        <w:rPr>
          <w:b w:val="1"/>
          <w:bCs w:val="1"/>
        </w:rPr>
      </w:pPr>
      <w:r w:rsidDel="00000000" w:rsidR="00000000" w:rsidRPr="00000000">
        <w:rPr>
          <w:rtl w:val="0"/>
        </w:rPr>
      </w:r>
    </w:p>
    <w:p w:rsidR="00000000" w:rsidDel="00000000" w:rsidP="00000000" w:rsidRDefault="00000000" w:rsidRPr="00000000" w14:paraId="00000191">
      <w:pPr>
        <w:jc w:val="both"/>
        <w:rPr>
          <w:b w:val="1"/>
          <w:bCs w:val="1"/>
        </w:rPr>
      </w:pPr>
      <w:r w:rsidDel="00000000" w:rsidR="00000000" w:rsidRPr="00000000">
        <w:rPr>
          <w:rtl w:val="0"/>
        </w:rPr>
      </w:r>
    </w:p>
    <w:p w:rsidR="00000000" w:rsidDel="00000000" w:rsidP="00000000" w:rsidRDefault="00000000" w:rsidRPr="00000000" w14:paraId="00000192">
      <w:pPr>
        <w:jc w:val="both"/>
        <w:rPr>
          <w:b w:val="1"/>
          <w:bCs w:val="1"/>
        </w:rPr>
      </w:pPr>
      <w:r w:rsidDel="00000000" w:rsidR="00000000" w:rsidRPr="00000000">
        <w:rPr>
          <w:rtl w:val="0"/>
        </w:rPr>
      </w:r>
    </w:p>
    <w:p w:rsidR="00000000" w:rsidDel="00000000" w:rsidP="00000000" w:rsidRDefault="00000000" w:rsidRPr="00000000" w14:paraId="00000193">
      <w:pPr>
        <w:pStyle w:val="Heading1"/>
        <w:jc w:val="both"/>
        <w:rPr/>
      </w:pPr>
      <w:bookmarkStart w:colFirst="0" w:colLast="0" w:name="_heading=h.7ozqqye1edhs" w:id="38"/>
      <w:bookmarkEnd w:id="38"/>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pStyle w:val="Heading1"/>
        <w:jc w:val="both"/>
        <w:rPr/>
      </w:pPr>
      <w:bookmarkStart w:colFirst="0" w:colLast="0" w:name="_heading=h.tl96rzqg6frj" w:id="39"/>
      <w:bookmarkEnd w:id="39"/>
      <w:r w:rsidDel="00000000" w:rsidR="00000000" w:rsidRPr="00000000">
        <w:rPr>
          <w:rtl w:val="0"/>
        </w:rPr>
        <w:t xml:space="preserve">Partie III : Pilotage de projet et gestion d’équipe</w:t>
      </w:r>
    </w:p>
    <w:p w:rsidR="00000000" w:rsidDel="00000000" w:rsidP="00000000" w:rsidRDefault="00000000" w:rsidRPr="00000000" w14:paraId="00000197">
      <w:pPr>
        <w:pStyle w:val="Heading2"/>
        <w:numPr>
          <w:ilvl w:val="0"/>
          <w:numId w:val="9"/>
        </w:numPr>
        <w:ind w:left="720" w:hanging="360"/>
        <w:jc w:val="both"/>
        <w:rPr/>
      </w:pPr>
      <w:bookmarkStart w:colFirst="0" w:colLast="0" w:name="_heading=h.9h8fe9q7vs7" w:id="40"/>
      <w:bookmarkEnd w:id="40"/>
      <w:r w:rsidDel="00000000" w:rsidR="00000000" w:rsidRPr="00000000">
        <w:rPr>
          <w:rtl w:val="0"/>
        </w:rPr>
        <w:t xml:space="preserve">1. Planification et stratégie de migration :</w:t>
      </w:r>
    </w:p>
    <w:p w:rsidR="00000000" w:rsidDel="00000000" w:rsidP="00000000" w:rsidRDefault="00000000" w:rsidRPr="00000000" w14:paraId="00000198">
      <w:pPr>
        <w:ind w:firstLine="720"/>
        <w:jc w:val="both"/>
        <w:rPr/>
      </w:pPr>
      <w:r w:rsidDel="00000000" w:rsidR="00000000" w:rsidRPr="00000000">
        <w:rPr>
          <w:rtl w:val="0"/>
        </w:rPr>
        <w:t xml:space="preserve">La réussite technique d'une architecture distribuée est vaine si l'exécution du projet paralyse l'activité de l'entreprise. La planification de la migration doit concilier deux impératifs absolus : ne jamais interrompre le service utilisateur et continuer à délivrer de la valeur métier. </w:t>
      </w:r>
    </w:p>
    <w:p w:rsidR="00000000" w:rsidDel="00000000" w:rsidP="00000000" w:rsidRDefault="00000000" w:rsidRPr="00000000" w14:paraId="00000199">
      <w:pPr>
        <w:numPr>
          <w:ilvl w:val="1"/>
          <w:numId w:val="9"/>
        </w:numPr>
        <w:ind w:left="1440" w:hanging="360"/>
        <w:jc w:val="both"/>
        <w:rPr>
          <w:b w:val="1"/>
          <w:bCs w:val="1"/>
        </w:rPr>
      </w:pPr>
      <w:r w:rsidDel="00000000" w:rsidR="00000000" w:rsidRPr="00000000">
        <w:rPr>
          <w:b w:val="1"/>
          <w:bCs w:val="1"/>
          <w:rtl w:val="0"/>
        </w:rPr>
        <w:t xml:space="preserve">Choix de la stratégie de découpage : Le "Strangler Fig Pattern" (remplacement progressif) vs "Big Bang".</w:t>
      </w:r>
      <w:r w:rsidDel="00000000" w:rsidR="00000000" w:rsidRPr="00000000">
        <w:rPr>
          <w:rtl w:val="0"/>
        </w:rPr>
      </w:r>
    </w:p>
    <w:p w:rsidR="00000000" w:rsidDel="00000000" w:rsidP="00000000" w:rsidRDefault="00000000" w:rsidRPr="00000000" w14:paraId="0000019A">
      <w:pPr>
        <w:jc w:val="both"/>
        <w:rPr/>
      </w:pPr>
      <w:r w:rsidDel="00000000" w:rsidR="00000000" w:rsidRPr="00000000">
        <w:rPr>
          <w:b w:val="1"/>
          <w:bCs w:val="1"/>
          <w:rtl w:val="0"/>
        </w:rPr>
        <w:t xml:space="preserve">L'impasse de l'approche "Big Bang" :</w:t>
      </w:r>
      <w:r w:rsidDel="00000000" w:rsidR="00000000" w:rsidRPr="00000000">
        <w:rPr>
          <w:rtl w:val="0"/>
        </w:rPr>
        <w:t xml:space="preserve"> Cette méthode consiste à recréer l'intégralité de l'application en micro-services dans l'ombre, puis à basculer tout le trafic en une seule fois. Cette approche est à proscrire dans le cadre d'un objectif de continuité de service. Elle oblige l'entreprise à geler les nouvelles fonctionnalités du monolithe (</w:t>
      </w:r>
      <w:r w:rsidDel="00000000" w:rsidR="00000000" w:rsidRPr="00000000">
        <w:rPr>
          <w:i w:val="1"/>
          <w:iCs w:val="1"/>
          <w:rtl w:val="0"/>
        </w:rPr>
        <w:t xml:space="preserve">feature freeze</w:t>
      </w:r>
      <w:r w:rsidDel="00000000" w:rsidR="00000000" w:rsidRPr="00000000">
        <w:rPr>
          <w:rtl w:val="0"/>
        </w:rPr>
        <w:t xml:space="preserve">) pendant des mois, accumule les risques d'intégration massive et rend le risque de régression critique lors de la bascule finale inévitable.</w:t>
      </w:r>
    </w:p>
    <w:p w:rsidR="00000000" w:rsidDel="00000000" w:rsidP="00000000" w:rsidRDefault="00000000" w:rsidRPr="00000000" w14:paraId="0000019B">
      <w:pPr>
        <w:jc w:val="both"/>
        <w:rPr/>
      </w:pPr>
      <w:r w:rsidDel="00000000" w:rsidR="00000000" w:rsidRPr="00000000">
        <w:rPr>
          <w:b w:val="1"/>
          <w:bCs w:val="1"/>
          <w:rtl w:val="0"/>
        </w:rPr>
        <w:t xml:space="preserve">La solution cible : Le "Strangler Fig Pattern" (Motif de l'Étrangleur) :</w:t>
      </w:r>
      <w:r w:rsidDel="00000000" w:rsidR="00000000" w:rsidRPr="00000000">
        <w:rPr>
          <w:rtl w:val="0"/>
        </w:rPr>
        <w:t xml:space="preserve"> C'est la méthode de référence pour une migration sans friction. En s'appuyant sur le </w:t>
      </w:r>
      <w:r w:rsidDel="00000000" w:rsidR="00000000" w:rsidRPr="00000000">
        <w:rPr>
          <w:i w:val="1"/>
          <w:iCs w:val="1"/>
          <w:rtl w:val="0"/>
        </w:rPr>
        <w:t xml:space="preserve">Reverse Proxy</w:t>
      </w:r>
      <w:r w:rsidDel="00000000" w:rsidR="00000000" w:rsidRPr="00000000">
        <w:rPr>
          <w:rtl w:val="0"/>
        </w:rPr>
        <w:t xml:space="preserve"> (défini dans l'architecture cible pragmatique), le trafic est redirigé de manière granulaire. Le monolithe continue de traiter la majorité des requêtes. Lorsqu'un domaine fonctionnel est extrait et conteneurisé (ex: "Facturation"), le </w:t>
      </w:r>
      <w:r w:rsidDel="00000000" w:rsidR="00000000" w:rsidRPr="00000000">
        <w:rPr>
          <w:i w:val="1"/>
          <w:iCs w:val="1"/>
          <w:rtl w:val="0"/>
        </w:rPr>
        <w:t xml:space="preserve">Reverse Proxy</w:t>
      </w:r>
      <w:r w:rsidDel="00000000" w:rsidR="00000000" w:rsidRPr="00000000">
        <w:rPr>
          <w:rtl w:val="0"/>
        </w:rPr>
        <w:t xml:space="preserve"> intercepte les requêtes correspondantes et les route vers le nouveau micro-service. Le monolithe est ainsi découpé et "étranglé" module par module, de façon totalement transparente pour l'utilisateur final.</w:t>
      </w:r>
    </w:p>
    <w:p w:rsidR="00000000" w:rsidDel="00000000" w:rsidP="00000000" w:rsidRDefault="00000000" w:rsidRPr="00000000" w14:paraId="0000019C">
      <w:pPr>
        <w:jc w:val="both"/>
        <w:rPr/>
      </w:pPr>
      <w:r w:rsidDel="00000000" w:rsidR="00000000" w:rsidRPr="00000000">
        <w:rPr>
          <w:rtl w:val="0"/>
        </w:rPr>
        <w:t xml:space="preserve">Dans un milieu avec des évolutions constantes de la réglementation et le besoin d’amélioration pour rester au niveau de la concurrence, il est primordial de choisir la meilleure option qui va se décider en fonction de plusieurs sujets :</w:t>
      </w:r>
    </w:p>
    <w:p w:rsidR="00000000" w:rsidDel="00000000" w:rsidP="00000000" w:rsidRDefault="00000000" w:rsidRPr="00000000" w14:paraId="0000019D">
      <w:pPr>
        <w:jc w:val="both"/>
        <w:rPr/>
      </w:pPr>
      <w:r w:rsidDel="00000000" w:rsidR="00000000" w:rsidRPr="00000000">
        <w:rPr>
          <w:rtl w:val="0"/>
        </w:rPr>
        <w:t xml:space="preserve">La taille des équipes de développement est la variable la plus importante à regarder pour faire le choix, une entreprise composée de plusieurs équipes et avec des compétences sur plusieurs technos est très avantageux pour pouvoir se permettre une approche Big Bang en consacrant la majorité des équipes sur la nouvelle application tout en pouvant garder une équipe de maintenance sur l’application qui va passer en “Legacy”. Durant la phase de développement de cette nouvelle application, la team Legacy va s’occuper de résoudre des bugs afin de garantir que l’application continue de tourner sans problème apparent, mais elle va également pouvoir développer de petites features afin de rester dans la course aux projets pour l’entreprise.</w:t>
      </w:r>
    </w:p>
    <w:p w:rsidR="00000000" w:rsidDel="00000000" w:rsidP="00000000" w:rsidRDefault="00000000" w:rsidRPr="00000000" w14:paraId="0000019E">
      <w:pPr>
        <w:jc w:val="both"/>
        <w:rPr/>
      </w:pPr>
      <w:r w:rsidDel="00000000" w:rsidR="00000000" w:rsidRPr="00000000">
        <w:rPr>
          <w:rtl w:val="0"/>
        </w:rPr>
        <w:t xml:space="preserve">Dans le cas d’une équipe réduite de moins de dix développeurs, il peut être judicieux de choisir la solution “Stangler Fig Pattern”, elle impose d’avoir une vision long terme car une configurations complémentaire et complexe vient s’ajouter et demande donc certaines compétences techniques à l’équipe afin de mettre en place la redirection des requêtes vers plusieurs service différents en parallèle. On admet aussi par cette option que le développement de la nouvelle application sera long et prendra plusieurs mois ou années car l’objectif étant de se laisser la possibilité de continuer à ajouter quelque feature qui serait indispensable sur le moment dans le monolithe. L’équipe devra donc faire pendant tout ce temps avec plusieurs technos en même temps ce qui n’est pas facile et demande beaucoup de connaissance et de rigueur pour suivre les normes des différents projets.</w:t>
      </w:r>
    </w:p>
    <w:p w:rsidR="00000000" w:rsidDel="00000000" w:rsidP="00000000" w:rsidRDefault="00000000" w:rsidRPr="00000000" w14:paraId="0000019F">
      <w:pPr>
        <w:pStyle w:val="Heading3"/>
        <w:rPr/>
      </w:pPr>
      <w:bookmarkStart w:colFirst="0" w:colLast="0" w:name="_heading=h.dpmxc619jfqm" w:id="41"/>
      <w:bookmarkEnd w:id="41"/>
      <w:r w:rsidDel="00000000" w:rsidR="00000000" w:rsidRPr="00000000">
        <w:rPr>
          <w:b w:val="1"/>
          <w:bCs w:val="1"/>
          <w:rtl w:val="0"/>
        </w:rPr>
        <w:t xml:space="preserve">Stratégie de Migration des Données : Gestion de la dualité et retour arrière</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La période de transition, où le monolithe et les nouveaux micro-services cohabitent, constitue le risque majeur de désynchronisation.</w:t>
      </w:r>
    </w:p>
    <w:p w:rsidR="00000000" w:rsidDel="00000000" w:rsidP="00000000" w:rsidRDefault="00000000" w:rsidRPr="00000000" w14:paraId="000001A1">
      <w:pPr>
        <w:rPr/>
      </w:pPr>
      <w:r w:rsidDel="00000000" w:rsidR="00000000" w:rsidRPr="00000000">
        <w:rPr>
          <w:b w:val="1"/>
          <w:bCs w:val="1"/>
          <w:rtl w:val="0"/>
        </w:rPr>
        <w:t xml:space="preserve">La dualité des bases de données et le risque de divergence :</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Pendant la migration, il est fréquent que les deux systèmes doivent accéder aux mêmes données. La méthode du "double écriture" (écrire simultanément dans l'ancienne et la nouvelle base) est à éviter car elle crée un risque élevé d'incohérence si l'une des deux écritures échoue. La solution recommandée est la </w:t>
      </w:r>
      <w:r w:rsidDel="00000000" w:rsidR="00000000" w:rsidRPr="00000000">
        <w:rPr>
          <w:b w:val="1"/>
          <w:bCs w:val="1"/>
          <w:rtl w:val="0"/>
        </w:rPr>
        <w:t xml:space="preserve">Capture de changements de données</w:t>
      </w:r>
      <w:r w:rsidDel="00000000" w:rsidR="00000000" w:rsidRPr="00000000">
        <w:rPr>
          <w:rtl w:val="0"/>
        </w:rPr>
        <w:t xml:space="preserve"> (ou </w:t>
      </w:r>
      <w:r w:rsidDel="00000000" w:rsidR="00000000" w:rsidRPr="00000000">
        <w:rPr>
          <w:i w:val="1"/>
          <w:iCs w:val="1"/>
          <w:rtl w:val="0"/>
        </w:rPr>
        <w:t xml:space="preserve">Change Data Capture - CDC</w:t>
      </w:r>
      <w:r w:rsidDel="00000000" w:rsidR="00000000" w:rsidRPr="00000000">
        <w:rPr>
          <w:rtl w:val="0"/>
        </w:rPr>
        <w:t xml:space="preserve">). Un outil comme Debezium surveille les journaux de transaction de la base initiale et réplique les modifications en temps réel vers la nouvelle base. Le système d'origine reste la source unique de vérité jusqu'à ce que le nouveau service soit pleinement opérationnel et validé.</w:t>
      </w:r>
    </w:p>
    <w:p w:rsidR="00000000" w:rsidDel="00000000" w:rsidP="00000000" w:rsidRDefault="00000000" w:rsidRPr="00000000" w14:paraId="000001A3">
      <w:pPr>
        <w:rPr/>
      </w:pPr>
      <w:r w:rsidDel="00000000" w:rsidR="00000000" w:rsidRPr="00000000">
        <w:rPr>
          <w:b w:val="1"/>
          <w:bCs w:val="1"/>
          <w:rtl w:val="0"/>
        </w:rPr>
        <w:t xml:space="preserve">Stratégie de retour arrière (rollback) en production :</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Dans un environnement visant une haute disponibilité, une restauration complète de sauvegarde est exclue car elle interrompt le service. Nous privilégions la "correction en avant" (ou </w:t>
      </w:r>
      <w:r w:rsidDel="00000000" w:rsidR="00000000" w:rsidRPr="00000000">
        <w:rPr>
          <w:i w:val="1"/>
          <w:iCs w:val="1"/>
          <w:rtl w:val="0"/>
        </w:rPr>
        <w:t xml:space="preserve">fix-forward</w:t>
      </w:r>
      <w:r w:rsidDel="00000000" w:rsidR="00000000" w:rsidRPr="00000000">
        <w:rPr>
          <w:rtl w:val="0"/>
        </w:rPr>
        <w:t xml:space="preserve">) :</w:t>
      </w:r>
    </w:p>
    <w:p w:rsidR="00000000" w:rsidDel="00000000" w:rsidP="00000000" w:rsidRDefault="00000000" w:rsidRPr="00000000" w14:paraId="000001A5">
      <w:pPr>
        <w:numPr>
          <w:ilvl w:val="0"/>
          <w:numId w:val="9"/>
        </w:numPr>
        <w:ind w:left="720" w:hanging="360"/>
      </w:pPr>
      <w:r w:rsidDel="00000000" w:rsidR="00000000" w:rsidRPr="00000000">
        <w:rPr>
          <w:b w:val="1"/>
          <w:bCs w:val="1"/>
          <w:rtl w:val="0"/>
        </w:rPr>
        <w:t xml:space="preserve">Rétrocompatibilité des schémas :</w:t>
      </w:r>
      <w:r w:rsidDel="00000000" w:rsidR="00000000" w:rsidRPr="00000000">
        <w:rPr>
          <w:rtl w:val="0"/>
        </w:rPr>
        <w:t xml:space="preserve"> Les modifications de bases de données doivent être cumulatives (ajout de colonnes sans suppression des anciennes). Cela permet au code existant de continuer à fonctionner même après une mise à jour de structure.</w:t>
      </w:r>
    </w:p>
    <w:p w:rsidR="00000000" w:rsidDel="00000000" w:rsidP="00000000" w:rsidRDefault="00000000" w:rsidRPr="00000000" w14:paraId="000001A6">
      <w:pPr>
        <w:numPr>
          <w:ilvl w:val="0"/>
          <w:numId w:val="9"/>
        </w:numPr>
        <w:ind w:left="720" w:hanging="360"/>
      </w:pPr>
      <w:r w:rsidDel="00000000" w:rsidR="00000000" w:rsidRPr="00000000">
        <w:rPr>
          <w:b w:val="1"/>
          <w:bCs w:val="1"/>
          <w:rtl w:val="0"/>
        </w:rPr>
        <w:t xml:space="preserve">Basculeurs de fonctionnalités (ou </w:t>
      </w:r>
      <w:r w:rsidDel="00000000" w:rsidR="00000000" w:rsidRPr="00000000">
        <w:rPr>
          <w:b w:val="1"/>
          <w:bCs w:val="1"/>
          <w:i w:val="1"/>
          <w:iCs w:val="1"/>
          <w:rtl w:val="0"/>
        </w:rPr>
        <w:t xml:space="preserve">Feature Flags</w:t>
      </w:r>
      <w:r w:rsidDel="00000000" w:rsidR="00000000" w:rsidRPr="00000000">
        <w:rPr>
          <w:b w:val="1"/>
          <w:bCs w:val="1"/>
          <w:rtl w:val="0"/>
        </w:rPr>
        <w:t xml:space="preserve">) :</w:t>
      </w:r>
      <w:r w:rsidDel="00000000" w:rsidR="00000000" w:rsidRPr="00000000">
        <w:rPr>
          <w:rtl w:val="0"/>
        </w:rPr>
        <w:t xml:space="preserve"> En cas d'échec du nouveau micro-service, nous n'annulons pas la transaction de données. Nous utilisons des basculeurs qui permettent de désactiver instantanément l'accès au nouveau module pour rediriger le trafic vers l'ancien système, lequel contient toujours les données synchronisées.</w:t>
      </w:r>
    </w:p>
    <w:p w:rsidR="00000000" w:rsidDel="00000000" w:rsidP="00000000" w:rsidRDefault="00000000" w:rsidRPr="00000000" w14:paraId="000001A7">
      <w:pPr>
        <w:numPr>
          <w:ilvl w:val="0"/>
          <w:numId w:val="9"/>
        </w:numPr>
        <w:ind w:left="720" w:hanging="360"/>
      </w:pPr>
      <w:r w:rsidDel="00000000" w:rsidR="00000000" w:rsidRPr="00000000">
        <w:rPr>
          <w:b w:val="1"/>
          <w:bCs w:val="1"/>
          <w:rtl w:val="0"/>
        </w:rPr>
        <w:t xml:space="preserve">Réconciliation logique :</w:t>
      </w:r>
      <w:r w:rsidDel="00000000" w:rsidR="00000000" w:rsidRPr="00000000">
        <w:rPr>
          <w:rtl w:val="0"/>
        </w:rPr>
        <w:t xml:space="preserve"> Si une légère divergence apparaît, des scripts d'arrière-plan (jobs asynchrones) comparent les deux bases pour corriger les écarts sans interrompre l'activité des utilisateurs.</w:t>
      </w:r>
    </w:p>
    <w:p w:rsidR="00000000" w:rsidDel="00000000" w:rsidP="00000000" w:rsidRDefault="00000000" w:rsidRPr="00000000" w14:paraId="000001A8">
      <w:pPr>
        <w:pStyle w:val="Heading2"/>
        <w:numPr>
          <w:ilvl w:val="0"/>
          <w:numId w:val="9"/>
        </w:numPr>
        <w:ind w:left="720" w:hanging="360"/>
        <w:rPr/>
      </w:pPr>
      <w:bookmarkStart w:colFirst="0" w:colLast="0" w:name="_heading=h.jl5b58wxf2py" w:id="42"/>
      <w:bookmarkEnd w:id="42"/>
      <w:r w:rsidDel="00000000" w:rsidR="00000000" w:rsidRPr="00000000">
        <w:rPr>
          <w:rtl w:val="0"/>
        </w:rPr>
        <w:t xml:space="preserve">2</w:t>
      </w:r>
      <w:r w:rsidDel="00000000" w:rsidR="00000000" w:rsidRPr="00000000">
        <w:rPr>
          <w:rtl w:val="0"/>
        </w:rPr>
        <w:t xml:space="preserve">. Implémentation technique de la gestion des secrets</w:t>
      </w:r>
      <w:r w:rsidDel="00000000" w:rsidR="00000000" w:rsidRPr="00000000">
        <w:rPr>
          <w:rtl w:val="0"/>
        </w:rPr>
      </w:r>
    </w:p>
    <w:p w:rsidR="00000000" w:rsidDel="00000000" w:rsidP="00000000" w:rsidRDefault="00000000" w:rsidRPr="00000000" w14:paraId="000001A9">
      <w:pPr>
        <w:jc w:val="both"/>
        <w:rPr/>
      </w:pPr>
      <w:r w:rsidDel="00000000" w:rsidR="00000000" w:rsidRPr="00000000">
        <w:rPr>
          <w:rtl w:val="0"/>
        </w:rPr>
        <w:t xml:space="preserve">L'implémentation opérationnelle repose sur le déploiement d'une instance Infisical orchestrée via docker-compose, garantissant une configuration reproductible. La procédure débute par la définition d'un projet par Bounded Context, suivi de la création des environnements standards (Dev, Staging, Prod). La migration des secrets legacy vers Infisical est réalisée par une importation sécurisée des variables existantes, suivie d'une phase de nettoyage des fichiers .env locaux. Pour les micro-services, l'injection des secrets s'effectue dynamiquement au démarrage des conteneurs, soit via l'agent Infisical qui expose les variables en mémoire, soit via le SDK applicatif, évitant ainsi tout stockage persistant de secrets en clair sur le disque. Cette méthode garantit une gestion cohérente et autorise la rotation rapide des secrets sans redéploiement complet des services. Ce workflow permet aux développeurs de bénéficier d'une expérience de développement identique à la production (via le CLI Infisical), tout en assurant que chaque micro-service dispose uniquement des accès strictement nécessaires, conformément au principe du moindre privilège, garantissant ainsi une sécurité maximale tout au long du cycle de vie du projet.</w:t>
      </w:r>
    </w:p>
    <w:p w:rsidR="00000000" w:rsidDel="00000000" w:rsidP="00000000" w:rsidRDefault="00000000" w:rsidRPr="00000000" w14:paraId="000001AA">
      <w:pPr>
        <w:ind w:left="0" w:firstLine="0"/>
        <w:jc w:val="both"/>
        <w:rPr/>
      </w:pPr>
      <w:r w:rsidDel="00000000" w:rsidR="00000000" w:rsidRPr="00000000">
        <w:rPr>
          <w:rtl w:val="0"/>
        </w:rPr>
      </w:r>
    </w:p>
    <w:p w:rsidR="00000000" w:rsidDel="00000000" w:rsidP="00000000" w:rsidRDefault="00000000" w:rsidRPr="00000000" w14:paraId="000001AB">
      <w:pPr>
        <w:spacing w:after="240" w:before="240" w:lineRule="auto"/>
        <w:jc w:val="both"/>
        <w:rPr/>
      </w:pPr>
      <w:r w:rsidDel="00000000" w:rsidR="00000000" w:rsidRPr="00000000">
        <w:rPr>
          <w:rtl w:val="0"/>
        </w:rPr>
        <w:t xml:space="preserve">Le défi managérial majeur d'une telle transition réside dans l'allocation des ressources. L'organisation ne peut pas se permettre d'abandonner le monolithe en cours de route, car c'est ce système (</w:t>
      </w:r>
      <w:r w:rsidDel="00000000" w:rsidR="00000000" w:rsidRPr="00000000">
        <w:rPr>
          <w:i w:val="1"/>
          <w:iCs w:val="1"/>
          <w:rtl w:val="0"/>
        </w:rPr>
        <w:t xml:space="preserve">legacy</w:t>
      </w:r>
      <w:r w:rsidDel="00000000" w:rsidR="00000000" w:rsidRPr="00000000">
        <w:rPr>
          <w:rtl w:val="0"/>
        </w:rPr>
        <w:t xml:space="preserve">) qui génère le chiffre d'affaires actuel et maintient les engagements de service (SLA).</w:t>
      </w:r>
    </w:p>
    <w:p w:rsidR="00000000" w:rsidDel="00000000" w:rsidP="00000000" w:rsidRDefault="00000000" w:rsidRPr="00000000" w14:paraId="000001AC">
      <w:pPr>
        <w:numPr>
          <w:ilvl w:val="0"/>
          <w:numId w:val="9"/>
        </w:numPr>
        <w:spacing w:after="0" w:afterAutospacing="0" w:before="240" w:lineRule="auto"/>
        <w:ind w:left="720" w:hanging="360"/>
        <w:jc w:val="both"/>
      </w:pPr>
      <w:r w:rsidDel="00000000" w:rsidR="00000000" w:rsidRPr="00000000">
        <w:rPr>
          <w:b w:val="1"/>
          <w:bCs w:val="1"/>
          <w:rtl w:val="0"/>
        </w:rPr>
        <w:t xml:space="preserve">Prévenir la scission des équipes :</w:t>
      </w:r>
      <w:r w:rsidDel="00000000" w:rsidR="00000000" w:rsidRPr="00000000">
        <w:rPr>
          <w:rtl w:val="0"/>
        </w:rPr>
        <w:t xml:space="preserve"> Il est déconseillé de créer une ségrégation stricte entre une équipe "Monolithe" (souvent perçue comme reléguée à une maintenance ingrate) et une équipe "Innovation" chargée des micro-services. Cette division génère une fuite des talents, une baisse de la qualité sur le système en production et une perte de la connaissance fonctionnelle globale.</w:t>
      </w:r>
    </w:p>
    <w:p w:rsidR="00000000" w:rsidDel="00000000" w:rsidP="00000000" w:rsidRDefault="00000000" w:rsidRPr="00000000" w14:paraId="000001AD">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La sanctuarisation du code existant :</w:t>
      </w:r>
      <w:r w:rsidDel="00000000" w:rsidR="00000000" w:rsidRPr="00000000">
        <w:rPr>
          <w:rtl w:val="0"/>
        </w:rPr>
        <w:t xml:space="preserve"> Pour libérer de la bande passante, le monolithe doit entrer en phase de maintenance stricte. L'équipe n'y déploie plus que les correctifs de sécurité et la résolution de bugs critiques. Même si dans les fait les équipes vont probablement continuer à développer de nouvelles features commander en urgence par les directeurs de l’entreprise.</w:t>
      </w:r>
    </w:p>
    <w:p w:rsidR="00000000" w:rsidDel="00000000" w:rsidP="00000000" w:rsidRDefault="00000000" w:rsidRPr="00000000" w14:paraId="000001AE">
      <w:pPr>
        <w:numPr>
          <w:ilvl w:val="0"/>
          <w:numId w:val="9"/>
        </w:numPr>
        <w:spacing w:after="240" w:before="0" w:beforeAutospacing="0" w:lineRule="auto"/>
        <w:ind w:left="720" w:hanging="360"/>
        <w:jc w:val="both"/>
      </w:pPr>
      <w:r w:rsidDel="00000000" w:rsidR="00000000" w:rsidRPr="00000000">
        <w:rPr>
          <w:b w:val="1"/>
          <w:bCs w:val="1"/>
          <w:rtl w:val="0"/>
        </w:rPr>
        <w:t xml:space="preserve">La règle de la "nouvelle fonctionnalité" :</w:t>
      </w:r>
      <w:r w:rsidDel="00000000" w:rsidR="00000000" w:rsidRPr="00000000">
        <w:rPr>
          <w:rtl w:val="0"/>
        </w:rPr>
        <w:t xml:space="preserve"> Pour gérer cette transition technologique sans doubler les effectifs, toute demande métier pour une fonctionnalité totalement nouvelle doit, par défaut, être développée directement sous forme de micro-service indépendant, venant se greffer à l'écosystème via le proxy, évitant ainsi d'alourdir davantage la dette technique de l'ancien système.</w:t>
      </w:r>
    </w:p>
    <w:p w:rsidR="00000000" w:rsidDel="00000000" w:rsidP="00000000" w:rsidRDefault="00000000" w:rsidRPr="00000000" w14:paraId="000001AF">
      <w:pPr>
        <w:ind w:left="0" w:firstLine="0"/>
        <w:jc w:val="both"/>
        <w:rPr/>
      </w:pPr>
      <w:r w:rsidDel="00000000" w:rsidR="00000000" w:rsidRPr="00000000">
        <w:rPr>
          <w:rtl w:val="0"/>
        </w:rPr>
      </w:r>
    </w:p>
    <w:p w:rsidR="00000000" w:rsidDel="00000000" w:rsidP="00000000" w:rsidRDefault="00000000" w:rsidRPr="00000000" w14:paraId="000001B0">
      <w:pPr>
        <w:pStyle w:val="Heading2"/>
        <w:numPr>
          <w:ilvl w:val="0"/>
          <w:numId w:val="9"/>
        </w:numPr>
        <w:ind w:left="720" w:hanging="360"/>
        <w:jc w:val="both"/>
        <w:rPr/>
      </w:pPr>
      <w:bookmarkStart w:colFirst="0" w:colLast="0" w:name="_heading=h.pm07fif9v92l" w:id="43"/>
      <w:bookmarkEnd w:id="43"/>
      <w:r w:rsidDel="00000000" w:rsidR="00000000" w:rsidRPr="00000000">
        <w:rPr>
          <w:rtl w:val="0"/>
        </w:rPr>
        <w:t xml:space="preserve">3</w:t>
      </w:r>
      <w:r w:rsidDel="00000000" w:rsidR="00000000" w:rsidRPr="00000000">
        <w:rPr>
          <w:rtl w:val="0"/>
        </w:rPr>
        <w:t xml:space="preserve">. Méthodes de suivi et agilité :</w:t>
      </w:r>
    </w:p>
    <w:p w:rsidR="00000000" w:rsidDel="00000000" w:rsidP="00000000" w:rsidRDefault="00000000" w:rsidRPr="00000000" w14:paraId="000001B1">
      <w:pPr>
        <w:ind w:left="0" w:firstLine="0"/>
        <w:jc w:val="both"/>
        <w:rPr>
          <w:b w:val="1"/>
          <w:bCs w:val="1"/>
        </w:rPr>
      </w:pPr>
      <w:r w:rsidDel="00000000" w:rsidR="00000000" w:rsidRPr="00000000">
        <w:rPr>
          <w:rtl w:val="0"/>
        </w:rPr>
      </w:r>
    </w:p>
    <w:p w:rsidR="00000000" w:rsidDel="00000000" w:rsidP="00000000" w:rsidRDefault="00000000" w:rsidRPr="00000000" w14:paraId="000001B2">
      <w:pPr>
        <w:spacing w:after="240" w:before="240" w:lineRule="auto"/>
        <w:jc w:val="both"/>
        <w:rPr/>
      </w:pPr>
      <w:r w:rsidDel="00000000" w:rsidR="00000000" w:rsidRPr="00000000">
        <w:rPr>
          <w:rtl w:val="0"/>
        </w:rPr>
        <w:t xml:space="preserve">Durant la migration, l'organisation traverse une phase critique où deux paradigmes technologiques cohabitent : le système historique (monolithe) et la nouvelle architecture distribuée (micro-services). Le risque principal est la création de silos managériaux, isolant une équipe affectée à la maintenance du </w:t>
      </w:r>
      <w:r w:rsidDel="00000000" w:rsidR="00000000" w:rsidRPr="00000000">
        <w:rPr>
          <w:i w:val="1"/>
          <w:iCs w:val="1"/>
          <w:rtl w:val="0"/>
        </w:rPr>
        <w:t xml:space="preserve">legacy</w:t>
      </w:r>
      <w:r w:rsidDel="00000000" w:rsidR="00000000" w:rsidRPr="00000000">
        <w:rPr>
          <w:rtl w:val="0"/>
        </w:rPr>
        <w:t xml:space="preserve"> et une autre dédiée à l'innovation.</w:t>
      </w:r>
    </w:p>
    <w:p w:rsidR="00000000" w:rsidDel="00000000" w:rsidP="00000000" w:rsidRDefault="00000000" w:rsidRPr="00000000" w14:paraId="000001B3">
      <w:pPr>
        <w:spacing w:after="240" w:before="240" w:lineRule="auto"/>
        <w:jc w:val="both"/>
        <w:rPr/>
      </w:pPr>
      <w:r w:rsidDel="00000000" w:rsidR="00000000" w:rsidRPr="00000000">
        <w:rPr>
          <w:rtl w:val="0"/>
        </w:rPr>
        <w:t xml:space="preserve">Pour garantir la cohérence globale et la continuité du service, le pilotage de projet doit s'appuyer sur un </w:t>
      </w:r>
      <w:r w:rsidDel="00000000" w:rsidR="00000000" w:rsidRPr="00000000">
        <w:rPr>
          <w:b w:val="1"/>
          <w:bCs w:val="1"/>
          <w:rtl w:val="0"/>
        </w:rPr>
        <w:t xml:space="preserve">Backlog unifié</w:t>
      </w:r>
      <w:r w:rsidDel="00000000" w:rsidR="00000000" w:rsidRPr="00000000">
        <w:rPr>
          <w:rtl w:val="0"/>
        </w:rPr>
        <w:t xml:space="preserve">. Lors des cérémonies agiles (Sprint Planning), les tâches de refactorisation du monolithe et de développement des nouveaux micro-services doivent être évaluées et priorisées conjointement. Les développeurs doivent pivoter entre les deux environnements pour éviter la perte de connaissance fonctionnelle. Les rituels quotidiens (Daily Stand-up) ou hebdomadaire deviennent alors des points de synchronisation vitaux pour s'assurer qu'une évolution sur l'ancienne base de données ne vienne pas, par effet de bord, corrompre un nouveau composant extrait.</w:t>
      </w:r>
    </w:p>
    <w:p w:rsidR="00000000" w:rsidDel="00000000" w:rsidP="00000000" w:rsidRDefault="00000000" w:rsidRPr="00000000" w14:paraId="000001B4">
      <w:pPr>
        <w:ind w:left="0" w:firstLine="0"/>
        <w:jc w:val="both"/>
        <w:rPr/>
      </w:pPr>
      <w:r w:rsidDel="00000000" w:rsidR="00000000" w:rsidRPr="00000000">
        <w:rPr>
          <w:rtl w:val="0"/>
        </w:rPr>
        <w:t xml:space="preserve">Afin de justifier cette évolution vers les micro-services, un outil de ticketing va nous permettre de poser des metrics sur le travail des équipes, on pourra y retrouver comme données intéressantes le temps entre le début et la fin d’une tâche, ou bien le temps entre la demande métier et la mise en production. Ces données vont permettre de comparer le temps mis avec le monolithe pour sortir une feature par exemple avec celui dans la nouvelle architecture micro-services, il est important de pouvoir démontrer une amélioration pour le temps d’un cycle de développement, en grande partie pour la justification des coûts auprès des dirigeants.</w:t>
      </w:r>
    </w:p>
    <w:p w:rsidR="00000000" w:rsidDel="00000000" w:rsidP="00000000" w:rsidRDefault="00000000" w:rsidRPr="00000000" w14:paraId="000001B5">
      <w:pPr>
        <w:ind w:left="0" w:firstLine="0"/>
        <w:jc w:val="both"/>
        <w:rPr/>
      </w:pPr>
      <w:r w:rsidDel="00000000" w:rsidR="00000000" w:rsidRPr="00000000">
        <w:rPr>
          <w:rtl w:val="0"/>
        </w:rPr>
        <w:t xml:space="preserve">Durant cette migration, l’équipe ne doit pas rester fixée sur les premières directives prises dans ce travail d’envergure, il est nécessaire d’organiser des rétrospectives après chaque cycle, par exemple après la sortie d’un nouveau micro-service. Ces points vont permettre de remonter ce qui s’est bien passé et appuyé dessus, mais également de parler des problèmes inattendus rencontrés et comment faire pour que cela n’arrive plus. Il est d’autant plus important de mettre cela en place au début du projet afin de rester flexible dans un développement qui va s’étaler.</w:t>
      </w:r>
    </w:p>
    <w:p w:rsidR="00000000" w:rsidDel="00000000" w:rsidP="00000000" w:rsidRDefault="00000000" w:rsidRPr="00000000" w14:paraId="000001B6">
      <w:pPr>
        <w:spacing w:after="240" w:before="240" w:lineRule="auto"/>
        <w:jc w:val="both"/>
        <w:rPr/>
      </w:pPr>
      <w:r w:rsidDel="00000000" w:rsidR="00000000" w:rsidRPr="00000000">
        <w:rPr>
          <w:rtl w:val="0"/>
        </w:rPr>
        <w:t xml:space="preserve">Sur le plan de la gestion de projet et de l'agilité, la cohabitation transitoire entre le monolithe et les micro-services impose de repenser les cycles de livraison pour maintenir une vélocité constante. Dans ce contexte, l'adoption des </w:t>
      </w:r>
      <w:r w:rsidDel="00000000" w:rsidR="00000000" w:rsidRPr="00000000">
        <w:rPr>
          <w:i w:val="1"/>
          <w:iCs w:val="1"/>
          <w:rtl w:val="0"/>
        </w:rPr>
        <w:t xml:space="preserve">Feature Flags</w:t>
      </w:r>
      <w:r w:rsidDel="00000000" w:rsidR="00000000" w:rsidRPr="00000000">
        <w:rPr>
          <w:rtl w:val="0"/>
        </w:rPr>
        <w:t xml:space="preserve"> (ou bascules de fonctionnalités) dépasse le simple cadre technique pour devenir un outil de pilotage agile indispensable au sein du </w:t>
      </w:r>
      <w:r w:rsidDel="00000000" w:rsidR="00000000" w:rsidRPr="00000000">
        <w:rPr>
          <w:i w:val="1"/>
          <w:iCs w:val="1"/>
          <w:rtl w:val="0"/>
        </w:rPr>
        <w:t xml:space="preserve">Backlog</w:t>
      </w:r>
      <w:r w:rsidDel="00000000" w:rsidR="00000000" w:rsidRPr="00000000">
        <w:rPr>
          <w:rtl w:val="0"/>
        </w:rPr>
        <w:t xml:space="preserve"> unifié. En permettant de dissocier strictement le déploiement technique (l'intégration du code dans l'environnement de production) de l'activation fonctionnelle (la mise à disposition de la fonctionnalité pour l'utilisateur), les </w:t>
      </w:r>
      <w:r w:rsidDel="00000000" w:rsidR="00000000" w:rsidRPr="00000000">
        <w:rPr>
          <w:i w:val="1"/>
          <w:iCs w:val="1"/>
          <w:rtl w:val="0"/>
        </w:rPr>
        <w:t xml:space="preserve">Feature Flags</w:t>
      </w:r>
      <w:r w:rsidDel="00000000" w:rsidR="00000000" w:rsidRPr="00000000">
        <w:rPr>
          <w:rtl w:val="0"/>
        </w:rPr>
        <w:t xml:space="preserve"> éliminent le principal point de friction des fins de Sprints : la peur de la mise en production. Les équipes de développement peuvent ainsi fusionner et livrer leur code de manière continue, réduisant drastiquement la taille des branches de fonctionnalités (</w:t>
      </w:r>
      <w:r w:rsidDel="00000000" w:rsidR="00000000" w:rsidRPr="00000000">
        <w:rPr>
          <w:i w:val="1"/>
          <w:iCs w:val="1"/>
          <w:rtl w:val="0"/>
        </w:rPr>
        <w:t xml:space="preserve">Feature Branches</w:t>
      </w:r>
      <w:r w:rsidDel="00000000" w:rsidR="00000000" w:rsidRPr="00000000">
        <w:rPr>
          <w:rtl w:val="0"/>
        </w:rPr>
        <w:t xml:space="preserve">) et évitant l'écueil des conflits d'intégration massifs en fin de cycle.</w:t>
      </w:r>
    </w:p>
    <w:p w:rsidR="00000000" w:rsidDel="00000000" w:rsidP="00000000" w:rsidRDefault="00000000" w:rsidRPr="00000000" w14:paraId="000001B7">
      <w:pPr>
        <w:spacing w:after="240" w:before="240" w:lineRule="auto"/>
        <w:jc w:val="both"/>
        <w:rPr/>
      </w:pPr>
      <w:r w:rsidDel="00000000" w:rsidR="00000000" w:rsidRPr="00000000">
        <w:rPr>
          <w:rtl w:val="0"/>
        </w:rPr>
        <w:t xml:space="preserve">Du point de vue du suivi et de la mesure de la performance, ce mécanisme transforme radicalement la gestion du risque lors des phases de recette. Associé à la stratégie de </w:t>
      </w:r>
      <w:r w:rsidDel="00000000" w:rsidR="00000000" w:rsidRPr="00000000">
        <w:rPr>
          <w:i w:val="1"/>
          <w:iCs w:val="1"/>
          <w:rtl w:val="0"/>
        </w:rPr>
        <w:t xml:space="preserve">Canary Release</w:t>
      </w:r>
      <w:r w:rsidDel="00000000" w:rsidR="00000000" w:rsidRPr="00000000">
        <w:rPr>
          <w:rtl w:val="0"/>
        </w:rPr>
        <w:t xml:space="preserve">, le </w:t>
      </w:r>
      <w:r w:rsidDel="00000000" w:rsidR="00000000" w:rsidRPr="00000000">
        <w:rPr>
          <w:i w:val="1"/>
          <w:iCs w:val="1"/>
          <w:rtl w:val="0"/>
        </w:rPr>
        <w:t xml:space="preserve">Feature Flag</w:t>
      </w:r>
      <w:r w:rsidDel="00000000" w:rsidR="00000000" w:rsidRPr="00000000">
        <w:rPr>
          <w:rtl w:val="0"/>
        </w:rPr>
        <w:t xml:space="preserve"> offre à l’équipe produit et aux équipes de validation la capacité de piloter l'activation d'une nouvelle opération de manière granulaire et réversible. Le flux de travail gagne en flexibilité : une fonctionnalité peut être déployée en production tout en restant invisible pour le grand public, permettant à un validateur de l'activer exclusivement pour son compte utilisateur afin d'effectuer des tests en conditions réelles.</w:t>
      </w:r>
    </w:p>
    <w:p w:rsidR="00000000" w:rsidDel="00000000" w:rsidP="00000000" w:rsidRDefault="00000000" w:rsidRPr="00000000" w14:paraId="000001B8">
      <w:pPr>
        <w:spacing w:after="240" w:before="240" w:lineRule="auto"/>
        <w:jc w:val="both"/>
        <w:rPr/>
      </w:pPr>
      <w:r w:rsidDel="00000000" w:rsidR="00000000" w:rsidRPr="00000000">
        <w:rPr>
          <w:rtl w:val="0"/>
        </w:rPr>
        <w:t xml:space="preserve">Si les indicateurs d'observabilité (Loki, Jaeger) confirment la stabilité du composant, l'ouverture globale du trafic se résume à une simple modification de configuration dans l'interface de gestion des drapeaux. À l'inverse, la détection d'un comportement anormal permet une désactivation instantanée, ramenant le système à son état initial en quelques millisecondes sans nécessiter de procédure d'urgence (</w:t>
      </w:r>
      <w:r w:rsidDel="00000000" w:rsidR="00000000" w:rsidRPr="00000000">
        <w:rPr>
          <w:i w:val="1"/>
          <w:iCs w:val="1"/>
          <w:rtl w:val="0"/>
        </w:rPr>
        <w:t xml:space="preserve">hotfix</w:t>
      </w:r>
      <w:r w:rsidDel="00000000" w:rsidR="00000000" w:rsidRPr="00000000">
        <w:rPr>
          <w:rtl w:val="0"/>
        </w:rPr>
        <w:t xml:space="preserve"> ou </w:t>
      </w:r>
      <w:r w:rsidDel="00000000" w:rsidR="00000000" w:rsidRPr="00000000">
        <w:rPr>
          <w:i w:val="1"/>
          <w:iCs w:val="1"/>
          <w:rtl w:val="0"/>
        </w:rPr>
        <w:t xml:space="preserve">rollback</w:t>
      </w:r>
      <w:r w:rsidDel="00000000" w:rsidR="00000000" w:rsidRPr="00000000">
        <w:rPr>
          <w:rtl w:val="0"/>
        </w:rPr>
        <w:t xml:space="preserve">). En fluidifiant ainsi le passage du développement à la mise en production, les </w:t>
      </w:r>
      <w:r w:rsidDel="00000000" w:rsidR="00000000" w:rsidRPr="00000000">
        <w:rPr>
          <w:i w:val="1"/>
          <w:iCs w:val="1"/>
          <w:rtl w:val="0"/>
        </w:rPr>
        <w:t xml:space="preserve">Feature Flags</w:t>
      </w:r>
      <w:r w:rsidDel="00000000" w:rsidR="00000000" w:rsidRPr="00000000">
        <w:rPr>
          <w:rtl w:val="0"/>
        </w:rPr>
        <w:t xml:space="preserve"> s'imposent comme un catalyseur d'agilité, réduisant le temps de cycle global tout en protégeant activement la continuité de service du Groupe Adeena.</w:t>
      </w:r>
    </w:p>
    <w:p w:rsidR="00000000" w:rsidDel="00000000" w:rsidP="00000000" w:rsidRDefault="00000000" w:rsidRPr="00000000" w14:paraId="000001B9">
      <w:pPr>
        <w:spacing w:after="240" w:before="240" w:lineRule="auto"/>
        <w:jc w:val="both"/>
        <w:rPr/>
      </w:pPr>
      <w:r w:rsidDel="00000000" w:rsidR="00000000" w:rsidRPr="00000000">
        <w:rPr>
          <w:rtl w:val="0"/>
        </w:rPr>
        <w:t xml:space="preserve">Dans une architecture monolithique, un déploiement manuel espacé dans le temps reste gérable, bien que risqué. Avec l'adoption des micro-services, le nombre de composants et la fréquence des mises à jour explosent. La continuité de service (</w:t>
      </w:r>
      <w:r w:rsidDel="00000000" w:rsidR="00000000" w:rsidRPr="00000000">
        <w:rPr>
          <w:i w:val="1"/>
          <w:iCs w:val="1"/>
          <w:rtl w:val="0"/>
        </w:rPr>
        <w:t xml:space="preserve">Zero Downtime</w:t>
      </w:r>
      <w:r w:rsidDel="00000000" w:rsidR="00000000" w:rsidRPr="00000000">
        <w:rPr>
          <w:rtl w:val="0"/>
        </w:rPr>
        <w:t xml:space="preserve">) ne peut plus reposer sur des opérations humaines faillibles ; elle exige l'industrialisation du cycle de vie logiciel via des pipelines d'Intégration et de Déploiement Continus (CI/CD).</w:t>
      </w:r>
    </w:p>
    <w:p w:rsidR="00000000" w:rsidDel="00000000" w:rsidP="00000000" w:rsidRDefault="00000000" w:rsidRPr="00000000" w14:paraId="000001BA">
      <w:pPr>
        <w:numPr>
          <w:ilvl w:val="0"/>
          <w:numId w:val="9"/>
        </w:numPr>
        <w:spacing w:after="0" w:afterAutospacing="0" w:before="240" w:lineRule="auto"/>
        <w:ind w:left="720" w:hanging="360"/>
        <w:jc w:val="both"/>
      </w:pPr>
      <w:r w:rsidDel="00000000" w:rsidR="00000000" w:rsidRPr="00000000">
        <w:rPr>
          <w:b w:val="1"/>
          <w:bCs w:val="1"/>
          <w:rtl w:val="0"/>
        </w:rPr>
        <w:t xml:space="preserve">Intégration Continue (CI) et bouclier de qualité :</w:t>
      </w:r>
      <w:r w:rsidDel="00000000" w:rsidR="00000000" w:rsidRPr="00000000">
        <w:rPr>
          <w:rtl w:val="0"/>
        </w:rPr>
        <w:t xml:space="preserve"> À chaque modification de code, la CI déclenche automatiquement une suite de tests (unitaires, d'intégration, et d'analyse de sécurité). Dans un écosystème distribué, l'ajout de </w:t>
      </w:r>
      <w:r w:rsidDel="00000000" w:rsidR="00000000" w:rsidRPr="00000000">
        <w:rPr>
          <w:b w:val="1"/>
          <w:bCs w:val="1"/>
          <w:rtl w:val="0"/>
        </w:rPr>
        <w:t xml:space="preserve">tests de contrat</w:t>
      </w:r>
      <w:r w:rsidDel="00000000" w:rsidR="00000000" w:rsidRPr="00000000">
        <w:rPr>
          <w:rtl w:val="0"/>
        </w:rPr>
        <w:t xml:space="preserve"> est un prérequis absolu : ils vérifient de manière automatisée qu'une modification sur un micro-service ne brise pas le format de communication (l'API) attendu par les autres services. C'est le principal rempart contre la régression fonctionnelle.</w:t>
      </w:r>
    </w:p>
    <w:p w:rsidR="00000000" w:rsidDel="00000000" w:rsidP="00000000" w:rsidRDefault="00000000" w:rsidRPr="00000000" w14:paraId="000001BB">
      <w:pPr>
        <w:numPr>
          <w:ilvl w:val="0"/>
          <w:numId w:val="9"/>
        </w:numPr>
        <w:spacing w:after="240" w:before="0" w:beforeAutospacing="0" w:lineRule="auto"/>
        <w:ind w:left="720" w:hanging="360"/>
        <w:jc w:val="both"/>
      </w:pPr>
      <w:r w:rsidDel="00000000" w:rsidR="00000000" w:rsidRPr="00000000">
        <w:rPr>
          <w:b w:val="1"/>
          <w:bCs w:val="1"/>
          <w:rtl w:val="0"/>
        </w:rPr>
        <w:t xml:space="preserve">Déploiement Continu (CD) et sécurité opérationnelle :</w:t>
      </w:r>
      <w:r w:rsidDel="00000000" w:rsidR="00000000" w:rsidRPr="00000000">
        <w:rPr>
          <w:rtl w:val="0"/>
        </w:rPr>
        <w:t xml:space="preserve"> Une fois le code validé de manière autonome, la CD orchestre la construction du nouveau conteneur et sa livraison sur l'infrastructure. C'est cette chaîne de livraison automatisée qui permet d'interagir avec le </w:t>
      </w:r>
      <w:r w:rsidDel="00000000" w:rsidR="00000000" w:rsidRPr="00000000">
        <w:rPr>
          <w:i w:val="1"/>
          <w:iCs w:val="1"/>
          <w:rtl w:val="0"/>
        </w:rPr>
        <w:t xml:space="preserve">Reverse Proxy</w:t>
      </w:r>
      <w:r w:rsidDel="00000000" w:rsidR="00000000" w:rsidRPr="00000000">
        <w:rPr>
          <w:rtl w:val="0"/>
        </w:rPr>
        <w:t xml:space="preserve"> pour basculer le trafic en douceur, rendant les mises en production routinières, invisibles pour l'utilisateur final, et autorisant un retour en arrière immédiat (</w:t>
      </w:r>
      <w:r w:rsidDel="00000000" w:rsidR="00000000" w:rsidRPr="00000000">
        <w:rPr>
          <w:i w:val="1"/>
          <w:iCs w:val="1"/>
          <w:rtl w:val="0"/>
        </w:rPr>
        <w:t xml:space="preserve">rollback</w:t>
      </w:r>
      <w:r w:rsidDel="00000000" w:rsidR="00000000" w:rsidRPr="00000000">
        <w:rPr>
          <w:rtl w:val="0"/>
        </w:rPr>
        <w:t xml:space="preserve">) en cas d'anomalie détectée par les outils de monitoring.</w:t>
      </w:r>
    </w:p>
    <w:p w:rsidR="00000000" w:rsidDel="00000000" w:rsidP="00000000" w:rsidRDefault="00000000" w:rsidRPr="00000000" w14:paraId="000001BC">
      <w:pPr>
        <w:ind w:left="0" w:firstLine="0"/>
        <w:jc w:val="both"/>
        <w:rPr/>
      </w:pPr>
      <w:r w:rsidDel="00000000" w:rsidR="00000000" w:rsidRPr="00000000">
        <w:rPr>
          <w:rtl w:val="0"/>
        </w:rPr>
      </w:r>
    </w:p>
    <w:p w:rsidR="00000000" w:rsidDel="00000000" w:rsidP="00000000" w:rsidRDefault="00000000" w:rsidRPr="00000000" w14:paraId="000001BD">
      <w:pPr>
        <w:pStyle w:val="Heading2"/>
        <w:numPr>
          <w:ilvl w:val="0"/>
          <w:numId w:val="9"/>
        </w:numPr>
        <w:ind w:left="720" w:hanging="360"/>
        <w:jc w:val="both"/>
        <w:rPr/>
      </w:pPr>
      <w:bookmarkStart w:colFirst="0" w:colLast="0" w:name="_heading=h.4scxslhlrw08" w:id="44"/>
      <w:bookmarkEnd w:id="44"/>
      <w:r w:rsidDel="00000000" w:rsidR="00000000" w:rsidRPr="00000000">
        <w:rPr>
          <w:rtl w:val="0"/>
        </w:rPr>
        <w:t xml:space="preserve">4</w:t>
      </w:r>
      <w:r w:rsidDel="00000000" w:rsidR="00000000" w:rsidRPr="00000000">
        <w:rPr>
          <w:rtl w:val="0"/>
        </w:rPr>
        <w:t xml:space="preserve">. Management d’équipe et conduite du changement :</w:t>
      </w:r>
    </w:p>
    <w:p w:rsidR="00000000" w:rsidDel="00000000" w:rsidP="00000000" w:rsidRDefault="00000000" w:rsidRPr="00000000" w14:paraId="000001BE">
      <w:pPr>
        <w:ind w:left="0" w:firstLine="0"/>
        <w:jc w:val="both"/>
        <w:rPr/>
      </w:pPr>
      <w:r w:rsidDel="00000000" w:rsidR="00000000" w:rsidRPr="00000000">
        <w:rPr>
          <w:rtl w:val="0"/>
        </w:rPr>
        <w:t xml:space="preserve">Le passage aux micro-services n'est pas seulement une transformation technique, c'est avant tout une transformation organisationnelle. Comme le souligne la </w:t>
      </w:r>
      <w:r w:rsidDel="00000000" w:rsidR="00000000" w:rsidRPr="00000000">
        <w:rPr>
          <w:b w:val="1"/>
          <w:bCs w:val="1"/>
          <w:rtl w:val="0"/>
        </w:rPr>
        <w:t xml:space="preserve">Loi de Conway</w:t>
      </w:r>
      <w:r w:rsidDel="00000000" w:rsidR="00000000" w:rsidRPr="00000000">
        <w:rPr>
          <w:rtl w:val="0"/>
        </w:rPr>
        <w:t xml:space="preserve">, l'architecture d'un système logiciel tend à refléter la structure de communication de l'organisation qui le conçoit. Si l'on souhaite une architecture découpée et agile, l'équipe doit elle-même être découpée et agile. </w:t>
      </w:r>
    </w:p>
    <w:p w:rsidR="00000000" w:rsidDel="00000000" w:rsidP="00000000" w:rsidRDefault="00000000" w:rsidRPr="00000000" w14:paraId="000001BF">
      <w:pPr>
        <w:numPr>
          <w:ilvl w:val="1"/>
          <w:numId w:val="9"/>
        </w:numPr>
        <w:ind w:left="1440" w:hanging="360"/>
        <w:jc w:val="both"/>
        <w:rPr>
          <w:b w:val="1"/>
          <w:bCs w:val="1"/>
        </w:rPr>
      </w:pPr>
      <w:r w:rsidDel="00000000" w:rsidR="00000000" w:rsidRPr="00000000">
        <w:rPr>
          <w:b w:val="1"/>
          <w:bCs w:val="1"/>
          <w:rtl w:val="0"/>
        </w:rPr>
        <w:t xml:space="preserve">Loi de Conway : Réorganiser les équipes pour coller à l'architecture micro-services (Feature Teams / Pizza Teams).</w:t>
      </w:r>
    </w:p>
    <w:p w:rsidR="00000000" w:rsidDel="00000000" w:rsidP="00000000" w:rsidRDefault="00000000" w:rsidRPr="00000000" w14:paraId="000001C0">
      <w:pPr>
        <w:jc w:val="both"/>
        <w:rPr/>
      </w:pPr>
      <w:r w:rsidDel="00000000" w:rsidR="00000000" w:rsidRPr="00000000">
        <w:rPr>
          <w:b w:val="1"/>
          <w:bCs w:val="1"/>
          <w:rtl w:val="0"/>
        </w:rPr>
        <w:t xml:space="preserve">Le constat :</w:t>
      </w:r>
      <w:r w:rsidDel="00000000" w:rsidR="00000000" w:rsidRPr="00000000">
        <w:rPr>
          <w:rtl w:val="0"/>
        </w:rPr>
        <w:t xml:space="preserve"> Dans une organisation classique, les équipes sont souvent divisées par "compétences" (une équipe de développeurs Front-end, une équipe Back-end, une équipe DBA pour la base de données, et une équipe Ops pour les serveurs). Cette structure favorise naturellement la création d'un monolithe, car chaque modification nécessite une coordination lourde entre tous les silos.</w:t>
      </w:r>
    </w:p>
    <w:p w:rsidR="00000000" w:rsidDel="00000000" w:rsidP="00000000" w:rsidRDefault="00000000" w:rsidRPr="00000000" w14:paraId="000001C1">
      <w:pPr>
        <w:jc w:val="both"/>
        <w:rPr/>
      </w:pPr>
      <w:r w:rsidDel="00000000" w:rsidR="00000000" w:rsidRPr="00000000">
        <w:rPr>
          <w:b w:val="1"/>
          <w:bCs w:val="1"/>
          <w:rtl w:val="0"/>
        </w:rPr>
        <w:t xml:space="preserve">La réorganisation en Feature Teams (ou Pizza Teams) :</w:t>
      </w:r>
      <w:r w:rsidDel="00000000" w:rsidR="00000000" w:rsidRPr="00000000">
        <w:rPr>
          <w:rtl w:val="0"/>
        </w:rPr>
        <w:t xml:space="preserve"> Pour réussir la migration, il est recommandé de passer à des équipes pluridisciplinaires de petite taille (assez petites pour être nourries avec deux pizzas, selon la règle d'Amazon). Chaque équipe "possède" un ou plusieurs micro-services de bout en bout.</w:t>
      </w:r>
    </w:p>
    <w:p w:rsidR="00000000" w:rsidDel="00000000" w:rsidP="00000000" w:rsidRDefault="00000000" w:rsidRPr="00000000" w14:paraId="000001C2">
      <w:pPr>
        <w:numPr>
          <w:ilvl w:val="0"/>
          <w:numId w:val="9"/>
        </w:numPr>
        <w:spacing w:after="240" w:before="240" w:lineRule="auto"/>
        <w:ind w:left="720" w:hanging="360"/>
        <w:jc w:val="both"/>
      </w:pPr>
      <w:r w:rsidDel="00000000" w:rsidR="00000000" w:rsidRPr="00000000">
        <w:rPr>
          <w:i w:val="1"/>
          <w:iCs w:val="1"/>
          <w:rtl w:val="0"/>
        </w:rPr>
        <w:t xml:space="preserve">Exemple :</w:t>
      </w:r>
      <w:r w:rsidDel="00000000" w:rsidR="00000000" w:rsidRPr="00000000">
        <w:rPr>
          <w:rtl w:val="0"/>
        </w:rPr>
        <w:t xml:space="preserve"> L'équipe "Facturation" contient à la fois des compétences back, front et une autonomie sur sa base de données. Elle peut déployer ses changements sans dépendre du planning des autres équipes, garantissant une meilleure réactivité et moins de risques de blocage global du système.</w:t>
      </w:r>
    </w:p>
    <w:p w:rsidR="00000000" w:rsidDel="00000000" w:rsidP="00000000" w:rsidRDefault="00000000" w:rsidRPr="00000000" w14:paraId="000001C3">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C4">
      <w:pPr>
        <w:numPr>
          <w:ilvl w:val="1"/>
          <w:numId w:val="9"/>
        </w:numPr>
        <w:ind w:left="1440" w:hanging="360"/>
        <w:jc w:val="both"/>
        <w:rPr>
          <w:b w:val="1"/>
          <w:bCs w:val="1"/>
        </w:rPr>
      </w:pPr>
      <w:r w:rsidDel="00000000" w:rsidR="00000000" w:rsidRPr="00000000">
        <w:rPr>
          <w:b w:val="1"/>
          <w:bCs w:val="1"/>
          <w:rtl w:val="0"/>
        </w:rPr>
        <w:t xml:space="preserve">Montée en compétences et responsabilités (You build it, you run it).</w:t>
      </w:r>
    </w:p>
    <w:p w:rsidR="00000000" w:rsidDel="00000000" w:rsidP="00000000" w:rsidRDefault="00000000" w:rsidRPr="00000000" w14:paraId="000001C5">
      <w:pPr>
        <w:spacing w:after="240" w:before="240" w:lineRule="auto"/>
        <w:jc w:val="both"/>
        <w:rPr/>
      </w:pPr>
      <w:r w:rsidDel="00000000" w:rsidR="00000000" w:rsidRPr="00000000">
        <w:rPr>
          <w:rtl w:val="0"/>
        </w:rPr>
        <w:t xml:space="preserve">Le changement de culture majeur réside dans la fin de la séparation entre "ceux qui créent" et "ceux qui exploitent".</w:t>
      </w:r>
    </w:p>
    <w:p w:rsidR="00000000" w:rsidDel="00000000" w:rsidP="00000000" w:rsidRDefault="00000000" w:rsidRPr="00000000" w14:paraId="000001C6">
      <w:pPr>
        <w:numPr>
          <w:ilvl w:val="0"/>
          <w:numId w:val="9"/>
        </w:numPr>
        <w:spacing w:after="0" w:afterAutospacing="0" w:before="240" w:lineRule="auto"/>
        <w:ind w:left="720" w:hanging="360"/>
        <w:jc w:val="both"/>
      </w:pPr>
      <w:r w:rsidDel="00000000" w:rsidR="00000000" w:rsidRPr="00000000">
        <w:rPr>
          <w:b w:val="1"/>
          <w:bCs w:val="1"/>
          <w:rtl w:val="0"/>
        </w:rPr>
        <w:t xml:space="preserve">La fin du "jeté par-dessus le mur" :</w:t>
      </w:r>
      <w:r w:rsidDel="00000000" w:rsidR="00000000" w:rsidRPr="00000000">
        <w:rPr>
          <w:rtl w:val="0"/>
        </w:rPr>
        <w:t xml:space="preserve"> Dans l'ancien modèle, les développeurs livraient leur code à l'équipe Ops, qui était seule responsable de sa stabilité en production. En micro-services, on adopte la philosophie de Werner Vogels (CTO d'Amazon) : </w:t>
      </w:r>
      <w:r w:rsidDel="00000000" w:rsidR="00000000" w:rsidRPr="00000000">
        <w:rPr>
          <w:i w:val="1"/>
          <w:iCs w:val="1"/>
          <w:rtl w:val="0"/>
        </w:rPr>
        <w:t xml:space="preserve">"You build it, you run it"</w:t>
      </w:r>
      <w:r w:rsidDel="00000000" w:rsidR="00000000" w:rsidRPr="00000000">
        <w:rPr>
          <w:rtl w:val="0"/>
        </w:rPr>
        <w:t xml:space="preserve">. Les développeurs deviennent responsables du cycle de vie complet de leur service : du code au déploiement, jusqu'au monitoring en production.</w:t>
      </w:r>
    </w:p>
    <w:p w:rsidR="00000000" w:rsidDel="00000000" w:rsidP="00000000" w:rsidRDefault="00000000" w:rsidRPr="00000000" w14:paraId="000001C7">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Accompagnement au changement :</w:t>
      </w:r>
      <w:r w:rsidDel="00000000" w:rsidR="00000000" w:rsidRPr="00000000">
        <w:rPr>
          <w:rtl w:val="0"/>
        </w:rPr>
        <w:t xml:space="preserve"> Cette transition peut générer de l'appréhension. Le rôle du manager/consultant est d'accompagner cette montée en responsabilités par :</w:t>
      </w:r>
    </w:p>
    <w:p w:rsidR="00000000" w:rsidDel="00000000" w:rsidP="00000000" w:rsidRDefault="00000000" w:rsidRPr="00000000" w14:paraId="000001C8">
      <w:pPr>
        <w:numPr>
          <w:ilvl w:val="1"/>
          <w:numId w:val="9"/>
        </w:numPr>
        <w:spacing w:after="0" w:afterAutospacing="0" w:before="0" w:beforeAutospacing="0" w:lineRule="auto"/>
        <w:ind w:left="1440" w:hanging="360"/>
        <w:jc w:val="both"/>
      </w:pPr>
      <w:r w:rsidDel="00000000" w:rsidR="00000000" w:rsidRPr="00000000">
        <w:rPr>
          <w:b w:val="1"/>
          <w:bCs w:val="1"/>
          <w:rtl w:val="0"/>
        </w:rPr>
        <w:t xml:space="preserve">Le droit à l'erreur :</w:t>
      </w:r>
      <w:r w:rsidDel="00000000" w:rsidR="00000000" w:rsidRPr="00000000">
        <w:rPr>
          <w:rtl w:val="0"/>
        </w:rPr>
        <w:t xml:space="preserve"> En utilisant des outils comme le </w:t>
      </w:r>
      <w:r w:rsidDel="00000000" w:rsidR="00000000" w:rsidRPr="00000000">
        <w:rPr>
          <w:i w:val="1"/>
          <w:iCs w:val="1"/>
          <w:rtl w:val="0"/>
        </w:rPr>
        <w:t xml:space="preserve">Reverse Proxy</w:t>
      </w:r>
      <w:r w:rsidDel="00000000" w:rsidR="00000000" w:rsidRPr="00000000">
        <w:rPr>
          <w:rtl w:val="0"/>
        </w:rPr>
        <w:t xml:space="preserve"> (pour les retours en arrière faciles) et l'observabilité, on réduit le stress lié à la mise en production.</w:t>
      </w:r>
    </w:p>
    <w:p w:rsidR="00000000" w:rsidDel="00000000" w:rsidP="00000000" w:rsidRDefault="00000000" w:rsidRPr="00000000" w14:paraId="000001C9">
      <w:pPr>
        <w:numPr>
          <w:ilvl w:val="1"/>
          <w:numId w:val="9"/>
        </w:numPr>
        <w:spacing w:after="240" w:before="0" w:beforeAutospacing="0" w:lineRule="auto"/>
        <w:ind w:left="1440" w:hanging="360"/>
        <w:jc w:val="both"/>
      </w:pPr>
      <w:r w:rsidDel="00000000" w:rsidR="00000000" w:rsidRPr="00000000">
        <w:rPr>
          <w:b w:val="1"/>
          <w:bCs w:val="1"/>
          <w:rtl w:val="0"/>
        </w:rPr>
        <w:t xml:space="preserve">L'automatisation :</w:t>
      </w:r>
      <w:r w:rsidDel="00000000" w:rsidR="00000000" w:rsidRPr="00000000">
        <w:rPr>
          <w:rtl w:val="0"/>
        </w:rPr>
        <w:t xml:space="preserve"> En fournissant des pipelines CI/CD simples, on libère les développeurs des tâches répétitives et risquées, leur permettant de se concentrer sur la valeur métier tout en gardant le contrôle sur la stabilité de leur service.</w:t>
      </w:r>
    </w:p>
    <w:p w:rsidR="00000000" w:rsidDel="00000000" w:rsidP="00000000" w:rsidRDefault="00000000" w:rsidRPr="00000000" w14:paraId="000001CA">
      <w:pPr>
        <w:ind w:left="0" w:firstLine="0"/>
        <w:jc w:val="both"/>
        <w:rPr/>
      </w:pPr>
      <w:r w:rsidDel="00000000" w:rsidR="00000000" w:rsidRPr="00000000">
        <w:rPr>
          <w:rtl w:val="0"/>
        </w:rPr>
      </w:r>
    </w:p>
    <w:p w:rsidR="00000000" w:rsidDel="00000000" w:rsidP="00000000" w:rsidRDefault="00000000" w:rsidRPr="00000000" w14:paraId="000001CB">
      <w:pPr>
        <w:pStyle w:val="Heading2"/>
        <w:numPr>
          <w:ilvl w:val="0"/>
          <w:numId w:val="9"/>
        </w:numPr>
        <w:ind w:left="720" w:hanging="360"/>
        <w:jc w:val="both"/>
        <w:rPr/>
      </w:pPr>
      <w:bookmarkStart w:colFirst="0" w:colLast="0" w:name="_heading=h.eyhslya0da2b" w:id="45"/>
      <w:bookmarkEnd w:id="45"/>
      <w:r w:rsidDel="00000000" w:rsidR="00000000" w:rsidRPr="00000000">
        <w:rPr>
          <w:rtl w:val="0"/>
        </w:rPr>
        <w:t xml:space="preserve">5</w:t>
      </w:r>
      <w:r w:rsidDel="00000000" w:rsidR="00000000" w:rsidRPr="00000000">
        <w:rPr>
          <w:rtl w:val="0"/>
        </w:rPr>
        <w:t xml:space="preserve">. Communication projet :</w:t>
      </w:r>
    </w:p>
    <w:p w:rsidR="00000000" w:rsidDel="00000000" w:rsidP="00000000" w:rsidRDefault="00000000" w:rsidRPr="00000000" w14:paraId="000001CC">
      <w:pPr>
        <w:numPr>
          <w:ilvl w:val="1"/>
          <w:numId w:val="9"/>
        </w:numPr>
        <w:ind w:left="1440" w:hanging="360"/>
        <w:jc w:val="both"/>
        <w:rPr>
          <w:b w:val="1"/>
          <w:bCs w:val="1"/>
        </w:rPr>
      </w:pPr>
      <w:r w:rsidDel="00000000" w:rsidR="00000000" w:rsidRPr="00000000">
        <w:rPr>
          <w:b w:val="1"/>
          <w:bCs w:val="1"/>
          <w:rtl w:val="0"/>
        </w:rPr>
        <w:t xml:space="preserve">Coordination entre les équipes "Monolithe" et "Micro-services" pour assurer la cohérence des données.</w:t>
      </w:r>
    </w:p>
    <w:p w:rsidR="00000000" w:rsidDel="00000000" w:rsidP="00000000" w:rsidRDefault="00000000" w:rsidRPr="00000000" w14:paraId="000001CD">
      <w:pPr>
        <w:spacing w:after="240" w:before="240" w:lineRule="auto"/>
        <w:jc w:val="both"/>
        <w:rPr/>
      </w:pPr>
      <w:r w:rsidDel="00000000" w:rsidR="00000000" w:rsidRPr="00000000">
        <w:rPr>
          <w:rtl w:val="0"/>
        </w:rPr>
        <w:t xml:space="preserve">Dans un projet de migration, la communication englobe à la fois la coordination des équipes et les modalités d'échange d'informations entre les applicatifs. Durant la phase hybride de transition, où le monolithe et les micro-services cohabitent en production, le risque technique et fonctionnel majeur réside dans la désynchronisation des données.</w:t>
      </w:r>
    </w:p>
    <w:p w:rsidR="00000000" w:rsidDel="00000000" w:rsidP="00000000" w:rsidRDefault="00000000" w:rsidRPr="00000000" w14:paraId="000001CE">
      <w:pPr>
        <w:spacing w:after="240" w:before="240" w:lineRule="auto"/>
        <w:jc w:val="both"/>
        <w:rPr/>
      </w:pPr>
      <w:r w:rsidDel="00000000" w:rsidR="00000000" w:rsidRPr="00000000">
        <w:rPr>
          <w:b w:val="1"/>
          <w:bCs w:val="1"/>
          <w:rtl w:val="0"/>
        </w:rPr>
        <w:t xml:space="preserve">Le contrat d'interface (API) comme langage commun</w:t>
      </w:r>
      <w:r w:rsidDel="00000000" w:rsidR="00000000" w:rsidRPr="00000000">
        <w:rPr>
          <w:rtl w:val="0"/>
        </w:rPr>
        <w:t xml:space="preserve"> La scission d'une application implique la séparation des cycles de développement. Afin de prévenir les blocages inter-équipes, il est impératif d'adopter une démarche "API First". Les contrats d'interface (les formats précis des requêtes et des réponses) doivent être définis et validés conjointement avant tout développement. Par ailleurs, une règle stricte d'isolation des accès doit être instaurée : le monolithe perd tout droit de lecture ou d'écriture direct sur la base de données d'un micro-service nouvellement extrait, et inversement. Toute communication doit obligatoirement transiter par les API officielles, garantissant ainsi l'indépendance structurelle de chaque composant.</w:t>
      </w:r>
    </w:p>
    <w:p w:rsidR="00000000" w:rsidDel="00000000" w:rsidP="00000000" w:rsidRDefault="00000000" w:rsidRPr="00000000" w14:paraId="000001CF">
      <w:pPr>
        <w:spacing w:after="240" w:before="240" w:lineRule="auto"/>
        <w:jc w:val="both"/>
        <w:rPr/>
      </w:pPr>
      <w:r w:rsidDel="00000000" w:rsidR="00000000" w:rsidRPr="00000000">
        <w:rPr>
          <w:b w:val="1"/>
          <w:bCs w:val="1"/>
          <w:rtl w:val="0"/>
        </w:rPr>
        <w:t xml:space="preserve">La Couche Anti-Corruption (Anti-Corruption Layer - ACL)</w:t>
      </w:r>
      <w:r w:rsidDel="00000000" w:rsidR="00000000" w:rsidRPr="00000000">
        <w:rPr>
          <w:rtl w:val="0"/>
        </w:rPr>
        <w:t xml:space="preserve"> Le système historique est intrinsèquement porteur d'une dette technique, avec un modèle de données souvent complexe ou obsolète. Si un nouveau micro-service interagit directement avec ce modèle </w:t>
      </w:r>
      <w:r w:rsidDel="00000000" w:rsidR="00000000" w:rsidRPr="00000000">
        <w:rPr>
          <w:i w:val="1"/>
          <w:iCs w:val="1"/>
          <w:rtl w:val="0"/>
        </w:rPr>
        <w:t xml:space="preserve">legacy</w:t>
      </w:r>
      <w:r w:rsidDel="00000000" w:rsidR="00000000" w:rsidRPr="00000000">
        <w:rPr>
          <w:rtl w:val="0"/>
        </w:rPr>
        <w:t xml:space="preserve">, il risque d'être contraint d'intégrer cette logique dépassée dans son propre code, se retrouvant "corrompu" dès sa conception. L'implémentation d'une Couche Anti-Corruption (ACL), un principe fondamental du </w:t>
      </w:r>
      <w:r w:rsidDel="00000000" w:rsidR="00000000" w:rsidRPr="00000000">
        <w:rPr>
          <w:i w:val="1"/>
          <w:iCs w:val="1"/>
          <w:rtl w:val="0"/>
        </w:rPr>
        <w:t xml:space="preserve">Domain-Driven Design</w:t>
      </w:r>
      <w:r w:rsidDel="00000000" w:rsidR="00000000" w:rsidRPr="00000000">
        <w:rPr>
          <w:rtl w:val="0"/>
        </w:rPr>
        <w:t xml:space="preserve"> (DDD), permet de pallier ce risque. Ce composant intermédiaire, généralement placé du côté du micro-service, agit comme un traducteur de modèles : il convertit les données brutes du monolithe vers le format métier attendu par le nouveau service, assurant l'étanchéité et la pérennité de la nouvelle architecture.</w:t>
      </w:r>
    </w:p>
    <w:p w:rsidR="00000000" w:rsidDel="00000000" w:rsidP="00000000" w:rsidRDefault="00000000" w:rsidRPr="00000000" w14:paraId="000001D0">
      <w:pPr>
        <w:spacing w:after="240" w:before="240" w:lineRule="auto"/>
        <w:jc w:val="both"/>
        <w:rPr/>
      </w:pPr>
      <w:r w:rsidDel="00000000" w:rsidR="00000000" w:rsidRPr="00000000">
        <w:rPr>
          <w:b w:val="1"/>
          <w:bCs w:val="1"/>
          <w:rtl w:val="0"/>
        </w:rPr>
        <w:t xml:space="preserve">La synchronisation pragmatique et la source de vérité unique</w:t>
      </w:r>
      <w:r w:rsidDel="00000000" w:rsidR="00000000" w:rsidRPr="00000000">
        <w:rPr>
          <w:rtl w:val="0"/>
        </w:rPr>
        <w:t xml:space="preserve"> Pendant les mois que peut durer la migration, une même entité logique (comme un profil client ou un catalogue de produits) peut exister de manière transitoire dans la base de données historique et dans la nouvelle base distribuée. Pour maintenir la cohérence sans déployer prématurément une architecture événementielle complexe (Message Brokers), des mécanismes d'appels HTTP légers (Webhooks) assurent la synchronisation. Si le monolithe enregistre une mise à jour, il déclenche un Webhook vers l'API du micro-service pour l'informer.</w:t>
      </w:r>
    </w:p>
    <w:p w:rsidR="00000000" w:rsidDel="00000000" w:rsidP="00000000" w:rsidRDefault="00000000" w:rsidRPr="00000000" w14:paraId="000001D1">
      <w:pPr>
        <w:spacing w:after="240" w:before="240" w:lineRule="auto"/>
        <w:jc w:val="both"/>
        <w:rPr/>
      </w:pPr>
      <w:r w:rsidDel="00000000" w:rsidR="00000000" w:rsidRPr="00000000">
        <w:rPr>
          <w:rtl w:val="0"/>
        </w:rPr>
        <w:t xml:space="preserve">Enfin, il est indispensable de définir formellement une "source de vérité unique" (</w:t>
      </w:r>
      <w:r w:rsidDel="00000000" w:rsidR="00000000" w:rsidRPr="00000000">
        <w:rPr>
          <w:i w:val="1"/>
          <w:iCs w:val="1"/>
          <w:rtl w:val="0"/>
        </w:rPr>
        <w:t xml:space="preserve">Single Source of Truth</w:t>
      </w:r>
      <w:r w:rsidDel="00000000" w:rsidR="00000000" w:rsidRPr="00000000">
        <w:rPr>
          <w:rtl w:val="0"/>
        </w:rPr>
        <w:t xml:space="preserve">). Dès lors qu'un domaine fonctionnel est isolé sous forme de micro-service, il devient l'unique propriétaire de la donnée correspondante. Si le monolithe a besoin d'exploiter cette donnée pour ses fonctionnalités restantes, il n'en détient plus la copie maître et doit interroger le micro-service de référence.</w:t>
      </w:r>
    </w:p>
    <w:p w:rsidR="00000000" w:rsidDel="00000000" w:rsidP="00000000" w:rsidRDefault="00000000" w:rsidRPr="00000000" w14:paraId="000001D2">
      <w:pPr>
        <w:ind w:left="0" w:firstLine="0"/>
        <w:jc w:val="both"/>
        <w:rPr/>
      </w:pPr>
      <w:r w:rsidDel="00000000" w:rsidR="00000000" w:rsidRPr="00000000">
        <w:rPr>
          <w:rtl w:val="0"/>
        </w:rPr>
      </w:r>
    </w:p>
    <w:p w:rsidR="00000000" w:rsidDel="00000000" w:rsidP="00000000" w:rsidRDefault="00000000" w:rsidRPr="00000000" w14:paraId="000001D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jc w:val="both"/>
        <w:rPr>
          <w:b w:val="1"/>
          <w:bCs w:val="1"/>
        </w:rPr>
      </w:pPr>
      <w:r w:rsidDel="00000000" w:rsidR="00000000" w:rsidRPr="00000000">
        <w:rPr>
          <w:rtl w:val="0"/>
        </w:rPr>
      </w:r>
    </w:p>
    <w:p w:rsidR="00000000" w:rsidDel="00000000" w:rsidP="00000000" w:rsidRDefault="00000000" w:rsidRPr="00000000" w14:paraId="000001D5">
      <w:pPr>
        <w:jc w:val="both"/>
        <w:rPr>
          <w:b w:val="1"/>
          <w:bCs w:val="1"/>
        </w:rPr>
      </w:pPr>
      <w:r w:rsidDel="00000000" w:rsidR="00000000" w:rsidRPr="00000000">
        <w:rPr>
          <w:rtl w:val="0"/>
        </w:rPr>
      </w:r>
    </w:p>
    <w:p w:rsidR="00000000" w:rsidDel="00000000" w:rsidP="00000000" w:rsidRDefault="00000000" w:rsidRPr="00000000" w14:paraId="000001D6">
      <w:pPr>
        <w:jc w:val="both"/>
        <w:rPr>
          <w:b w:val="1"/>
          <w:bCs w:val="1"/>
        </w:rPr>
      </w:pPr>
      <w:r w:rsidDel="00000000" w:rsidR="00000000" w:rsidRPr="00000000">
        <w:rPr>
          <w:rtl w:val="0"/>
        </w:rPr>
      </w:r>
    </w:p>
    <w:p w:rsidR="00000000" w:rsidDel="00000000" w:rsidP="00000000" w:rsidRDefault="00000000" w:rsidRPr="00000000" w14:paraId="000001D7">
      <w:pPr>
        <w:jc w:val="both"/>
        <w:rPr>
          <w:b w:val="1"/>
          <w:bCs w:val="1"/>
        </w:rPr>
      </w:pPr>
      <w:r w:rsidDel="00000000" w:rsidR="00000000" w:rsidRPr="00000000">
        <w:rPr>
          <w:rtl w:val="0"/>
        </w:rPr>
      </w:r>
    </w:p>
    <w:p w:rsidR="00000000" w:rsidDel="00000000" w:rsidP="00000000" w:rsidRDefault="00000000" w:rsidRPr="00000000" w14:paraId="000001D8">
      <w:pPr>
        <w:jc w:val="both"/>
        <w:rPr>
          <w:b w:val="1"/>
          <w:bCs w:val="1"/>
        </w:rPr>
      </w:pPr>
      <w:r w:rsidDel="00000000" w:rsidR="00000000" w:rsidRPr="00000000">
        <w:rPr>
          <w:rtl w:val="0"/>
        </w:rPr>
      </w:r>
    </w:p>
    <w:p w:rsidR="00000000" w:rsidDel="00000000" w:rsidP="00000000" w:rsidRDefault="00000000" w:rsidRPr="00000000" w14:paraId="000001D9">
      <w:pPr>
        <w:jc w:val="both"/>
        <w:rPr>
          <w:b w:val="1"/>
          <w:bCs w:val="1"/>
        </w:rPr>
      </w:pPr>
      <w:r w:rsidDel="00000000" w:rsidR="00000000" w:rsidRPr="00000000">
        <w:rPr>
          <w:rtl w:val="0"/>
        </w:rPr>
      </w:r>
    </w:p>
    <w:p w:rsidR="00000000" w:rsidDel="00000000" w:rsidP="00000000" w:rsidRDefault="00000000" w:rsidRPr="00000000" w14:paraId="000001DA">
      <w:pPr>
        <w:jc w:val="both"/>
        <w:rPr>
          <w:b w:val="1"/>
          <w:bCs w:val="1"/>
        </w:rPr>
      </w:pPr>
      <w:r w:rsidDel="00000000" w:rsidR="00000000" w:rsidRPr="00000000">
        <w:rPr>
          <w:rtl w:val="0"/>
        </w:rPr>
      </w:r>
    </w:p>
    <w:p w:rsidR="00000000" w:rsidDel="00000000" w:rsidP="00000000" w:rsidRDefault="00000000" w:rsidRPr="00000000" w14:paraId="000001DB">
      <w:pPr>
        <w:jc w:val="both"/>
        <w:rPr>
          <w:b w:val="1"/>
          <w:bCs w:val="1"/>
        </w:rPr>
      </w:pPr>
      <w:r w:rsidDel="00000000" w:rsidR="00000000" w:rsidRPr="00000000">
        <w:rPr>
          <w:rtl w:val="0"/>
        </w:rPr>
      </w:r>
    </w:p>
    <w:p w:rsidR="00000000" w:rsidDel="00000000" w:rsidP="00000000" w:rsidRDefault="00000000" w:rsidRPr="00000000" w14:paraId="000001DC">
      <w:pPr>
        <w:pStyle w:val="Heading1"/>
        <w:jc w:val="both"/>
        <w:rPr/>
      </w:pPr>
      <w:bookmarkStart w:colFirst="0" w:colLast="0" w:name="_heading=h.o4lvpn45210a" w:id="46"/>
      <w:bookmarkEnd w:id="46"/>
      <w:r w:rsidDel="00000000" w:rsidR="00000000" w:rsidRPr="00000000">
        <w:rPr>
          <w:rtl w:val="0"/>
        </w:rPr>
        <w:t xml:space="preserve">Partie IV : Recommandations stratégiques </w:t>
      </w:r>
    </w:p>
    <w:p w:rsidR="00000000" w:rsidDel="00000000" w:rsidP="00000000" w:rsidRDefault="00000000" w:rsidRPr="00000000" w14:paraId="000001DD">
      <w:pPr>
        <w:pStyle w:val="Heading2"/>
        <w:numPr>
          <w:ilvl w:val="0"/>
          <w:numId w:val="10"/>
        </w:numPr>
        <w:ind w:left="720" w:hanging="360"/>
        <w:jc w:val="both"/>
        <w:rPr/>
      </w:pPr>
      <w:bookmarkStart w:colFirst="0" w:colLast="0" w:name="_heading=h.kk7gag25dmzw" w:id="47"/>
      <w:bookmarkEnd w:id="47"/>
      <w:r w:rsidDel="00000000" w:rsidR="00000000" w:rsidRPr="00000000">
        <w:rPr>
          <w:rtl w:val="0"/>
        </w:rPr>
        <w:t xml:space="preserve">1. Plan d’action proposé (Roadmap) :</w:t>
      </w:r>
    </w:p>
    <w:p w:rsidR="00000000" w:rsidDel="00000000" w:rsidP="00000000" w:rsidRDefault="00000000" w:rsidRPr="00000000" w14:paraId="000001DE">
      <w:pPr>
        <w:numPr>
          <w:ilvl w:val="1"/>
          <w:numId w:val="10"/>
        </w:numPr>
        <w:ind w:left="1440" w:hanging="360"/>
        <w:jc w:val="both"/>
        <w:rPr>
          <w:b w:val="1"/>
          <w:bCs w:val="1"/>
        </w:rPr>
      </w:pPr>
      <w:r w:rsidDel="00000000" w:rsidR="00000000" w:rsidRPr="00000000">
        <w:rPr>
          <w:b w:val="1"/>
          <w:bCs w:val="1"/>
          <w:rtl w:val="0"/>
        </w:rPr>
        <w:t xml:space="preserve">Phasage de la migration : Identification des premiers services à extraire (Quick Wins).</w:t>
      </w:r>
    </w:p>
    <w:p w:rsidR="00000000" w:rsidDel="00000000" w:rsidP="00000000" w:rsidRDefault="00000000" w:rsidRPr="00000000" w14:paraId="000001DF">
      <w:pPr>
        <w:ind w:left="0" w:firstLine="0"/>
        <w:jc w:val="both"/>
        <w:rPr/>
      </w:pPr>
      <w:r w:rsidDel="00000000" w:rsidR="00000000" w:rsidRPr="00000000">
        <w:rPr>
          <w:rtl w:val="0"/>
        </w:rPr>
        <w:t xml:space="preserve">L'élaboration de la roadmap de migration requiert une approche itérative pour minimiser les risques opérationnels. La première phase ne doit pas cibler le cœur fonctionnel du système, mais se concentrer sur l'identification des "Quick Wins". Il s'agit d'isoler des modules périphériques du monolithe qui présentent une faible adhérence au reste du code, qui ne nécessitent pas de partages de données complexes, et dont la criticité métier est modérée (par exemple, un service d'envoi de notifications ou un module d'exportation de documents). L'extraction de ces modules pilotes remplit un rôle stratégique : elle permet d'éprouver et de valider l'ensemble de la nouvelle chaîne outillée (pipeline CI/CD, conteneurisation, configuration du proxy et outils d'observabilité) en conditions réelles. Ce succès initial valide la robustesse de l'infrastructure pragmatique mise en place avant d'entamer la décomposition des domaines métiers les plus critiques de l'entreprise. </w:t>
      </w:r>
    </w:p>
    <w:p w:rsidR="00000000" w:rsidDel="00000000" w:rsidP="00000000" w:rsidRDefault="00000000" w:rsidRPr="00000000" w14:paraId="000001E0">
      <w:pPr>
        <w:numPr>
          <w:ilvl w:val="1"/>
          <w:numId w:val="10"/>
        </w:numPr>
        <w:ind w:left="1440" w:hanging="360"/>
        <w:jc w:val="both"/>
        <w:rPr>
          <w:b w:val="1"/>
          <w:bCs w:val="1"/>
        </w:rPr>
      </w:pPr>
      <w:r w:rsidDel="00000000" w:rsidR="00000000" w:rsidRPr="00000000">
        <w:rPr>
          <w:b w:val="1"/>
          <w:bCs w:val="1"/>
          <w:rtl w:val="0"/>
        </w:rPr>
        <w:t xml:space="preserve">Mise en œuvre technique du "Canary Release" ou "Blue/Green Deployment" pour sécuriser la continuité.</w:t>
      </w:r>
    </w:p>
    <w:p w:rsidR="00000000" w:rsidDel="00000000" w:rsidP="00000000" w:rsidRDefault="00000000" w:rsidRPr="00000000" w14:paraId="000001E1">
      <w:pPr>
        <w:spacing w:after="240" w:before="240" w:lineRule="auto"/>
        <w:jc w:val="both"/>
        <w:rPr/>
      </w:pPr>
      <w:r w:rsidDel="00000000" w:rsidR="00000000" w:rsidRPr="00000000">
        <w:rPr>
          <w:rtl w:val="0"/>
        </w:rPr>
        <w:t xml:space="preserve">La mise en production de ces nouveaux services exige des mécanismes de déploiement garantissant le "Zero Downtime" et limitant le risque de régression. En s'appuyant sur les capacités de routage dynamique du </w:t>
      </w:r>
      <w:r w:rsidDel="00000000" w:rsidR="00000000" w:rsidRPr="00000000">
        <w:rPr>
          <w:i w:val="1"/>
          <w:iCs w:val="1"/>
          <w:rtl w:val="0"/>
        </w:rPr>
        <w:t xml:space="preserve">Reverse Proxy</w:t>
      </w:r>
      <w:r w:rsidDel="00000000" w:rsidR="00000000" w:rsidRPr="00000000">
        <w:rPr>
          <w:rtl w:val="0"/>
        </w:rPr>
        <w:t xml:space="preserve">, deux stratégies principales doivent être privilégiées pour sécuriser la continuité de service :</w:t>
      </w:r>
    </w:p>
    <w:p w:rsidR="00000000" w:rsidDel="00000000" w:rsidP="00000000" w:rsidRDefault="00000000" w:rsidRPr="00000000" w14:paraId="000001E2">
      <w:pPr>
        <w:numPr>
          <w:ilvl w:val="0"/>
          <w:numId w:val="10"/>
        </w:numPr>
        <w:spacing w:after="0" w:afterAutospacing="0" w:before="240" w:lineRule="auto"/>
        <w:ind w:left="720" w:hanging="360"/>
        <w:jc w:val="both"/>
      </w:pPr>
      <w:r w:rsidDel="00000000" w:rsidR="00000000" w:rsidRPr="00000000">
        <w:rPr>
          <w:b w:val="1"/>
          <w:bCs w:val="1"/>
          <w:rtl w:val="0"/>
        </w:rPr>
        <w:t xml:space="preserve">Le déploiement Blue/Green :</w:t>
      </w:r>
      <w:r w:rsidDel="00000000" w:rsidR="00000000" w:rsidRPr="00000000">
        <w:rPr>
          <w:rtl w:val="0"/>
        </w:rPr>
        <w:t xml:space="preserve"> Cette méthode consiste à déployer la nouvelle version du micro-service (environnement </w:t>
      </w:r>
      <w:r w:rsidDel="00000000" w:rsidR="00000000" w:rsidRPr="00000000">
        <w:rPr>
          <w:i w:val="1"/>
          <w:iCs w:val="1"/>
          <w:rtl w:val="0"/>
        </w:rPr>
        <w:t xml:space="preserve">Green</w:t>
      </w:r>
      <w:r w:rsidDel="00000000" w:rsidR="00000000" w:rsidRPr="00000000">
        <w:rPr>
          <w:rtl w:val="0"/>
        </w:rPr>
        <w:t xml:space="preserve">) en parallèle de l'architecture existante (environnement </w:t>
      </w:r>
      <w:r w:rsidDel="00000000" w:rsidR="00000000" w:rsidRPr="00000000">
        <w:rPr>
          <w:i w:val="1"/>
          <w:iCs w:val="1"/>
          <w:rtl w:val="0"/>
        </w:rPr>
        <w:t xml:space="preserve">Blue</w:t>
      </w:r>
      <w:r w:rsidDel="00000000" w:rsidR="00000000" w:rsidRPr="00000000">
        <w:rPr>
          <w:rtl w:val="0"/>
        </w:rPr>
        <w:t xml:space="preserve">). Le trafic utilisateur reste intégralement dirigé vers l'environnement </w:t>
      </w:r>
      <w:r w:rsidDel="00000000" w:rsidR="00000000" w:rsidRPr="00000000">
        <w:rPr>
          <w:i w:val="1"/>
          <w:iCs w:val="1"/>
          <w:rtl w:val="0"/>
        </w:rPr>
        <w:t xml:space="preserve">Blue</w:t>
      </w:r>
      <w:r w:rsidDel="00000000" w:rsidR="00000000" w:rsidRPr="00000000">
        <w:rPr>
          <w:rtl w:val="0"/>
        </w:rPr>
        <w:t xml:space="preserve"> pendant que le </w:t>
      </w:r>
      <w:r w:rsidDel="00000000" w:rsidR="00000000" w:rsidRPr="00000000">
        <w:rPr>
          <w:i w:val="1"/>
          <w:iCs w:val="1"/>
          <w:rtl w:val="0"/>
        </w:rPr>
        <w:t xml:space="preserve">Green</w:t>
      </w:r>
      <w:r w:rsidDel="00000000" w:rsidR="00000000" w:rsidRPr="00000000">
        <w:rPr>
          <w:rtl w:val="0"/>
        </w:rPr>
        <w:t xml:space="preserve"> est testé en interne. Une fois la stabilité validée, le proxy bascule instantanément 100% du trafic vers l'environnement </w:t>
      </w:r>
      <w:r w:rsidDel="00000000" w:rsidR="00000000" w:rsidRPr="00000000">
        <w:rPr>
          <w:i w:val="1"/>
          <w:iCs w:val="1"/>
          <w:rtl w:val="0"/>
        </w:rPr>
        <w:t xml:space="preserve">Green</w:t>
      </w:r>
      <w:r w:rsidDel="00000000" w:rsidR="00000000" w:rsidRPr="00000000">
        <w:rPr>
          <w:rtl w:val="0"/>
        </w:rPr>
        <w:t xml:space="preserve">. Le bénéfice majeur de cette approche est la réversibilité : en cas d'incident détecté après la bascule, un retour arrière (</w:t>
      </w:r>
      <w:r w:rsidDel="00000000" w:rsidR="00000000" w:rsidRPr="00000000">
        <w:rPr>
          <w:i w:val="1"/>
          <w:iCs w:val="1"/>
          <w:rtl w:val="0"/>
        </w:rPr>
        <w:t xml:space="preserve">rollback</w:t>
      </w:r>
      <w:r w:rsidDel="00000000" w:rsidR="00000000" w:rsidRPr="00000000">
        <w:rPr>
          <w:rtl w:val="0"/>
        </w:rPr>
        <w:t xml:space="preserve">) vers l'environnement </w:t>
      </w:r>
      <w:r w:rsidDel="00000000" w:rsidR="00000000" w:rsidRPr="00000000">
        <w:rPr>
          <w:i w:val="1"/>
          <w:iCs w:val="1"/>
          <w:rtl w:val="0"/>
        </w:rPr>
        <w:t xml:space="preserve">Blue</w:t>
      </w:r>
      <w:r w:rsidDel="00000000" w:rsidR="00000000" w:rsidRPr="00000000">
        <w:rPr>
          <w:rtl w:val="0"/>
        </w:rPr>
        <w:t xml:space="preserve"> s'effectue en quelques millisecondes, protégeant ainsi l'utilisateur final.</w:t>
      </w:r>
    </w:p>
    <w:p w:rsidR="00000000" w:rsidDel="00000000" w:rsidP="00000000" w:rsidRDefault="00000000" w:rsidRPr="00000000" w14:paraId="000001E3">
      <w:pPr>
        <w:numPr>
          <w:ilvl w:val="0"/>
          <w:numId w:val="10"/>
        </w:numPr>
        <w:spacing w:after="240" w:before="0" w:beforeAutospacing="0" w:lineRule="auto"/>
        <w:ind w:left="720" w:hanging="360"/>
        <w:jc w:val="both"/>
      </w:pPr>
      <w:r w:rsidDel="00000000" w:rsidR="00000000" w:rsidRPr="00000000">
        <w:rPr>
          <w:b w:val="1"/>
          <w:bCs w:val="1"/>
          <w:rtl w:val="0"/>
        </w:rPr>
        <w:t xml:space="preserve">Le Canary Release (Déploiement Canari) :</w:t>
      </w:r>
      <w:r w:rsidDel="00000000" w:rsidR="00000000" w:rsidRPr="00000000">
        <w:rPr>
          <w:rtl w:val="0"/>
        </w:rPr>
        <w:t xml:space="preserve"> Cette approche permet une transition plus progressive pour les services sensibles. Le routeur est configuré pour détourner une fraction minime du trafic réel (par exemple, 5% des utilisateurs) vers le nouveau micro-service, tandis que la grande majorité du trafic continue d'être traitée par l'ancien système. Si les outils de monitoring ne remontent aucune anomalie ni dégradation de performance sur cet échantillon, la part de requêtes redirigées est augmentée par paliers (20%, 50%, puis 100%). Cette technique limite "le rayon d'explosion" d'une éventuelle faille à un nombre très restreint d'utilisateurs.</w:t>
      </w:r>
    </w:p>
    <w:p w:rsidR="00000000" w:rsidDel="00000000" w:rsidP="00000000" w:rsidRDefault="00000000" w:rsidRPr="00000000" w14:paraId="000001E4">
      <w:pPr>
        <w:ind w:left="0" w:firstLine="0"/>
        <w:jc w:val="both"/>
        <w:rPr/>
      </w:pPr>
      <w:r w:rsidDel="00000000" w:rsidR="00000000" w:rsidRPr="00000000">
        <w:rPr>
          <w:rtl w:val="0"/>
        </w:rPr>
      </w:r>
    </w:p>
    <w:p w:rsidR="00000000" w:rsidDel="00000000" w:rsidP="00000000" w:rsidRDefault="00000000" w:rsidRPr="00000000" w14:paraId="000001E5">
      <w:pPr>
        <w:pStyle w:val="Heading2"/>
        <w:numPr>
          <w:ilvl w:val="0"/>
          <w:numId w:val="10"/>
        </w:numPr>
        <w:ind w:left="720" w:hanging="360"/>
        <w:jc w:val="both"/>
        <w:rPr/>
      </w:pPr>
      <w:bookmarkStart w:colFirst="0" w:colLast="0" w:name="_heading=h.mbs7ckq7k2xh" w:id="48"/>
      <w:bookmarkEnd w:id="48"/>
      <w:r w:rsidDel="00000000" w:rsidR="00000000" w:rsidRPr="00000000">
        <w:rPr>
          <w:rtl w:val="0"/>
        </w:rPr>
        <w:t xml:space="preserve">2. Solutions à court, moyen et long terme :</w:t>
      </w:r>
    </w:p>
    <w:p w:rsidR="00000000" w:rsidDel="00000000" w:rsidP="00000000" w:rsidRDefault="00000000" w:rsidRPr="00000000" w14:paraId="000001E6">
      <w:pPr>
        <w:ind w:left="0" w:firstLine="0"/>
        <w:jc w:val="both"/>
        <w:rPr/>
      </w:pPr>
      <w:r w:rsidDel="00000000" w:rsidR="00000000" w:rsidRPr="00000000">
        <w:rPr>
          <w:rtl w:val="0"/>
        </w:rPr>
        <w:t xml:space="preserve">La transformation architecturale d'une organisation ne s'opère pas en une seule manœuvre. Pour sécuriser la démarche, diluer le risque et garantir la continuité métier, la trajectoire de migration doit être découpée en trois horizons temporels distincts. </w:t>
      </w:r>
    </w:p>
    <w:p w:rsidR="00000000" w:rsidDel="00000000" w:rsidP="00000000" w:rsidRDefault="00000000" w:rsidRPr="00000000" w14:paraId="000001E7">
      <w:pPr>
        <w:numPr>
          <w:ilvl w:val="1"/>
          <w:numId w:val="10"/>
        </w:numPr>
        <w:ind w:left="1440" w:hanging="360"/>
        <w:jc w:val="both"/>
        <w:rPr>
          <w:b w:val="1"/>
          <w:bCs w:val="1"/>
        </w:rPr>
      </w:pPr>
      <w:r w:rsidDel="00000000" w:rsidR="00000000" w:rsidRPr="00000000">
        <w:rPr>
          <w:b w:val="1"/>
          <w:bCs w:val="1"/>
          <w:rtl w:val="0"/>
        </w:rPr>
        <w:t xml:space="preserve">Court terme : Mise en place de l'API Gateway façade.</w:t>
      </w:r>
    </w:p>
    <w:p w:rsidR="00000000" w:rsidDel="00000000" w:rsidP="00000000" w:rsidRDefault="00000000" w:rsidRPr="00000000" w14:paraId="000001E8">
      <w:pPr>
        <w:ind w:left="0" w:firstLine="0"/>
        <w:jc w:val="both"/>
        <w:rPr/>
      </w:pPr>
      <w:r w:rsidDel="00000000" w:rsidR="00000000" w:rsidRPr="00000000">
        <w:rPr>
          <w:rtl w:val="0"/>
        </w:rPr>
        <w:t xml:space="preserve">Avant même de déconstruire le cœur du système, la priorité est de reprendre le contrôle absolu sur les flux entrants. La mise en place d'une API Gateway (ou d'un </w:t>
      </w:r>
      <w:r w:rsidDel="00000000" w:rsidR="00000000" w:rsidRPr="00000000">
        <w:rPr>
          <w:i w:val="1"/>
          <w:iCs w:val="1"/>
          <w:rtl w:val="0"/>
        </w:rPr>
        <w:t xml:space="preserve">Reverse Proxy</w:t>
      </w:r>
      <w:r w:rsidDel="00000000" w:rsidR="00000000" w:rsidRPr="00000000">
        <w:rPr>
          <w:rtl w:val="0"/>
        </w:rPr>
        <w:t xml:space="preserve"> intelligent, comme défini dans notre infrastructure pragmatique) constitue la toute première étape. Elle se positionne comme la façade unique entre les utilisateurs et le système. À ce stade, elle se contente de rediriger 100% du trafic vers le monolithe historique. Sa présence est cependant stratégique : elle centralise les mécanismes de sécurité (comme l'authentification par jeton JWT) et prépare le terrain de jeu. C'est elle qui permettra, dès la mise en production du premier micro-service périphérique, d'amorcer le routage granulaire du </w:t>
      </w:r>
      <w:r w:rsidDel="00000000" w:rsidR="00000000" w:rsidRPr="00000000">
        <w:rPr>
          <w:i w:val="1"/>
          <w:iCs w:val="1"/>
          <w:rtl w:val="0"/>
        </w:rPr>
        <w:t xml:space="preserve">Strangler Fig Pattern</w:t>
      </w:r>
      <w:r w:rsidDel="00000000" w:rsidR="00000000" w:rsidRPr="00000000">
        <w:rPr>
          <w:rtl w:val="0"/>
        </w:rPr>
        <w:t xml:space="preserve"> sans aucune modification du code </w:t>
      </w:r>
      <w:r w:rsidDel="00000000" w:rsidR="00000000" w:rsidRPr="00000000">
        <w:rPr>
          <w:i w:val="1"/>
          <w:iCs w:val="1"/>
          <w:rtl w:val="0"/>
        </w:rPr>
        <w:t xml:space="preserve">legacy</w:t>
      </w:r>
      <w:r w:rsidDel="00000000" w:rsidR="00000000" w:rsidRPr="00000000">
        <w:rPr>
          <w:rtl w:val="0"/>
        </w:rPr>
        <w:t xml:space="preserve">. </w:t>
      </w:r>
    </w:p>
    <w:p w:rsidR="00000000" w:rsidDel="00000000" w:rsidP="00000000" w:rsidRDefault="00000000" w:rsidRPr="00000000" w14:paraId="000001E9">
      <w:pPr>
        <w:numPr>
          <w:ilvl w:val="1"/>
          <w:numId w:val="10"/>
        </w:numPr>
        <w:ind w:left="1440" w:hanging="360"/>
        <w:jc w:val="both"/>
        <w:rPr>
          <w:b w:val="1"/>
          <w:bCs w:val="1"/>
        </w:rPr>
      </w:pPr>
      <w:r w:rsidDel="00000000" w:rsidR="00000000" w:rsidRPr="00000000">
        <w:rPr>
          <w:b w:val="1"/>
          <w:bCs w:val="1"/>
          <w:rtl w:val="0"/>
        </w:rPr>
        <w:t xml:space="preserve">Moyen terme : Extraction des services critiques.</w:t>
      </w:r>
    </w:p>
    <w:p w:rsidR="00000000" w:rsidDel="00000000" w:rsidP="00000000" w:rsidRDefault="00000000" w:rsidRPr="00000000" w14:paraId="000001EA">
      <w:pPr>
        <w:ind w:left="0" w:firstLine="0"/>
        <w:jc w:val="both"/>
        <w:rPr/>
      </w:pPr>
      <w:r w:rsidDel="00000000" w:rsidR="00000000" w:rsidRPr="00000000">
        <w:rPr>
          <w:rtl w:val="0"/>
        </w:rPr>
        <w:t xml:space="preserve">Une fois les premiers services simples ("Quick Wins") extraits avec succès et la chaîne de déploiement automatisé (CI/CD) validée par l'équipe, la migration s'attaque au cœur du métier (par exemple : le moteur de tarification, la gestion des stocks ou le tunnel de paiement). C'est la phase de haute complexité qui implique la séparation physique des bases de données et l'implémentation des Couches Anti-Corruption (ACL) pour maintenir la synchronisation avec ce qu'il reste du monolithe. L'objectif de cette phase est d'offrir une autonomie de déploiement et de scalabilité aux modules qui génèrent le plus de valeur ou qui sont les plus critiques pour la pérennité de l'entreprise. </w:t>
      </w:r>
    </w:p>
    <w:p w:rsidR="00000000" w:rsidDel="00000000" w:rsidP="00000000" w:rsidRDefault="00000000" w:rsidRPr="00000000" w14:paraId="000001EB">
      <w:pPr>
        <w:numPr>
          <w:ilvl w:val="1"/>
          <w:numId w:val="10"/>
        </w:numPr>
        <w:ind w:left="1440" w:hanging="360"/>
        <w:jc w:val="both"/>
        <w:rPr>
          <w:b w:val="1"/>
          <w:bCs w:val="1"/>
        </w:rPr>
      </w:pPr>
      <w:r w:rsidDel="00000000" w:rsidR="00000000" w:rsidRPr="00000000">
        <w:rPr>
          <w:b w:val="1"/>
          <w:bCs w:val="1"/>
          <w:rtl w:val="0"/>
        </w:rPr>
        <w:t xml:space="preserve">Long terme : Démantèlement complet du monolithe.</w:t>
      </w:r>
    </w:p>
    <w:p w:rsidR="00000000" w:rsidDel="00000000" w:rsidP="00000000" w:rsidRDefault="00000000" w:rsidRPr="00000000" w14:paraId="000001EC">
      <w:pPr>
        <w:ind w:left="0" w:firstLine="0"/>
        <w:jc w:val="both"/>
        <w:rPr/>
      </w:pPr>
      <w:r w:rsidDel="00000000" w:rsidR="00000000" w:rsidRPr="00000000">
        <w:rPr>
          <w:rtl w:val="0"/>
        </w:rPr>
        <w:t xml:space="preserve">Le monolithe, progressivement vidé de sa substance fonctionnelle, finit par être une coquille vide et peut être définitivement éteint (décommissionnement). Le système est alors composé à 100% de micro-services autonomes. C'est précisément à cet horizon de maturité technique, et en anticipant une croissance du volume de trafic ou une multiplication des effectifs de développement, que l'infrastructure "légère" initiale (serveur unique) devra évoluer. Le passage à un orchestrateur distribué de type </w:t>
      </w:r>
      <w:r w:rsidDel="00000000" w:rsidR="00000000" w:rsidRPr="00000000">
        <w:rPr>
          <w:b w:val="1"/>
          <w:bCs w:val="1"/>
          <w:rtl w:val="0"/>
        </w:rPr>
        <w:t xml:space="preserve">Kubernetes</w:t>
      </w:r>
      <w:r w:rsidDel="00000000" w:rsidR="00000000" w:rsidRPr="00000000">
        <w:rPr>
          <w:rtl w:val="0"/>
        </w:rPr>
        <w:t xml:space="preserve"> s'imposera alors non plus comme un luxe prématuré, mais comme une nécessité stratégique pour assurer l'hyper-scalabilité, gérer la complexité réseau inter-serveurs et maintenir les engagements de continuité de service à très grande échelle. </w:t>
      </w:r>
    </w:p>
    <w:p w:rsidR="00000000" w:rsidDel="00000000" w:rsidP="00000000" w:rsidRDefault="00000000" w:rsidRPr="00000000" w14:paraId="000001ED">
      <w:pPr>
        <w:pStyle w:val="Heading2"/>
        <w:numPr>
          <w:ilvl w:val="0"/>
          <w:numId w:val="10"/>
        </w:numPr>
        <w:ind w:left="720" w:hanging="360"/>
        <w:jc w:val="both"/>
        <w:rPr/>
      </w:pPr>
      <w:bookmarkStart w:colFirst="0" w:colLast="0" w:name="_heading=h.igl198cu547b" w:id="49"/>
      <w:bookmarkEnd w:id="49"/>
      <w:r w:rsidDel="00000000" w:rsidR="00000000" w:rsidRPr="00000000">
        <w:rPr>
          <w:rtl w:val="0"/>
        </w:rPr>
        <w:t xml:space="preserve">3. Évaluation des coûts et bénéfices (ROI) :</w:t>
      </w:r>
    </w:p>
    <w:p w:rsidR="00000000" w:rsidDel="00000000" w:rsidP="00000000" w:rsidRDefault="00000000" w:rsidRPr="00000000" w14:paraId="000001EE">
      <w:pPr>
        <w:pStyle w:val="Heading3"/>
        <w:jc w:val="both"/>
        <w:rPr/>
      </w:pPr>
      <w:bookmarkStart w:colFirst="0" w:colLast="0" w:name="_heading=h.z725qeqiduas" w:id="50"/>
      <w:bookmarkEnd w:id="50"/>
      <w:r w:rsidDel="00000000" w:rsidR="00000000" w:rsidRPr="00000000">
        <w:rPr>
          <w:rtl w:val="0"/>
        </w:rPr>
        <w:t xml:space="preserve">3.1 Analyse des coûts d'infrastructure (Cloud vs On-premise) et de formation.</w:t>
      </w:r>
    </w:p>
    <w:p w:rsidR="00000000" w:rsidDel="00000000" w:rsidP="00000000" w:rsidRDefault="00000000" w:rsidRPr="00000000" w14:paraId="000001EF">
      <w:pPr>
        <w:spacing w:after="240" w:before="240" w:lineRule="auto"/>
        <w:jc w:val="both"/>
        <w:rPr/>
      </w:pPr>
      <w:r w:rsidDel="00000000" w:rsidR="00000000" w:rsidRPr="00000000">
        <w:rPr>
          <w:rtl w:val="0"/>
        </w:rPr>
        <w:t xml:space="preserve">L'évolution vers une architecture distribuée requiert une réévaluation du modèle économique, en veillant à ne pas céder à la sur-ingénierie coûteuse. Dans le cadre de notre approche pragmatique, le choix de louer des machines propres (serveurs dédiés ou </w:t>
      </w:r>
      <w:r w:rsidDel="00000000" w:rsidR="00000000" w:rsidRPr="00000000">
        <w:rPr>
          <w:i w:val="1"/>
          <w:iCs w:val="1"/>
          <w:rtl w:val="0"/>
        </w:rPr>
        <w:t xml:space="preserve">Bare Metal</w:t>
      </w:r>
      <w:r w:rsidDel="00000000" w:rsidR="00000000" w:rsidRPr="00000000">
        <w:rPr>
          <w:rtl w:val="0"/>
        </w:rPr>
        <w:t xml:space="preserve">) chez un hébergeur externe s'avère être la stratégie la plus pertinente sur le plan financier. Contrairement aux grands fournisseurs de Cloud public (où la facturation à l'usage, le trafic réseau sortant et les services managés peuvent générer des coûts exponentiels et imprévisibles), la location de serveurs physiques offre une facturation fixe, prédictible et un excellent ratio performance/prix. Ce modèle permet de déployer l'écosystème conteneurisé (Docker et </w:t>
      </w:r>
      <w:r w:rsidDel="00000000" w:rsidR="00000000" w:rsidRPr="00000000">
        <w:rPr>
          <w:i w:val="1"/>
          <w:iCs w:val="1"/>
          <w:rtl w:val="0"/>
        </w:rPr>
        <w:t xml:space="preserve">Reverse Proxy</w:t>
      </w:r>
      <w:r w:rsidDel="00000000" w:rsidR="00000000" w:rsidRPr="00000000">
        <w:rPr>
          <w:rtl w:val="0"/>
        </w:rPr>
        <w:t xml:space="preserve">) tout en gardant la maîtrise totale de l'environnement, sans les coûts d'amortissement matériel et de maintenance électrique d'une salle serveur interne (On-premise classique).</w:t>
      </w:r>
    </w:p>
    <w:p w:rsidR="00000000" w:rsidDel="00000000" w:rsidP="00000000" w:rsidRDefault="00000000" w:rsidRPr="00000000" w14:paraId="000001F0">
      <w:pPr>
        <w:spacing w:after="240" w:before="240" w:lineRule="auto"/>
        <w:jc w:val="both"/>
        <w:rPr/>
      </w:pPr>
      <w:r w:rsidDel="00000000" w:rsidR="00000000" w:rsidRPr="00000000">
        <w:rPr>
          <w:rtl w:val="0"/>
        </w:rPr>
        <w:t xml:space="preserve">Cependant, le véritable investissement de cette migration ne réside pas dans le matériel, mais dans le capital humain. Le budget doit intégrer le coût de la montée en compétences et du temps alloué à la formation. La maîtrise de la conteneurisation, la création de pipelines d'intégration continue (CI/CD) et l'adoption de l'observabilité nécessitent un accompagnement technique fort pour les développeurs, qui devront s'approprier ces nouveaux outils pour assurer la pérennité du système.</w:t>
      </w:r>
    </w:p>
    <w:p w:rsidR="00000000" w:rsidDel="00000000" w:rsidP="00000000" w:rsidRDefault="00000000" w:rsidRPr="00000000" w14:paraId="000001F1">
      <w:pPr>
        <w:pStyle w:val="Heading3"/>
        <w:jc w:val="both"/>
        <w:rPr/>
      </w:pPr>
      <w:bookmarkStart w:colFirst="0" w:colLast="0" w:name="_heading=h.vrn3vbdnoz4z" w:id="51"/>
      <w:bookmarkEnd w:id="51"/>
      <w:r w:rsidDel="00000000" w:rsidR="00000000" w:rsidRPr="00000000">
        <w:rPr>
          <w:rtl w:val="0"/>
        </w:rPr>
        <w:t xml:space="preserve">3.2 </w:t>
      </w:r>
      <w:r w:rsidDel="00000000" w:rsidR="00000000" w:rsidRPr="00000000">
        <w:rPr>
          <w:rtl w:val="0"/>
        </w:rPr>
        <w:t xml:space="preserve">Gains attendus : Time-to-market réduit, résilience accrue.</w:t>
      </w:r>
    </w:p>
    <w:p w:rsidR="00000000" w:rsidDel="00000000" w:rsidP="00000000" w:rsidRDefault="00000000" w:rsidRPr="00000000" w14:paraId="000001F2">
      <w:pPr>
        <w:spacing w:after="240" w:before="240" w:lineRule="auto"/>
        <w:jc w:val="both"/>
        <w:rPr/>
      </w:pPr>
      <w:r w:rsidDel="00000000" w:rsidR="00000000" w:rsidRPr="00000000">
        <w:rPr>
          <w:rtl w:val="0"/>
        </w:rPr>
        <w:t xml:space="preserve">Le retour sur investissement (ROI) d'une telle migration se mesure moins par la réduction immédiate de la facture d'hébergement que par la création de valeur et l'évitement des pertes.</w:t>
      </w:r>
    </w:p>
    <w:p w:rsidR="00000000" w:rsidDel="00000000" w:rsidP="00000000" w:rsidRDefault="00000000" w:rsidRPr="00000000" w14:paraId="000001F3">
      <w:pPr>
        <w:numPr>
          <w:ilvl w:val="0"/>
          <w:numId w:val="10"/>
        </w:numPr>
        <w:spacing w:after="0" w:afterAutospacing="0" w:before="240" w:lineRule="auto"/>
        <w:ind w:left="720" w:hanging="360"/>
        <w:jc w:val="both"/>
      </w:pPr>
      <w:r w:rsidDel="00000000" w:rsidR="00000000" w:rsidRPr="00000000">
        <w:rPr>
          <w:b w:val="1"/>
          <w:bCs w:val="1"/>
          <w:rtl w:val="0"/>
        </w:rPr>
        <w:t xml:space="preserve">Réduction du Time-to-Market :</w:t>
      </w:r>
      <w:r w:rsidDel="00000000" w:rsidR="00000000" w:rsidRPr="00000000">
        <w:rPr>
          <w:rtl w:val="0"/>
        </w:rPr>
        <w:t xml:space="preserve"> L'indépendance des micro-services supprime les goulots d'étranglement organisationnels. Une équipe gérant un domaine spécifique peut concevoir, tester et déployer une nouvelle fonctionnalité en quelques jours, sans devoir attendre la validation globale et la phase de test exhaustive requises par un monolithe. Cette vélocité permet à l'entreprise de réagir beaucoup plus rapidement aux demandes du marché.</w:t>
      </w:r>
    </w:p>
    <w:p w:rsidR="00000000" w:rsidDel="00000000" w:rsidP="00000000" w:rsidRDefault="00000000" w:rsidRPr="00000000" w14:paraId="000001F4">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Résilience et préservation du chiffre d'affaires :</w:t>
      </w:r>
      <w:r w:rsidDel="00000000" w:rsidR="00000000" w:rsidRPr="00000000">
        <w:rPr>
          <w:rtl w:val="0"/>
        </w:rPr>
        <w:t xml:space="preserve"> Le bénéfice majeur réside dans la continuité de service. L'isolation des processus garantit qu'une défaillance sur un module secondaire n'entraîne plus la chute du système principal (confinement des pannes). Couplée aux déploiements sans coupure (</w:t>
      </w:r>
      <w:r w:rsidDel="00000000" w:rsidR="00000000" w:rsidRPr="00000000">
        <w:rPr>
          <w:i w:val="1"/>
          <w:iCs w:val="1"/>
          <w:rtl w:val="0"/>
        </w:rPr>
        <w:t xml:space="preserve">Zero Downtime</w:t>
      </w:r>
      <w:r w:rsidDel="00000000" w:rsidR="00000000" w:rsidRPr="00000000">
        <w:rPr>
          <w:rtl w:val="0"/>
        </w:rPr>
        <w:t xml:space="preserve">), cette architecture élimine les périodes d'indisponibilité lors des mises à jour. Pour l'entreprise, cela se traduit directement par une sécurisation du chiffre d'affaires (aucune transaction perdue), un respect scrupuleux des engagements de niveau de service (SLA) et une amélioration significative de la satisfaction utilisateur.</w:t>
      </w:r>
    </w:p>
    <w:p w:rsidR="00000000" w:rsidDel="00000000" w:rsidP="00000000" w:rsidRDefault="00000000" w:rsidRPr="00000000" w14:paraId="000001F5">
      <w:pPr>
        <w:numPr>
          <w:ilvl w:val="0"/>
          <w:numId w:val="10"/>
        </w:numPr>
        <w:spacing w:after="240" w:before="0" w:beforeAutospacing="0" w:lineRule="auto"/>
        <w:ind w:left="720" w:hanging="360"/>
        <w:jc w:val="both"/>
        <w:rPr>
          <w:u w:val="none"/>
        </w:rPr>
      </w:pPr>
      <w:r w:rsidDel="00000000" w:rsidR="00000000" w:rsidRPr="00000000">
        <w:rPr>
          <w:b w:val="1"/>
          <w:bCs w:val="1"/>
          <w:rtl w:val="0"/>
        </w:rPr>
        <w:t xml:space="preserve">Introduction du Cost of Delay </w:t>
      </w:r>
      <w:r w:rsidDel="00000000" w:rsidR="00000000" w:rsidRPr="00000000">
        <w:rPr>
          <w:rtl w:val="0"/>
        </w:rPr>
        <w:t xml:space="preserve">: L’évaluation du retour sur investissement (ROI) d’une transition d'architecture ne saurait se limiter à une analyse comptable des seuls coûts d’infrastructure. Dans un marché hautement réglementé comme celui des Certificats d’Économie d’Énergie (CEE), la valeur d’un système d’information se mesure avant tout à sa vélocité et à sa capacité à absorber le changement sans friction. Dès lors, pour valider la rationalité économique du projet, la présente analyse abandonne les indicateurs de sinistralité passive pour adopter la méthodologie du </w:t>
      </w:r>
      <w:r w:rsidDel="00000000" w:rsidR="00000000" w:rsidRPr="00000000">
        <w:rPr>
          <w:b w:val="1"/>
          <w:bCs w:val="1"/>
          <w:rtl w:val="0"/>
        </w:rPr>
        <w:t xml:space="preserve">Cost of Delay (Coût du Retard)</w:t>
      </w:r>
      <w:r w:rsidDel="00000000" w:rsidR="00000000" w:rsidRPr="00000000">
        <w:rPr>
          <w:rtl w:val="0"/>
        </w:rPr>
        <w:t xml:space="preserve">, théorisée par Donald Reinertsen. Cette approche permet de quantifier le manque à gagner financier direct subi par le Groupe Adeena lorsqu'une nouvelle directive ou une opportunité d'offre métier est retardée en raison des rigidités du monolithe historique. </w:t>
      </w:r>
    </w:p>
    <w:p w:rsidR="00000000" w:rsidDel="00000000" w:rsidP="00000000" w:rsidRDefault="00000000" w:rsidRPr="00000000" w14:paraId="000001F6">
      <w:pPr>
        <w:pStyle w:val="Heading3"/>
        <w:spacing w:before="280" w:lineRule="auto"/>
        <w:jc w:val="both"/>
        <w:rPr>
          <w:sz w:val="26"/>
          <w:szCs w:val="26"/>
        </w:rPr>
      </w:pPr>
      <w:bookmarkStart w:colFirst="0" w:colLast="0" w:name="_heading=h.esb740owrmhj" w:id="52"/>
      <w:bookmarkEnd w:id="52"/>
      <w:r w:rsidDel="00000000" w:rsidR="00000000" w:rsidRPr="00000000">
        <w:rPr>
          <w:sz w:val="26"/>
          <w:szCs w:val="26"/>
          <w:rtl w:val="0"/>
        </w:rPr>
        <w:t xml:space="preserve">3.3. Modélisation mathématique du Cost of Delay CEE (CODC)</w:t>
      </w:r>
    </w:p>
    <w:p w:rsidR="00000000" w:rsidDel="00000000" w:rsidP="00000000" w:rsidRDefault="00000000" w:rsidRPr="00000000" w14:paraId="000001F7">
      <w:pPr>
        <w:spacing w:after="240" w:before="240" w:lineRule="auto"/>
        <w:jc w:val="both"/>
        <w:rPr/>
      </w:pPr>
      <w:r w:rsidDel="00000000" w:rsidR="00000000" w:rsidRPr="00000000">
        <w:rPr>
          <w:rtl w:val="0"/>
        </w:rPr>
        <w:t xml:space="preserve">Pour formaliser l’impact du </w:t>
      </w:r>
      <w:r w:rsidDel="00000000" w:rsidR="00000000" w:rsidRPr="00000000">
        <w:rPr>
          <w:i w:val="1"/>
          <w:iCs w:val="1"/>
          <w:rtl w:val="0"/>
        </w:rPr>
        <w:t xml:space="preserve">Time-to-Market</w:t>
      </w:r>
      <w:r w:rsidDel="00000000" w:rsidR="00000000" w:rsidRPr="00000000">
        <w:rPr>
          <w:rtl w:val="0"/>
        </w:rPr>
        <w:t xml:space="preserve">, nous introduisons l’indicateur du </w:t>
      </w:r>
      <w:r w:rsidDel="00000000" w:rsidR="00000000" w:rsidRPr="00000000">
        <w:rPr>
          <w:b w:val="1"/>
          <w:bCs w:val="1"/>
          <w:rtl w:val="0"/>
        </w:rPr>
        <w:t xml:space="preserve">Coût du Retard Cumulé CEE (CODC)</w:t>
      </w:r>
      <w:r w:rsidDel="00000000" w:rsidR="00000000" w:rsidRPr="00000000">
        <w:rPr>
          <w:rtl w:val="0"/>
        </w:rPr>
        <w:t xml:space="preserve">. Il représente la somme des pertes d'opportunités commerciales et des coûts de maintenance sur la période de latence technique nécessaire au déploiement d'une mise à jour réglementaire. La formule se structure ainsi : </w:t>
      </w:r>
      <w:r w:rsidDel="00000000" w:rsidR="00000000" w:rsidRPr="00000000">
        <w:rPr>
          <w:rtl w:val="0"/>
        </w:rPr>
      </w:r>
    </w:p>
    <w:p w:rsidR="00000000" w:rsidDel="00000000" w:rsidP="00000000" w:rsidRDefault="00000000" w:rsidRPr="00000000" w14:paraId="000001F8">
      <w:pPr>
        <w:jc w:val="both"/>
        <w:rPr/>
      </w:pPr>
      <w:r w:rsidDel="00000000" w:rsidR="00000000" w:rsidRPr="00000000">
        <w:rPr/>
        <w:drawing>
          <wp:inline distB="114300" distT="114300" distL="114300" distR="114300">
            <wp:extent cx="5760410" cy="330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41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Où :</w:t>
      </w:r>
    </w:p>
    <w:p w:rsidR="00000000" w:rsidDel="00000000" w:rsidP="00000000" w:rsidRDefault="00000000" w:rsidRPr="00000000" w14:paraId="000001FA">
      <w:pPr>
        <w:numPr>
          <w:ilvl w:val="0"/>
          <w:numId w:val="6"/>
        </w:numPr>
        <w:spacing w:after="0" w:afterAutospacing="0" w:line="276" w:lineRule="auto"/>
        <w:ind w:left="720" w:hanging="360"/>
      </w:pPr>
      <w:r w:rsidDel="00000000" w:rsidR="00000000" w:rsidRPr="00000000">
        <w:rPr>
          <w:rFonts w:ascii="Arial" w:cs="Arial" w:eastAsia="Arial" w:hAnsi="Arial"/>
          <w:rtl w:val="0"/>
        </w:rPr>
        <w:t xml:space="preserve">V_trimestriel représente le volume moyen de dossiers CEE traités par trimestre.</w:t>
      </w:r>
    </w:p>
    <w:p w:rsidR="00000000" w:rsidDel="00000000" w:rsidP="00000000" w:rsidRDefault="00000000" w:rsidRPr="00000000" w14:paraId="000001FB">
      <w:pPr>
        <w:numPr>
          <w:ilvl w:val="0"/>
          <w:numId w:val="6"/>
        </w:numPr>
        <w:spacing w:after="0" w:afterAutospacing="0" w:line="276" w:lineRule="auto"/>
        <w:ind w:left="720" w:hanging="360"/>
      </w:pPr>
      <w:r w:rsidDel="00000000" w:rsidR="00000000" w:rsidRPr="00000000">
        <w:rPr>
          <w:rFonts w:ascii="Arial" w:cs="Arial" w:eastAsia="Arial" w:hAnsi="Arial"/>
          <w:rtl w:val="0"/>
        </w:rPr>
        <w:t xml:space="preserve">Delta T exprime le retard de livraison (exprimé en fraction de trimestre) induit par la complexité de l'architecture.</w:t>
      </w:r>
    </w:p>
    <w:p w:rsidR="00000000" w:rsidDel="00000000" w:rsidP="00000000" w:rsidRDefault="00000000" w:rsidRPr="00000000" w14:paraId="000001FC">
      <w:pPr>
        <w:numPr>
          <w:ilvl w:val="0"/>
          <w:numId w:val="6"/>
        </w:numPr>
        <w:spacing w:after="0" w:afterAutospacing="0" w:line="276" w:lineRule="auto"/>
        <w:ind w:left="720" w:hanging="360"/>
      </w:pPr>
      <w:r w:rsidDel="00000000" w:rsidR="00000000" w:rsidRPr="00000000">
        <w:rPr>
          <w:rFonts w:ascii="Arial" w:cs="Arial" w:eastAsia="Arial" w:hAnsi="Arial"/>
          <w:rtl w:val="0"/>
        </w:rPr>
        <w:t xml:space="preserve">M_opportunité est la marge ou la valeur moyenne générée par le traitement d'un dossier conforme à la nouvelle réglementation.</w:t>
      </w:r>
    </w:p>
    <w:p w:rsidR="00000000" w:rsidDel="00000000" w:rsidP="00000000" w:rsidRDefault="00000000" w:rsidRPr="00000000" w14:paraId="000001FD">
      <w:pPr>
        <w:numPr>
          <w:ilvl w:val="0"/>
          <w:numId w:val="6"/>
        </w:numPr>
        <w:spacing w:after="0" w:afterAutospacing="0" w:line="276" w:lineRule="auto"/>
        <w:ind w:left="720" w:hanging="360"/>
      </w:pPr>
      <w:r w:rsidDel="00000000" w:rsidR="00000000" w:rsidRPr="00000000">
        <w:rPr>
          <w:rFonts w:ascii="Arial" w:cs="Arial" w:eastAsia="Arial" w:hAnsi="Arial"/>
          <w:rtl w:val="0"/>
        </w:rPr>
        <w:t xml:space="preserve">T_dette correspond au nombre de jours-hommes monopolisés pour résoudre les régressions et contourner le code couplé lors de la mise en conformité.</w:t>
      </w:r>
    </w:p>
    <w:p w:rsidR="00000000" w:rsidDel="00000000" w:rsidP="00000000" w:rsidRDefault="00000000" w:rsidRPr="00000000" w14:paraId="000001FE">
      <w:pPr>
        <w:numPr>
          <w:ilvl w:val="0"/>
          <w:numId w:val="6"/>
        </w:numPr>
        <w:spacing w:after="240" w:line="276" w:lineRule="auto"/>
        <w:ind w:left="720" w:hanging="360"/>
      </w:pPr>
      <w:r w:rsidDel="00000000" w:rsidR="00000000" w:rsidRPr="00000000">
        <w:rPr>
          <w:rFonts w:ascii="Arial" w:cs="Arial" w:eastAsia="Arial" w:hAnsi="Arial"/>
          <w:rtl w:val="0"/>
        </w:rPr>
        <w:t xml:space="preserve">TJM_moyen est le Taux Journalier Moyen de l'équipe technique interne.</w:t>
      </w:r>
    </w:p>
    <w:p w:rsidR="00000000" w:rsidDel="00000000" w:rsidP="00000000" w:rsidRDefault="00000000" w:rsidRPr="00000000" w14:paraId="000001FF">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Dans le modèle historique d'Adeena, l'intégration d'une nouvelle règle de calcul au sein du monolithe exige une phase de développement et de non-régression d'environ </w:t>
      </w:r>
      <w:r w:rsidDel="00000000" w:rsidR="00000000" w:rsidRPr="00000000">
        <w:rPr>
          <w:rFonts w:ascii="Arial" w:cs="Arial" w:eastAsia="Arial" w:hAnsi="Arial"/>
          <w:b w:val="1"/>
          <w:bCs w:val="1"/>
          <w:rtl w:val="0"/>
        </w:rPr>
        <w:t xml:space="preserve">trois mois (1 trimestre)</w:t>
      </w:r>
      <w:r w:rsidDel="00000000" w:rsidR="00000000" w:rsidRPr="00000000">
        <w:rPr>
          <w:rFonts w:ascii="Arial" w:cs="Arial" w:eastAsia="Arial" w:hAnsi="Arial"/>
          <w:rtl w:val="0"/>
        </w:rPr>
        <w:t xml:space="preserve">, en raison des interdépendances du code et de l'obligation de tester l'intégralité du système. À l'inverse, l'architecture cible permet d'isoler la modification au sein du seul </w:t>
      </w:r>
      <w:r w:rsidDel="00000000" w:rsidR="00000000" w:rsidRPr="00000000">
        <w:rPr>
          <w:rFonts w:ascii="Arial" w:cs="Arial" w:eastAsia="Arial" w:hAnsi="Arial"/>
          <w:i w:val="1"/>
          <w:iCs w:val="1"/>
          <w:rtl w:val="0"/>
        </w:rPr>
        <w:t xml:space="preserve">Contexte Délimité</w:t>
      </w:r>
      <w:r w:rsidDel="00000000" w:rsidR="00000000" w:rsidRPr="00000000">
        <w:rPr>
          <w:rFonts w:ascii="Arial" w:cs="Arial" w:eastAsia="Arial" w:hAnsi="Arial"/>
          <w:rtl w:val="0"/>
        </w:rPr>
        <w:t xml:space="preserve"> de la "Facturation CEE" ou du "Dossier CEE". Grâce aux pipelines CI/CD et à l'indépendance de déploiement, ce délai est ramené à </w:t>
      </w:r>
      <w:r w:rsidDel="00000000" w:rsidR="00000000" w:rsidRPr="00000000">
        <w:rPr>
          <w:rFonts w:ascii="Arial" w:cs="Arial" w:eastAsia="Arial" w:hAnsi="Arial"/>
          <w:b w:val="1"/>
          <w:bCs w:val="1"/>
          <w:rtl w:val="0"/>
        </w:rPr>
        <w:t xml:space="preserve">deux semaines (0,15 trimestre)</w:t>
      </w:r>
      <w:r w:rsidDel="00000000" w:rsidR="00000000" w:rsidRPr="00000000">
        <w:rPr>
          <w:rFonts w:ascii="Arial" w:cs="Arial" w:eastAsia="Arial" w:hAnsi="Arial"/>
          <w:rtl w:val="0"/>
        </w:rPr>
        <w:t xml:space="preserve">.</w:t>
      </w:r>
    </w:p>
    <w:p w:rsidR="00000000" w:rsidDel="00000000" w:rsidP="00000000" w:rsidRDefault="00000000" w:rsidRPr="00000000" w14:paraId="00000200">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Le coût d’opportunité lié au retard de mise sur le marché ($\Delta T$) passe ainsi de $1$ à $0,15$. Si l'on applique ce différentiel à un flux trimestriel nominal, le choix des micro-services élimine un manque à gagner structurel majeur, transformant l'architecture en un levier d'efficience financière directe.</w:t>
      </w:r>
    </w:p>
    <w:p w:rsidR="00000000" w:rsidDel="00000000" w:rsidP="00000000" w:rsidRDefault="00000000" w:rsidRPr="00000000" w14:paraId="00000201">
      <w:pPr>
        <w:jc w:val="both"/>
        <w:rPr/>
      </w:pPr>
      <w:r w:rsidDel="00000000" w:rsidR="00000000" w:rsidRPr="00000000">
        <w:rPr>
          <w:rtl w:val="0"/>
        </w:rPr>
      </w:r>
    </w:p>
    <w:p w:rsidR="00000000" w:rsidDel="00000000" w:rsidP="00000000" w:rsidRDefault="00000000" w:rsidRPr="00000000" w14:paraId="00000202">
      <w:pPr>
        <w:pStyle w:val="Heading2"/>
        <w:numPr>
          <w:ilvl w:val="0"/>
          <w:numId w:val="10"/>
        </w:numPr>
        <w:ind w:left="720" w:hanging="360"/>
        <w:jc w:val="both"/>
        <w:rPr/>
      </w:pPr>
      <w:bookmarkStart w:colFirst="0" w:colLast="0" w:name="_heading=h.u6m26rwhg27j" w:id="53"/>
      <w:bookmarkEnd w:id="53"/>
      <w:r w:rsidDel="00000000" w:rsidR="00000000" w:rsidRPr="00000000">
        <w:rPr>
          <w:rtl w:val="0"/>
        </w:rPr>
        <w:t xml:space="preserve">4. Analyse des impacts organisationnels et techniques :</w:t>
      </w:r>
    </w:p>
    <w:p w:rsidR="00000000" w:rsidDel="00000000" w:rsidP="00000000" w:rsidRDefault="00000000" w:rsidRPr="00000000" w14:paraId="00000203">
      <w:pPr>
        <w:numPr>
          <w:ilvl w:val="1"/>
          <w:numId w:val="10"/>
        </w:numPr>
        <w:ind w:left="1440" w:hanging="360"/>
        <w:jc w:val="both"/>
        <w:rPr>
          <w:b w:val="1"/>
          <w:bCs w:val="1"/>
        </w:rPr>
      </w:pPr>
      <w:r w:rsidDel="00000000" w:rsidR="00000000" w:rsidRPr="00000000">
        <w:rPr>
          <w:b w:val="1"/>
          <w:bCs w:val="1"/>
          <w:rtl w:val="0"/>
        </w:rPr>
        <w:t xml:space="preserve">Transformation de la culture d'entreprise vers une culture de l'automatisation et de la résilience.</w:t>
      </w:r>
    </w:p>
    <w:p w:rsidR="00000000" w:rsidDel="00000000" w:rsidP="00000000" w:rsidRDefault="00000000" w:rsidRPr="00000000" w14:paraId="00000204">
      <w:pPr>
        <w:spacing w:after="240" w:before="240" w:lineRule="auto"/>
        <w:jc w:val="both"/>
        <w:rPr/>
      </w:pPr>
      <w:r w:rsidDel="00000000" w:rsidR="00000000" w:rsidRPr="00000000">
        <w:rPr>
          <w:rtl w:val="0"/>
        </w:rPr>
        <w:t xml:space="preserve">La transition d'une architecture monolithique vers un écosystème de micro-services dépasse largement le cadre purement technologique. Elle induit un changement de paradigme profond au sein de l'organisation, nécessitant une évolution structurelle de la culture d'entreprise pour soutenir cette nouvelle architecture hybride et distribuée.</w:t>
      </w:r>
    </w:p>
    <w:p w:rsidR="00000000" w:rsidDel="00000000" w:rsidP="00000000" w:rsidRDefault="00000000" w:rsidRPr="00000000" w14:paraId="00000205">
      <w:pPr>
        <w:spacing w:after="240" w:before="240" w:lineRule="auto"/>
        <w:jc w:val="both"/>
        <w:rPr/>
      </w:pPr>
      <w:r w:rsidDel="00000000" w:rsidR="00000000" w:rsidRPr="00000000">
        <w:rPr>
          <w:b w:val="1"/>
          <w:bCs w:val="1"/>
          <w:rtl w:val="0"/>
        </w:rPr>
        <w:t xml:space="preserve">La culture de l'automatisation comme prérequis</w:t>
      </w:r>
      <w:r w:rsidDel="00000000" w:rsidR="00000000" w:rsidRPr="00000000">
        <w:rPr>
          <w:rtl w:val="0"/>
        </w:rPr>
        <w:t xml:space="preserve"> Dans un modèle traditionnel, les processus de test, d'intégration et de déploiement reposent souvent sur des interventions humaines, tolérables pour des cycles de livraison longs et monolithiques. Avec la fragmentation applicative, l'intervention manuelle devient un goulot d'étranglement critique et la principale source d'instabilité. La migration impose donc d'adopter une culture de l'automatisation systémique. La configuration des serveurs, le routage du </w:t>
      </w:r>
      <w:r w:rsidDel="00000000" w:rsidR="00000000" w:rsidRPr="00000000">
        <w:rPr>
          <w:i w:val="1"/>
          <w:iCs w:val="1"/>
          <w:rtl w:val="0"/>
        </w:rPr>
        <w:t xml:space="preserve">Reverse Proxy</w:t>
      </w:r>
      <w:r w:rsidDel="00000000" w:rsidR="00000000" w:rsidRPr="00000000">
        <w:rPr>
          <w:rtl w:val="0"/>
        </w:rPr>
        <w:t xml:space="preserve">, et l'intégration continue (CI/CD) doivent être codifiés (</w:t>
      </w:r>
      <w:r w:rsidDel="00000000" w:rsidR="00000000" w:rsidRPr="00000000">
        <w:rPr>
          <w:i w:val="1"/>
          <w:iCs w:val="1"/>
          <w:rtl w:val="0"/>
        </w:rPr>
        <w:t xml:space="preserve">Infrastructure as Code</w:t>
      </w:r>
      <w:r w:rsidDel="00000000" w:rsidR="00000000" w:rsidRPr="00000000">
        <w:rPr>
          <w:rtl w:val="0"/>
        </w:rPr>
        <w:t xml:space="preserve">). Cette automatisation n'est pas un simple levier de productivité ; elle constitue le socle indispensable pour exécuter des déploiements itératifs, réversibles et transparents pour l'utilisateur, garantissant ainsi l'objectif de "Zero Downtime".</w:t>
      </w:r>
    </w:p>
    <w:p w:rsidR="00000000" w:rsidDel="00000000" w:rsidP="00000000" w:rsidRDefault="00000000" w:rsidRPr="00000000" w14:paraId="00000206">
      <w:pPr>
        <w:spacing w:after="240" w:before="240" w:lineRule="auto"/>
        <w:jc w:val="both"/>
        <w:rPr/>
      </w:pPr>
      <w:r w:rsidDel="00000000" w:rsidR="00000000" w:rsidRPr="00000000">
        <w:rPr>
          <w:b w:val="1"/>
          <w:bCs w:val="1"/>
          <w:rtl w:val="0"/>
        </w:rPr>
        <w:t xml:space="preserve">Le changement de paradigme : du "Design for Stability" au "Design for Failure"</w:t>
      </w:r>
      <w:r w:rsidDel="00000000" w:rsidR="00000000" w:rsidRPr="00000000">
        <w:rPr>
          <w:rtl w:val="0"/>
        </w:rPr>
        <w:t xml:space="preserve"> L'impact technique le plus marquant réside dans l'approche face aux incidents. L'ingénierie du monolithe concentre ses efforts sur la prévention absolue de la panne, cherchant à bâtir un système infaillible. À l'inverse, une architecture distribuée postule que, statistiquement, les composants matériels ou réseau finiront inévitablement par défaillir. L'organisation doit par conséquent basculer vers une culture de la résilience (</w:t>
      </w:r>
      <w:r w:rsidDel="00000000" w:rsidR="00000000" w:rsidRPr="00000000">
        <w:rPr>
          <w:i w:val="1"/>
          <w:iCs w:val="1"/>
          <w:rtl w:val="0"/>
        </w:rPr>
        <w:t xml:space="preserve">Design for Failure</w:t>
      </w:r>
      <w:r w:rsidDel="00000000" w:rsidR="00000000" w:rsidRPr="00000000">
        <w:rPr>
          <w:rtl w:val="0"/>
        </w:rPr>
        <w:t xml:space="preserve">). Les développeurs intègrent cette réalité dès la conception en programmant la tolérance aux pannes : mise en œuvre de la dégradation gracieuse du service (désactiver un module non critique sans bloquer la navigation), définition de stratégies de repli (</w:t>
      </w:r>
      <w:r w:rsidDel="00000000" w:rsidR="00000000" w:rsidRPr="00000000">
        <w:rPr>
          <w:i w:val="1"/>
          <w:iCs w:val="1"/>
          <w:rtl w:val="0"/>
        </w:rPr>
        <w:t xml:space="preserve">fallbacks</w:t>
      </w:r>
      <w:r w:rsidDel="00000000" w:rsidR="00000000" w:rsidRPr="00000000">
        <w:rPr>
          <w:rtl w:val="0"/>
        </w:rPr>
        <w:t xml:space="preserve">) et gestion des délais d'attente réseau (</w:t>
      </w:r>
      <w:r w:rsidDel="00000000" w:rsidR="00000000" w:rsidRPr="00000000">
        <w:rPr>
          <w:i w:val="1"/>
          <w:iCs w:val="1"/>
          <w:rtl w:val="0"/>
        </w:rPr>
        <w:t xml:space="preserve">timeouts</w:t>
      </w:r>
      <w:r w:rsidDel="00000000" w:rsidR="00000000" w:rsidRPr="00000000">
        <w:rPr>
          <w:rtl w:val="0"/>
        </w:rPr>
        <w:t xml:space="preserve">), transformant la panne d'une fatalité technique en un simple événement géré.</w:t>
      </w:r>
    </w:p>
    <w:p w:rsidR="00000000" w:rsidDel="00000000" w:rsidP="00000000" w:rsidRDefault="00000000" w:rsidRPr="00000000" w14:paraId="00000207">
      <w:pPr>
        <w:spacing w:after="240" w:before="240" w:lineRule="auto"/>
        <w:jc w:val="both"/>
        <w:rPr/>
      </w:pPr>
      <w:r w:rsidDel="00000000" w:rsidR="00000000" w:rsidRPr="00000000">
        <w:rPr>
          <w:b w:val="1"/>
          <w:bCs w:val="1"/>
          <w:rtl w:val="0"/>
        </w:rPr>
        <w:t xml:space="preserve">L'impact organisationnel : appropriation et amélioration continue</w:t>
      </w:r>
      <w:r w:rsidDel="00000000" w:rsidR="00000000" w:rsidRPr="00000000">
        <w:rPr>
          <w:rtl w:val="0"/>
        </w:rPr>
        <w:t xml:space="preserve"> Cette mutation technologique redéfinit l'implication des collaborateurs. L'adoption d'un tel écosystème rend obsolète la frontière historique séparant ceux qui développent le code et ceux qui l'exploitent en production. Pour pérenniser la démarche, le management doit accompagner la transition vers une culture DevOps, caractérisée par une appropriation de bout en bout des services (</w:t>
      </w:r>
      <w:r w:rsidDel="00000000" w:rsidR="00000000" w:rsidRPr="00000000">
        <w:rPr>
          <w:i w:val="1"/>
          <w:iCs w:val="1"/>
          <w:rtl w:val="0"/>
        </w:rPr>
        <w:t xml:space="preserve">ownership</w:t>
      </w:r>
      <w:r w:rsidDel="00000000" w:rsidR="00000000" w:rsidRPr="00000000">
        <w:rPr>
          <w:rtl w:val="0"/>
        </w:rPr>
        <w:t xml:space="preserve">). Afin de sécuriser les équipes face à ces nouvelles responsabilités, l'entreprise doit instaurer un climat d'apprentissage continu, s'appuyant notamment sur des pratiques de revues d'incidents non punitives (</w:t>
      </w:r>
      <w:r w:rsidDel="00000000" w:rsidR="00000000" w:rsidRPr="00000000">
        <w:rPr>
          <w:i w:val="1"/>
          <w:iCs w:val="1"/>
          <w:rtl w:val="0"/>
        </w:rPr>
        <w:t xml:space="preserve">blameless post-mortems</w:t>
      </w:r>
      <w:r w:rsidDel="00000000" w:rsidR="00000000" w:rsidRPr="00000000">
        <w:rPr>
          <w:rtl w:val="0"/>
        </w:rPr>
        <w:t xml:space="preserve">). Chaque défaillance devient alors une opportunité d'optimiser les règles de monitoring et d'enrichir l'automatisation, consolidant la robustesse globale du système d'information.</w:t>
      </w:r>
    </w:p>
    <w:p w:rsidR="00000000" w:rsidDel="00000000" w:rsidP="00000000" w:rsidRDefault="00000000" w:rsidRPr="00000000" w14:paraId="00000208">
      <w:pPr>
        <w:pStyle w:val="Heading2"/>
        <w:rPr/>
      </w:pPr>
      <w:bookmarkStart w:colFirst="0" w:colLast="0" w:name="_heading=h.w3x2bz26jypg" w:id="54"/>
      <w:bookmarkEnd w:id="54"/>
      <w:r w:rsidDel="00000000" w:rsidR="00000000" w:rsidRPr="00000000">
        <w:rPr>
          <w:b w:val="1"/>
          <w:bCs w:val="1"/>
          <w:rtl w:val="0"/>
        </w:rPr>
        <w:t xml:space="preserve">5. Optimisation énergétique de l'architecture (Green IT)</w:t>
      </w: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5.1. La mutualisation intelligente des ressources (Resource Pooling)</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Dans une architecture monolithique traditionnelle déployée sur des serveurs dédiés, chaque service est souvent dimensionné pour son pic de charge maximal, ce qui conduit à un important sur-provisionnement (</w:t>
      </w:r>
      <w:r w:rsidDel="00000000" w:rsidR="00000000" w:rsidRPr="00000000">
        <w:rPr>
          <w:i w:val="1"/>
          <w:iCs w:val="1"/>
          <w:rtl w:val="0"/>
        </w:rPr>
        <w:t xml:space="preserve">over-provisioning</w:t>
      </w:r>
      <w:r w:rsidDel="00000000" w:rsidR="00000000" w:rsidRPr="00000000">
        <w:rPr>
          <w:rtl w:val="0"/>
        </w:rPr>
        <w:t xml:space="preserve">) et à des ressources matérielles sous-utilisées en période de faible activité. L'architecture distribuée conteneurisée permet une mutualisation dynamique des ressources matérielles. Grâce aux orchestrateurs, les services sont regroupés de manière dense sur les nœuds de calcul (</w:t>
      </w:r>
      <w:r w:rsidDel="00000000" w:rsidR="00000000" w:rsidRPr="00000000">
        <w:rPr>
          <w:i w:val="1"/>
          <w:iCs w:val="1"/>
          <w:rtl w:val="0"/>
        </w:rPr>
        <w:t xml:space="preserve">bin-packing</w:t>
      </w:r>
      <w:r w:rsidDel="00000000" w:rsidR="00000000" w:rsidRPr="00000000">
        <w:rPr>
          <w:rtl w:val="0"/>
        </w:rPr>
        <w:t xml:space="preserve">). Cette densité permet de réduire drastiquement le nombre de serveurs physiques nécessaires, minimisant ainsi l'empreinte énergétique globale du centre de données tout en prolongeant la durée de vie du matériel par une charge mieux répartie.</w:t>
      </w:r>
    </w:p>
    <w:p w:rsidR="00000000" w:rsidDel="00000000" w:rsidP="00000000" w:rsidRDefault="00000000" w:rsidRPr="00000000" w14:paraId="0000020B">
      <w:pPr>
        <w:rPr/>
      </w:pPr>
      <w:r w:rsidDel="00000000" w:rsidR="00000000" w:rsidRPr="00000000">
        <w:rPr>
          <w:b w:val="1"/>
          <w:bCs w:val="1"/>
          <w:rtl w:val="0"/>
        </w:rPr>
        <w:t xml:space="preserve">5.2. Efficacité de la conteneurisation face aux machines virtuelles</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Contrairement aux machines virtuelles traditionnelles (VM), qui nécessitent l'émulation complète d'un système d'exploitation et consomment des ressources processeur (CPU) et mémoire significatives même au repos (</w:t>
      </w:r>
      <w:r w:rsidDel="00000000" w:rsidR="00000000" w:rsidRPr="00000000">
        <w:rPr>
          <w:i w:val="1"/>
          <w:iCs w:val="1"/>
          <w:rtl w:val="0"/>
        </w:rPr>
        <w:t xml:space="preserve">overhead</w:t>
      </w:r>
      <w:r w:rsidDel="00000000" w:rsidR="00000000" w:rsidRPr="00000000">
        <w:rPr>
          <w:rtl w:val="0"/>
        </w:rPr>
        <w:t xml:space="preserve">), les conteneurs partagent le noyau de l'hôte. Cette architecture légère permet de réduire la consommation CPU nécessaire aux fonctions d'administration du système, libérant davantage de cycles pour le traitement métier. En augmentant la densité de services par machine physique, on diminue proportionnellement la consommation énergétique par unité de calcul utile, transformant chaque micro-service en une brique de calcul plus économe en énergie.</w:t>
      </w:r>
    </w:p>
    <w:p w:rsidR="00000000" w:rsidDel="00000000" w:rsidP="00000000" w:rsidRDefault="00000000" w:rsidRPr="00000000" w14:paraId="0000020D">
      <w:pPr>
        <w:rPr/>
      </w:pPr>
      <w:r w:rsidDel="00000000" w:rsidR="00000000" w:rsidRPr="00000000">
        <w:rPr>
          <w:rtl w:val="0"/>
        </w:rPr>
        <w:t xml:space="preserve">En intégrant ces principes, le Groupe Adeena ne se contente pas de moderniser son SI ; il adopte une démarche responsable, alignant ses choix technologiques avec les exigences croissantes de sobriété numérique.</w:t>
      </w:r>
    </w:p>
    <w:p w:rsidR="00000000" w:rsidDel="00000000" w:rsidP="00000000" w:rsidRDefault="00000000" w:rsidRPr="00000000" w14:paraId="0000020E">
      <w:pPr>
        <w:rPr/>
      </w:pPr>
      <w:r w:rsidDel="00000000" w:rsidR="00000000" w:rsidRPr="00000000">
        <w:rPr>
          <w:rtl w:val="0"/>
        </w:rPr>
        <w:t xml:space="preserve">La transition vers une architecture micro-services conteneurisée n'est pas seulement un levier de performance et d'agilité ; c'est également une opportunité majeure d'optimisation énergétique, répondant aux enjeux croissants du Green IT. </w:t>
      </w: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1"/>
        <w:rPr/>
      </w:pPr>
      <w:bookmarkStart w:colFirst="0" w:colLast="0" w:name="_heading=h.svwsg377etm1" w:id="55"/>
      <w:bookmarkEnd w:id="55"/>
      <w:r w:rsidDel="00000000" w:rsidR="00000000" w:rsidRPr="00000000">
        <w:rPr>
          <w:rtl w:val="0"/>
        </w:rPr>
        <w:t xml:space="preserve">Conclusion générale </w:t>
      </w:r>
      <w:r w:rsidDel="00000000" w:rsidR="00000000" w:rsidRPr="00000000">
        <w:rPr>
          <w:rtl w:val="0"/>
        </w:rPr>
      </w:r>
    </w:p>
    <w:p w:rsidR="00000000" w:rsidDel="00000000" w:rsidP="00000000" w:rsidRDefault="00000000" w:rsidRPr="00000000" w14:paraId="00000210">
      <w:pPr>
        <w:spacing w:after="160" w:line="277.992" w:lineRule="auto"/>
        <w:rPr>
          <w:rFonts w:ascii="Arial" w:cs="Arial" w:eastAsia="Arial" w:hAnsi="Arial"/>
        </w:rPr>
      </w:pPr>
      <w:r w:rsidDel="00000000" w:rsidR="00000000" w:rsidRPr="00000000">
        <w:rPr>
          <w:rFonts w:ascii="Arial" w:cs="Arial" w:eastAsia="Arial" w:hAnsi="Arial"/>
          <w:rtl w:val="0"/>
        </w:rPr>
        <w:t xml:space="preserve">Ce mémoire a démontré que la migration d'une architecture monolithique vers une architecture micro-services constitue une transformation stratégique majeure pour le Groupe Adeena, bien au-delà de la simple évolution technologique.</w:t>
      </w:r>
    </w:p>
    <w:p w:rsidR="00000000" w:rsidDel="00000000" w:rsidP="00000000" w:rsidRDefault="00000000" w:rsidRPr="00000000" w14:paraId="00000211">
      <w:pPr>
        <w:spacing w:after="160" w:line="277.992" w:lineRule="auto"/>
        <w:rPr>
          <w:rFonts w:ascii="Arial" w:cs="Arial" w:eastAsia="Arial" w:hAnsi="Arial"/>
        </w:rPr>
      </w:pPr>
      <w:r w:rsidDel="00000000" w:rsidR="00000000" w:rsidRPr="00000000">
        <w:rPr>
          <w:rFonts w:ascii="Arial" w:cs="Arial" w:eastAsia="Arial" w:hAnsi="Arial"/>
          <w:rtl w:val="0"/>
        </w:rPr>
        <w:t xml:space="preserve">La problématique de la continuité du service, cœur de cette étude, trouve sa résolution dans une approche pragmatique et progressive. L'adoption du 'Strangler Fig Pattern' permet une transition transparente en minimisant les risques de régression, tandis que le découpage fonctionnel basé sur le Domain-Driven Design (DDD) garantit l'autonomie et la scalabilité des services. Cette robustesse opérationnelle est complétée par une stratégie d'observabilité rigoureuse (Jaeger, Loki, Prometheus), transformant la gestion des incidents d'une approche réactive vers une proactivité nécessaire au maintien des engagements de disponibilité (SLA/SLO).</w:t>
      </w:r>
    </w:p>
    <w:p w:rsidR="00000000" w:rsidDel="00000000" w:rsidP="00000000" w:rsidRDefault="00000000" w:rsidRPr="00000000" w14:paraId="00000212">
      <w:pPr>
        <w:spacing w:after="160" w:line="277.992" w:lineRule="auto"/>
        <w:rPr>
          <w:rFonts w:ascii="Arial" w:cs="Arial" w:eastAsia="Arial" w:hAnsi="Arial"/>
        </w:rPr>
      </w:pPr>
      <w:r w:rsidDel="00000000" w:rsidR="00000000" w:rsidRPr="00000000">
        <w:rPr>
          <w:rFonts w:ascii="Arial" w:cs="Arial" w:eastAsia="Arial" w:hAnsi="Arial"/>
          <w:color w:val="1f1f1f"/>
          <w:highlight w:val="white"/>
          <w:rtl w:val="0"/>
        </w:rPr>
        <w:t xml:space="preserve">Bien que cette architecture cible réponde aux défis de scalabilité et de résilience, il convient de tempérer cette analyse par les limites inhérentes à une telle migration. Si l'approche technique est solide, la réalité du terrain reste marquée par la complexité de la dette de données. La transition des bases de données historiques vers des modèles isolés demeure le point le plus délicat, où le risque de désynchronisation n'est jamais totalement nul. De plus, nous avons pu constater que le succès de ce projet repose autant sur la qualité des choix techniques que sur la maturité des équipes. L'appropriation des pratiques DevOps et la courbe d'apprentissage sur les technologies distribuées représentent un investissement humain et temporel qui, s'il est sous-estimé, peut constituer un frein majeur à la réussite du déploiement.</w:t>
      </w:r>
      <w:r w:rsidDel="00000000" w:rsidR="00000000" w:rsidRPr="00000000">
        <w:rPr>
          <w:rFonts w:ascii="Arial" w:cs="Arial" w:eastAsia="Arial" w:hAnsi="Arial"/>
          <w:rtl w:val="0"/>
        </w:rPr>
        <w:t xml:space="preserve"> </w:t>
      </w:r>
    </w:p>
    <w:p w:rsidR="00000000" w:rsidDel="00000000" w:rsidP="00000000" w:rsidRDefault="00000000" w:rsidRPr="00000000" w14:paraId="00000213">
      <w:pPr>
        <w:spacing w:after="160" w:line="277.992" w:lineRule="auto"/>
        <w:rPr>
          <w:rFonts w:ascii="Arial" w:cs="Arial" w:eastAsia="Arial" w:hAnsi="Arial"/>
        </w:rPr>
      </w:pPr>
      <w:r w:rsidDel="00000000" w:rsidR="00000000" w:rsidRPr="00000000">
        <w:rPr>
          <w:rFonts w:ascii="Arial" w:cs="Arial" w:eastAsia="Arial" w:hAnsi="Arial"/>
          <w:rtl w:val="0"/>
        </w:rPr>
        <w:t xml:space="preserve">Pour le Groupe Adeena, cette migration ouvre la voie à une réelle agilité opérationnelle, permettant un Time-to-Market réduit et une capacité d'innovation accrue, conditions indispensables pour rivaliser dans l'économie numérique. Sur un plan personnel, cet exercice m'a permis de consolider mon expertise technique en systèmes distribués tout en développant une vision managériale globale, essentielle pour piloter de tels projets complexes en conciliant contraintes techniques et conduite du changement humain.</w:t>
      </w:r>
    </w:p>
    <w:p w:rsidR="00000000" w:rsidDel="00000000" w:rsidP="00000000" w:rsidRDefault="00000000" w:rsidRPr="00000000" w14:paraId="00000214">
      <w:pPr>
        <w:spacing w:after="160" w:line="277.992" w:lineRule="auto"/>
        <w:rPr>
          <w:rFonts w:ascii="Arial" w:cs="Arial" w:eastAsia="Arial" w:hAnsi="Arial"/>
        </w:rPr>
      </w:pPr>
      <w:r w:rsidDel="00000000" w:rsidR="00000000" w:rsidRPr="00000000">
        <w:rPr>
          <w:rFonts w:ascii="Arial" w:cs="Arial" w:eastAsia="Arial" w:hAnsi="Arial"/>
          <w:color w:val="1f1f1f"/>
          <w:highlight w:val="white"/>
          <w:rtl w:val="0"/>
        </w:rPr>
        <w:t xml:space="preserve">Au-delà de la migration réussie, ce travail ouvre des perspectives d'évolution stimulantes pour Adeena. Dans une logique de croissance continue, le déploiement futur d'un 'maillage de services' (</w:t>
      </w:r>
      <w:r w:rsidDel="00000000" w:rsidR="00000000" w:rsidRPr="00000000">
        <w:rPr>
          <w:rFonts w:ascii="Arial" w:cs="Arial" w:eastAsia="Arial" w:hAnsi="Arial"/>
          <w:i w:val="1"/>
          <w:iCs w:val="1"/>
          <w:color w:val="1f1f1f"/>
          <w:highlight w:val="white"/>
          <w:rtl w:val="0"/>
        </w:rPr>
        <w:t xml:space="preserve">Service Mesh</w:t>
      </w:r>
      <w:r w:rsidDel="00000000" w:rsidR="00000000" w:rsidRPr="00000000">
        <w:rPr>
          <w:rFonts w:ascii="Arial" w:cs="Arial" w:eastAsia="Arial" w:hAnsi="Arial"/>
          <w:color w:val="1f1f1f"/>
          <w:highlight w:val="white"/>
          <w:rtl w:val="0"/>
        </w:rPr>
        <w:t xml:space="preserve">) pourrait devenir nécessaire pour orchestrer la complexité réseau si le nombre de services venait à croître exponentiellement. Par ailleurs, la question de la sobriété numérique, introduite ici par l'optimisation énergétique de l'architecture conteneurisée, devra figurer au cœur des futures décisions IT. À terme, l'enjeu ne sera plus seulement de construire des systèmes performants, mais de concevoir des architectures durables, où la consommation des ressources de calcul devient un indicateur de performance (KPI) au même titre que la latence ou la disponibilité. </w:t>
      </w:r>
      <w:r w:rsidDel="00000000" w:rsidR="00000000" w:rsidRPr="00000000">
        <w:rPr>
          <w:rFonts w:ascii="Arial" w:cs="Arial" w:eastAsia="Arial" w:hAnsi="Arial"/>
          <w:rtl w:val="0"/>
        </w:rPr>
        <w:t xml:space="preserve">De plus, les estimations budgétaires, bien que basées sur une approche pragmatique, demeurent dépendantes de facteurs variables comme la vitesse de montée en compétence des équipes et les coûts imprévisibles liés aux infrastructures cloud sur le long terme. </w:t>
      </w:r>
      <w:r w:rsidDel="00000000" w:rsidR="00000000" w:rsidRPr="00000000">
        <w:rPr>
          <w:rFonts w:ascii="Arial" w:cs="Arial" w:eastAsia="Arial" w:hAnsi="Arial"/>
          <w:color w:val="1f1f1f"/>
          <w:highlight w:val="white"/>
          <w:rtl w:val="0"/>
        </w:rPr>
        <w:t xml:space="preserve">L'architecture distribuée n'est donc pas une fin en soi, mais le point de départ d'une informatique plus agile, résiliente et responsable</w:t>
      </w:r>
      <w:r w:rsidDel="00000000" w:rsidR="00000000" w:rsidRPr="00000000">
        <w:rPr>
          <w:rFonts w:ascii="Arial" w:cs="Arial" w:eastAsia="Arial" w:hAnsi="Arial"/>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15">
      <w:pPr>
        <w:spacing w:after="160" w:line="277.992" w:lineRule="auto"/>
        <w:rPr>
          <w:rFonts w:ascii="Arial" w:cs="Arial" w:eastAsia="Arial" w:hAnsi="Arial"/>
        </w:rPr>
      </w:pPr>
      <w:r w:rsidDel="00000000" w:rsidR="00000000" w:rsidRPr="00000000">
        <w:rPr>
          <w:rtl w:val="0"/>
        </w:rPr>
      </w:r>
    </w:p>
    <w:p w:rsidR="00000000" w:rsidDel="00000000" w:rsidP="00000000" w:rsidRDefault="00000000" w:rsidRPr="00000000" w14:paraId="00000216">
      <w:pPr>
        <w:spacing w:after="160" w:line="277.992" w:lineRule="auto"/>
        <w:rPr>
          <w:b w:val="1"/>
          <w:bCs w:val="1"/>
        </w:rPr>
      </w:pPr>
      <w:r w:rsidDel="00000000" w:rsidR="00000000" w:rsidRPr="00000000">
        <w:rPr>
          <w:b w:val="1"/>
          <w:bCs w:val="1"/>
          <w:rtl w:val="0"/>
        </w:rPr>
        <w:t xml:space="preserve">Bibliographie</w:t>
      </w:r>
    </w:p>
    <w:p w:rsidR="00000000" w:rsidDel="00000000" w:rsidP="00000000" w:rsidRDefault="00000000" w:rsidRPr="00000000" w14:paraId="00000217">
      <w:pPr>
        <w:numPr>
          <w:ilvl w:val="0"/>
          <w:numId w:val="12"/>
        </w:numPr>
        <w:ind w:left="720" w:hanging="360"/>
        <w:rPr/>
      </w:pPr>
      <w:r w:rsidDel="00000000" w:rsidR="00000000" w:rsidRPr="00000000">
        <w:rPr>
          <w:rtl w:val="0"/>
        </w:rPr>
        <w:t xml:space="preserve">Sources académiques (ouvrages, articles scientifiques).</w:t>
      </w:r>
    </w:p>
    <w:p w:rsidR="00000000" w:rsidDel="00000000" w:rsidP="00000000" w:rsidRDefault="00000000" w:rsidRPr="00000000" w14:paraId="00000218">
      <w:pPr>
        <w:numPr>
          <w:ilvl w:val="0"/>
          <w:numId w:val="12"/>
        </w:numPr>
        <w:ind w:left="720" w:hanging="360"/>
        <w:rPr/>
      </w:pPr>
      <w:r w:rsidDel="00000000" w:rsidR="00000000" w:rsidRPr="00000000">
        <w:rPr>
          <w:rtl w:val="0"/>
        </w:rPr>
        <w:t xml:space="preserve">Sources professionnelles (rapports, normes, documentation technique).</w:t>
      </w:r>
    </w:p>
    <w:p w:rsidR="00000000" w:rsidDel="00000000" w:rsidP="00000000" w:rsidRDefault="00000000" w:rsidRPr="00000000" w14:paraId="00000219">
      <w:pPr>
        <w:ind w:left="720" w:firstLine="0"/>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21A">
      <w:pPr>
        <w:rPr/>
      </w:pPr>
      <w:r w:rsidDel="00000000" w:rsidR="00000000" w:rsidRPr="00000000">
        <w:rPr>
          <w:rFonts w:ascii="Roboto" w:cs="Roboto" w:eastAsia="Roboto" w:hAnsi="Roboto"/>
          <w:color w:val="1f1f1f"/>
          <w:highlight w:val="white"/>
          <w:rtl w:val="0"/>
        </w:rPr>
        <w:t xml:space="preserve">Evans, E. "Domain-Driven Design: Tackling Complexity in the Heart of Software". Addison-Wesley, 2003. Disponible sur : </w:t>
      </w:r>
      <w:hyperlink r:id="rId9">
        <w:r w:rsidDel="00000000" w:rsidR="00000000" w:rsidRPr="00000000">
          <w:rPr>
            <w:rFonts w:ascii="Roboto" w:cs="Roboto" w:eastAsia="Roboto" w:hAnsi="Roboto"/>
            <w:color w:val="0b57d0"/>
            <w:highlight w:val="white"/>
            <w:u w:val="single"/>
            <w:rtl w:val="0"/>
          </w:rPr>
          <w:t xml:space="preserve">https://www.dddcommunity.org/book/evans_2003/</w:t>
        </w:r>
      </w:hyperlink>
      <w:r w:rsidDel="00000000" w:rsidR="00000000" w:rsidRPr="00000000">
        <w:rPr>
          <w:rFonts w:ascii="Roboto" w:cs="Roboto" w:eastAsia="Roboto" w:hAnsi="Roboto"/>
          <w:color w:val="1f1f1f"/>
          <w:highlight w:val="white"/>
          <w:rtl w:val="0"/>
        </w:rPr>
        <w:t xml:space="preserve"> (Consulté le : 12 mai 2026).</w:t>
      </w:r>
      <w:r w:rsidDel="00000000" w:rsidR="00000000" w:rsidRPr="00000000">
        <w:rPr>
          <w:rtl w:val="0"/>
        </w:rPr>
      </w:r>
    </w:p>
    <w:p w:rsidR="00000000" w:rsidDel="00000000" w:rsidP="00000000" w:rsidRDefault="00000000" w:rsidRPr="00000000" w14:paraId="0000021B">
      <w:pPr>
        <w:rPr/>
      </w:pPr>
      <w:r w:rsidDel="00000000" w:rsidR="00000000" w:rsidRPr="00000000">
        <w:rPr>
          <w:rFonts w:ascii="Roboto" w:cs="Roboto" w:eastAsia="Roboto" w:hAnsi="Roboto"/>
          <w:color w:val="1f1f1f"/>
          <w:highlight w:val="white"/>
          <w:rtl w:val="0"/>
        </w:rPr>
        <w:t xml:space="preserve">Fowler, M. "Strangler Fig Application". martinfowler.com, 2004. Disponible sur : </w:t>
      </w:r>
      <w:hyperlink r:id="rId10">
        <w:r w:rsidDel="00000000" w:rsidR="00000000" w:rsidRPr="00000000">
          <w:rPr>
            <w:rFonts w:ascii="Roboto" w:cs="Roboto" w:eastAsia="Roboto" w:hAnsi="Roboto"/>
            <w:color w:val="0b57d0"/>
            <w:highlight w:val="white"/>
            <w:u w:val="single"/>
            <w:rtl w:val="0"/>
          </w:rPr>
          <w:t xml:space="preserve">https://martinfowler.com/bliki/StranglerFigApplication.html</w:t>
        </w:r>
      </w:hyperlink>
      <w:r w:rsidDel="00000000" w:rsidR="00000000" w:rsidRPr="00000000">
        <w:rPr>
          <w:rFonts w:ascii="Roboto" w:cs="Roboto" w:eastAsia="Roboto" w:hAnsi="Roboto"/>
          <w:color w:val="1f1f1f"/>
          <w:highlight w:val="white"/>
          <w:rtl w:val="0"/>
        </w:rPr>
        <w:t xml:space="preserve"> (Consulté le : 15 mai 2026).</w:t>
      </w:r>
      <w:r w:rsidDel="00000000" w:rsidR="00000000" w:rsidRPr="00000000">
        <w:rPr>
          <w:rtl w:val="0"/>
        </w:rPr>
      </w:r>
    </w:p>
    <w:p w:rsidR="00000000" w:rsidDel="00000000" w:rsidP="00000000" w:rsidRDefault="00000000" w:rsidRPr="00000000" w14:paraId="0000021C">
      <w:pPr>
        <w:rPr/>
      </w:pPr>
      <w:r w:rsidDel="00000000" w:rsidR="00000000" w:rsidRPr="00000000">
        <w:rPr>
          <w:rFonts w:ascii="Roboto" w:cs="Roboto" w:eastAsia="Roboto" w:hAnsi="Roboto"/>
          <w:color w:val="1f1f1f"/>
          <w:highlight w:val="white"/>
          <w:rtl w:val="0"/>
        </w:rPr>
        <w:t xml:space="preserve">Martin, R. C. "Principles and Patterns". Object Mentor, 2000. Disponible sur : </w:t>
      </w:r>
      <w:hyperlink r:id="rId11">
        <w:r w:rsidDel="00000000" w:rsidR="00000000" w:rsidRPr="00000000">
          <w:rPr>
            <w:rFonts w:ascii="Roboto" w:cs="Roboto" w:eastAsia="Roboto" w:hAnsi="Roboto"/>
            <w:color w:val="0b57d0"/>
            <w:highlight w:val="white"/>
            <w:u w:val="single"/>
            <w:rtl w:val="0"/>
          </w:rPr>
          <w:t xml:space="preserve">https://web.archive.org/web/20060907185208/http://www.objectmentor.com/resources/articles/Principles_and_Patterns.pdf</w:t>
        </w:r>
      </w:hyperlink>
      <w:r w:rsidDel="00000000" w:rsidR="00000000" w:rsidRPr="00000000">
        <w:rPr>
          <w:rFonts w:ascii="Roboto" w:cs="Roboto" w:eastAsia="Roboto" w:hAnsi="Roboto"/>
          <w:color w:val="1f1f1f"/>
          <w:highlight w:val="white"/>
          <w:rtl w:val="0"/>
        </w:rPr>
        <w:t xml:space="preserve"> (Consulté le : 20 mai 2026).</w:t>
      </w:r>
      <w:r w:rsidDel="00000000" w:rsidR="00000000" w:rsidRPr="00000000">
        <w:rPr>
          <w:rtl w:val="0"/>
        </w:rPr>
      </w:r>
    </w:p>
    <w:p w:rsidR="00000000" w:rsidDel="00000000" w:rsidP="00000000" w:rsidRDefault="00000000" w:rsidRPr="00000000" w14:paraId="0000021D">
      <w:pPr>
        <w:rPr/>
      </w:pPr>
      <w:r w:rsidDel="00000000" w:rsidR="00000000" w:rsidRPr="00000000">
        <w:rPr>
          <w:rFonts w:ascii="Roboto" w:cs="Roboto" w:eastAsia="Roboto" w:hAnsi="Roboto"/>
          <w:color w:val="1f1f1f"/>
          <w:highlight w:val="white"/>
          <w:rtl w:val="0"/>
        </w:rPr>
        <w:t xml:space="preserve">Google. "Introduction to gRPC". grpc.io, 2026. Disponible sur : </w:t>
      </w:r>
      <w:hyperlink r:id="rId12">
        <w:r w:rsidDel="00000000" w:rsidR="00000000" w:rsidRPr="00000000">
          <w:rPr>
            <w:rFonts w:ascii="Roboto" w:cs="Roboto" w:eastAsia="Roboto" w:hAnsi="Roboto"/>
            <w:color w:val="0b57d0"/>
            <w:highlight w:val="white"/>
            <w:u w:val="single"/>
            <w:rtl w:val="0"/>
          </w:rPr>
          <w:t xml:space="preserve">https://grpc.io/docs/what-is-grpc/introduction/</w:t>
        </w:r>
      </w:hyperlink>
      <w:r w:rsidDel="00000000" w:rsidR="00000000" w:rsidRPr="00000000">
        <w:rPr>
          <w:rFonts w:ascii="Roboto" w:cs="Roboto" w:eastAsia="Roboto" w:hAnsi="Roboto"/>
          <w:color w:val="1f1f1f"/>
          <w:highlight w:val="white"/>
          <w:rtl w:val="0"/>
        </w:rPr>
        <w:t xml:space="preserve"> (Consulté le : 2 juin 2026).</w:t>
      </w:r>
      <w:r w:rsidDel="00000000" w:rsidR="00000000" w:rsidRPr="00000000">
        <w:rPr>
          <w:rtl w:val="0"/>
        </w:rPr>
      </w:r>
    </w:p>
    <w:p w:rsidR="00000000" w:rsidDel="00000000" w:rsidP="00000000" w:rsidRDefault="00000000" w:rsidRPr="00000000" w14:paraId="0000021E">
      <w:pPr>
        <w:rPr/>
      </w:pPr>
      <w:r w:rsidDel="00000000" w:rsidR="00000000" w:rsidRPr="00000000">
        <w:rPr>
          <w:rFonts w:ascii="Roboto" w:cs="Roboto" w:eastAsia="Roboto" w:hAnsi="Roboto"/>
          <w:color w:val="1f1f1f"/>
          <w:highlight w:val="white"/>
          <w:rtl w:val="0"/>
        </w:rPr>
        <w:t xml:space="preserve">Atlassian. "Microservices architecture". Atlassian.com, 2024. Disponible sur : </w:t>
      </w:r>
      <w:hyperlink r:id="rId13">
        <w:r w:rsidDel="00000000" w:rsidR="00000000" w:rsidRPr="00000000">
          <w:rPr>
            <w:rFonts w:ascii="Roboto" w:cs="Roboto" w:eastAsia="Roboto" w:hAnsi="Roboto"/>
            <w:color w:val="0b57d0"/>
            <w:highlight w:val="white"/>
            <w:u w:val="single"/>
            <w:rtl w:val="0"/>
          </w:rPr>
          <w:t xml:space="preserve">https://www.atlassian.com/fr/microservices/microservices-architecture</w:t>
        </w:r>
      </w:hyperlink>
      <w:r w:rsidDel="00000000" w:rsidR="00000000" w:rsidRPr="00000000">
        <w:rPr>
          <w:rFonts w:ascii="Roboto" w:cs="Roboto" w:eastAsia="Roboto" w:hAnsi="Roboto"/>
          <w:color w:val="1f1f1f"/>
          <w:highlight w:val="white"/>
          <w:rtl w:val="0"/>
        </w:rPr>
        <w:t xml:space="preserve"> (Consulté le : 5 juin 2026).</w:t>
      </w:r>
      <w:r w:rsidDel="00000000" w:rsidR="00000000" w:rsidRPr="00000000">
        <w:rPr>
          <w:rtl w:val="0"/>
        </w:rPr>
      </w:r>
    </w:p>
    <w:p w:rsidR="00000000" w:rsidDel="00000000" w:rsidP="00000000" w:rsidRDefault="00000000" w:rsidRPr="00000000" w14:paraId="0000021F">
      <w:pPr>
        <w:rPr/>
      </w:pPr>
      <w:r w:rsidDel="00000000" w:rsidR="00000000" w:rsidRPr="00000000">
        <w:rPr>
          <w:rFonts w:ascii="Roboto" w:cs="Roboto" w:eastAsia="Roboto" w:hAnsi="Roboto"/>
          <w:color w:val="1f1f1f"/>
          <w:highlight w:val="white"/>
          <w:rtl w:val="0"/>
        </w:rPr>
        <w:t xml:space="preserve">Conway, M. "How Do Committees Invent?". MelConway.com, 1968. Disponible sur : </w:t>
      </w:r>
      <w:hyperlink r:id="rId14">
        <w:r w:rsidDel="00000000" w:rsidR="00000000" w:rsidRPr="00000000">
          <w:rPr>
            <w:rFonts w:ascii="Roboto" w:cs="Roboto" w:eastAsia="Roboto" w:hAnsi="Roboto"/>
            <w:color w:val="0b57d0"/>
            <w:highlight w:val="white"/>
            <w:u w:val="single"/>
            <w:rtl w:val="0"/>
          </w:rPr>
          <w:t xml:space="preserve">https://www.melconway.com/Home/Conways_Law.html</w:t>
        </w:r>
      </w:hyperlink>
      <w:r w:rsidDel="00000000" w:rsidR="00000000" w:rsidRPr="00000000">
        <w:rPr>
          <w:rFonts w:ascii="Roboto" w:cs="Roboto" w:eastAsia="Roboto" w:hAnsi="Roboto"/>
          <w:color w:val="1f1f1f"/>
          <w:highlight w:val="white"/>
          <w:rtl w:val="0"/>
        </w:rPr>
        <w:t xml:space="preserve"> (Consulté le : 10 juin 2026).</w:t>
      </w:r>
      <w:r w:rsidDel="00000000" w:rsidR="00000000" w:rsidRPr="00000000">
        <w:rPr>
          <w:rtl w:val="0"/>
        </w:rPr>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rPr>
          <w:b w:val="1"/>
          <w:bCs w:val="1"/>
        </w:rPr>
      </w:pPr>
      <w:r w:rsidDel="00000000" w:rsidR="00000000" w:rsidRPr="00000000">
        <w:rPr>
          <w:rtl w:val="0"/>
        </w:rPr>
      </w:r>
    </w:p>
    <w:p w:rsidR="00000000" w:rsidDel="00000000" w:rsidP="00000000" w:rsidRDefault="00000000" w:rsidRPr="00000000" w14:paraId="00000222">
      <w:pPr>
        <w:rPr>
          <w:b w:val="1"/>
          <w:bCs w:val="1"/>
        </w:rPr>
      </w:pPr>
      <w:r w:rsidDel="00000000" w:rsidR="00000000" w:rsidRPr="00000000">
        <w:rPr>
          <w:rtl w:val="0"/>
        </w:rPr>
      </w:r>
    </w:p>
    <w:p w:rsidR="00000000" w:rsidDel="00000000" w:rsidP="00000000" w:rsidRDefault="00000000" w:rsidRPr="00000000" w14:paraId="00000223">
      <w:pPr>
        <w:rPr>
          <w:b w:val="1"/>
          <w:bCs w:val="1"/>
        </w:rPr>
      </w:pPr>
      <w:r w:rsidDel="00000000" w:rsidR="00000000" w:rsidRPr="00000000">
        <w:rPr>
          <w:rtl w:val="0"/>
        </w:rPr>
      </w:r>
    </w:p>
    <w:p w:rsidR="00000000" w:rsidDel="00000000" w:rsidP="00000000" w:rsidRDefault="00000000" w:rsidRPr="00000000" w14:paraId="00000224">
      <w:pPr>
        <w:rPr>
          <w:b w:val="1"/>
          <w:bCs w:val="1"/>
        </w:rPr>
      </w:pPr>
      <w:r w:rsidDel="00000000" w:rsidR="00000000" w:rsidRPr="00000000">
        <w:rPr>
          <w:rtl w:val="0"/>
        </w:rPr>
      </w:r>
    </w:p>
    <w:p w:rsidR="00000000" w:rsidDel="00000000" w:rsidP="00000000" w:rsidRDefault="00000000" w:rsidRPr="00000000" w14:paraId="00000225">
      <w:pPr>
        <w:rPr>
          <w:b w:val="1"/>
          <w:bCs w:val="1"/>
        </w:rPr>
      </w:pP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rtl w:val="0"/>
        </w:rPr>
      </w:r>
    </w:p>
    <w:p w:rsidR="00000000" w:rsidDel="00000000" w:rsidP="00000000" w:rsidRDefault="00000000" w:rsidRPr="00000000" w14:paraId="0000022A">
      <w:pPr>
        <w:rPr>
          <w:b w:val="1"/>
          <w:bCs w:val="1"/>
        </w:rPr>
      </w:pPr>
      <w:r w:rsidDel="00000000" w:rsidR="00000000" w:rsidRPr="00000000">
        <w:rPr>
          <w:rtl w:val="0"/>
        </w:rPr>
      </w:r>
    </w:p>
    <w:p w:rsidR="00000000" w:rsidDel="00000000" w:rsidP="00000000" w:rsidRDefault="00000000" w:rsidRPr="00000000" w14:paraId="0000022B">
      <w:pPr>
        <w:rPr>
          <w:b w:val="1"/>
          <w:bCs w:val="1"/>
        </w:rPr>
      </w:pPr>
      <w:r w:rsidDel="00000000" w:rsidR="00000000" w:rsidRPr="00000000">
        <w:rPr>
          <w:rtl w:val="0"/>
        </w:rPr>
      </w:r>
    </w:p>
    <w:p w:rsidR="00000000" w:rsidDel="00000000" w:rsidP="00000000" w:rsidRDefault="00000000" w:rsidRPr="00000000" w14:paraId="0000022C">
      <w:pPr>
        <w:rPr>
          <w:b w:val="1"/>
          <w:bCs w:val="1"/>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rtl w:val="0"/>
        </w:rPr>
      </w:r>
    </w:p>
    <w:p w:rsidR="00000000" w:rsidDel="00000000" w:rsidP="00000000" w:rsidRDefault="00000000" w:rsidRPr="00000000" w14:paraId="0000022E">
      <w:pPr>
        <w:rPr>
          <w:b w:val="1"/>
          <w:bCs w:val="1"/>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rtl w:val="0"/>
        </w:rPr>
      </w:r>
    </w:p>
    <w:p w:rsidR="00000000" w:rsidDel="00000000" w:rsidP="00000000" w:rsidRDefault="00000000" w:rsidRPr="00000000" w14:paraId="00000231">
      <w:pPr>
        <w:rPr>
          <w:b w:val="1"/>
          <w:bCs w:val="1"/>
        </w:rPr>
      </w:pP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rtl w:val="0"/>
        </w:rPr>
      </w:r>
    </w:p>
    <w:p w:rsidR="00000000" w:rsidDel="00000000" w:rsidP="00000000" w:rsidRDefault="00000000" w:rsidRPr="00000000" w14:paraId="00000234">
      <w:pPr>
        <w:rPr>
          <w:b w:val="1"/>
          <w:bCs w:val="1"/>
        </w:rPr>
      </w:pP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rtl w:val="0"/>
        </w:rPr>
      </w:r>
    </w:p>
    <w:p w:rsidR="00000000" w:rsidDel="00000000" w:rsidP="00000000" w:rsidRDefault="00000000" w:rsidRPr="00000000" w14:paraId="00000236">
      <w:pPr>
        <w:rPr>
          <w:b w:val="1"/>
          <w:bCs w:val="1"/>
        </w:rPr>
      </w:pP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rtl w:val="0"/>
        </w:rPr>
      </w:r>
    </w:p>
    <w:p w:rsidR="00000000" w:rsidDel="00000000" w:rsidP="00000000" w:rsidRDefault="00000000" w:rsidRPr="00000000" w14:paraId="00000239">
      <w:pPr>
        <w:rPr>
          <w:b w:val="1"/>
          <w:bCs w:val="1"/>
        </w:rPr>
      </w:pPr>
      <w:r w:rsidDel="00000000" w:rsidR="00000000" w:rsidRPr="00000000">
        <w:rPr>
          <w:b w:val="1"/>
          <w:bCs w:val="1"/>
          <w:rtl w:val="0"/>
        </w:rPr>
        <w:t xml:space="preserve">Annexes</w:t>
      </w:r>
    </w:p>
    <w:p w:rsidR="00000000" w:rsidDel="00000000" w:rsidP="00000000" w:rsidRDefault="00000000" w:rsidRPr="00000000" w14:paraId="0000023A">
      <w:pPr>
        <w:numPr>
          <w:ilvl w:val="0"/>
          <w:numId w:val="13"/>
        </w:numPr>
        <w:ind w:left="720" w:hanging="360"/>
        <w:rPr/>
      </w:pPr>
      <w:r w:rsidDel="00000000" w:rsidR="00000000" w:rsidRPr="00000000">
        <w:rPr>
          <w:rtl w:val="0"/>
        </w:rPr>
        <w:t xml:space="preserve">Documents techniques (codes, scripts, rapports d’audit).</w:t>
      </w:r>
    </w:p>
    <w:p w:rsidR="00000000" w:rsidDel="00000000" w:rsidP="00000000" w:rsidRDefault="00000000" w:rsidRPr="00000000" w14:paraId="0000023B">
      <w:pPr>
        <w:numPr>
          <w:ilvl w:val="0"/>
          <w:numId w:val="13"/>
        </w:numPr>
        <w:ind w:left="720" w:hanging="360"/>
        <w:rPr/>
      </w:pPr>
      <w:r w:rsidDel="00000000" w:rsidR="00000000" w:rsidRPr="00000000">
        <w:rPr>
          <w:rtl w:val="0"/>
        </w:rPr>
        <w:t xml:space="preserve">Tableaux, schémas, diagrammes.</w:t>
      </w:r>
    </w:p>
    <w:p w:rsidR="00000000" w:rsidDel="00000000" w:rsidP="00000000" w:rsidRDefault="00000000" w:rsidRPr="00000000" w14:paraId="0000023C">
      <w:pPr>
        <w:numPr>
          <w:ilvl w:val="0"/>
          <w:numId w:val="13"/>
        </w:numPr>
        <w:ind w:left="720" w:hanging="360"/>
        <w:rPr/>
      </w:pPr>
      <w:r w:rsidDel="00000000" w:rsidR="00000000" w:rsidRPr="00000000">
        <w:rPr>
          <w:rtl w:val="0"/>
        </w:rPr>
        <w:t xml:space="preserve">Lexique technique.</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3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4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4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4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4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4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4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4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4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48">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4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4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4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4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4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4E">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4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5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5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5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5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54">
      <w:pPr>
        <w:spacing w:line="360" w:lineRule="auto"/>
        <w:rPr/>
      </w:pPr>
      <w:r w:rsidDel="00000000" w:rsidR="00000000" w:rsidRPr="00000000">
        <w:rPr>
          <w:b w:val="1"/>
          <w:bCs w:val="1"/>
          <w:rtl w:val="0"/>
        </w:rPr>
        <w:t xml:space="preserve">Volume attendu : 60 pages (+/- 10%, hors annexes)</w:t>
      </w:r>
      <w:r w:rsidDel="00000000" w:rsidR="00000000" w:rsidRPr="00000000">
        <w:rPr>
          <w:rtl w:val="0"/>
        </w:rPr>
        <w:br w:type="textWrapping"/>
        <w:t xml:space="preserve">Police Arial 12, interligne 1,5, marges 2,5 cm.</w:t>
      </w:r>
      <w:r w:rsidDel="00000000" w:rsidR="00000000" w:rsidRPr="00000000">
        <w:rPr>
          <w:rFonts w:ascii="Roboto" w:cs="Roboto" w:eastAsia="Roboto" w:hAnsi="Roboto"/>
          <w:color w:val="1f1f1f"/>
          <w:sz w:val="21"/>
          <w:szCs w:val="21"/>
          <w:rtl w:val="0"/>
        </w:rPr>
        <w:t xml:space="preserve">v b</w:t>
      </w:r>
      <w:r w:rsidDel="00000000" w:rsidR="00000000" w:rsidRPr="00000000">
        <w:rPr>
          <w:rtl w:val="0"/>
        </w:rPr>
      </w:r>
    </w:p>
    <w:sectPr>
      <w:headerReference r:id="rId15" w:type="default"/>
      <w:pgSz w:h="16838" w:w="11906" w:orient="portrait"/>
      <w:pgMar w:bottom="1417" w:top="1417" w:left="1417" w:right="1417"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itre7">
    <w:name w:val="heading 7"/>
    <w:basedOn w:val="Normal"/>
    <w:next w:val="Normal"/>
    <w:link w:val="Titre7Car"/>
    <w:uiPriority w:val="9"/>
    <w:semiHidden w:val="1"/>
    <w:unhideWhenUsed w:val="1"/>
    <w:qFormat w:val="1"/>
    <w:rsid w:val="00626493"/>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626493"/>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626493"/>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626493"/>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626493"/>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626493"/>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626493"/>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626493"/>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626493"/>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626493"/>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626493"/>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626493"/>
    <w:rPr>
      <w:rFonts w:cstheme="majorBidi" w:eastAsiaTheme="majorEastAsia"/>
      <w:color w:val="272727" w:themeColor="text1" w:themeTint="0000D8"/>
    </w:rPr>
  </w:style>
  <w:style w:type="character" w:styleId="TitreCar" w:customStyle="1">
    <w:name w:val="Titre Car"/>
    <w:basedOn w:val="Policepardfaut"/>
    <w:link w:val="Titre"/>
    <w:uiPriority w:val="10"/>
    <w:rsid w:val="00626493"/>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626493"/>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626493"/>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626493"/>
    <w:rPr>
      <w:i w:val="1"/>
      <w:iCs w:val="1"/>
      <w:color w:val="404040" w:themeColor="text1" w:themeTint="0000BF"/>
    </w:rPr>
  </w:style>
  <w:style w:type="paragraph" w:styleId="Paragraphedeliste">
    <w:name w:val="List Paragraph"/>
    <w:basedOn w:val="Normal"/>
    <w:uiPriority w:val="34"/>
    <w:qFormat w:val="1"/>
    <w:rsid w:val="00626493"/>
    <w:pPr>
      <w:ind w:left="720"/>
      <w:contextualSpacing w:val="1"/>
    </w:pPr>
  </w:style>
  <w:style w:type="character" w:styleId="Accentuationintense">
    <w:name w:val="Intense Emphasis"/>
    <w:basedOn w:val="Policepardfaut"/>
    <w:uiPriority w:val="21"/>
    <w:qFormat w:val="1"/>
    <w:rsid w:val="00626493"/>
    <w:rPr>
      <w:i w:val="1"/>
      <w:iCs w:val="1"/>
      <w:color w:val="0f4761" w:themeColor="accent1" w:themeShade="0000BF"/>
    </w:rPr>
  </w:style>
  <w:style w:type="paragraph" w:styleId="Citationintense">
    <w:name w:val="Intense Quote"/>
    <w:basedOn w:val="Normal"/>
    <w:next w:val="Normal"/>
    <w:link w:val="CitationintenseCar"/>
    <w:uiPriority w:val="30"/>
    <w:qFormat w:val="1"/>
    <w:rsid w:val="0062649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626493"/>
    <w:rPr>
      <w:i w:val="1"/>
      <w:iCs w:val="1"/>
      <w:color w:val="0f4761" w:themeColor="accent1" w:themeShade="0000BF"/>
    </w:rPr>
  </w:style>
  <w:style w:type="character" w:styleId="Rfrenceintense">
    <w:name w:val="Intense Reference"/>
    <w:basedOn w:val="Policepardfaut"/>
    <w:uiPriority w:val="32"/>
    <w:qFormat w:val="1"/>
    <w:rsid w:val="00626493"/>
    <w:rPr>
      <w:b w:val="1"/>
      <w:bCs w:val="1"/>
      <w:smallCaps w:val="1"/>
      <w:color w:val="0f4761" w:themeColor="accent1" w:themeShade="0000BF"/>
      <w:spacing w:val="5"/>
    </w:rPr>
  </w:style>
  <w:style w:type="paragraph" w:styleId="Sansinterligne">
    <w:name w:val="No Spacing"/>
    <w:link w:val="SansinterligneCar"/>
    <w:uiPriority w:val="1"/>
    <w:qFormat w:val="1"/>
    <w:rsid w:val="00DD0E42"/>
    <w:pPr>
      <w:spacing w:after="0" w:line="240" w:lineRule="auto"/>
    </w:pPr>
    <w:rPr>
      <w:rFonts w:eastAsiaTheme="minorEastAsia"/>
      <w:kern w:val="0"/>
      <w:sz w:val="22"/>
      <w:szCs w:val="22"/>
      <w:lang w:eastAsia="fr-FR"/>
    </w:rPr>
  </w:style>
  <w:style w:type="character" w:styleId="SansinterligneCar" w:customStyle="1">
    <w:name w:val="Sans interligne Car"/>
    <w:basedOn w:val="Policepardfaut"/>
    <w:link w:val="Sansinterligne"/>
    <w:uiPriority w:val="1"/>
    <w:rsid w:val="00DD0E42"/>
    <w:rPr>
      <w:rFonts w:eastAsiaTheme="minorEastAsia"/>
      <w:kern w:val="0"/>
      <w:sz w:val="22"/>
      <w:szCs w:val="22"/>
      <w:lang w:eastAsia="fr-FR"/>
    </w:rPr>
  </w:style>
  <w:style w:type="paragraph" w:styleId="En-ttedetabledesmatires">
    <w:name w:val="TOC Heading"/>
    <w:basedOn w:val="Titre1"/>
    <w:next w:val="Normal"/>
    <w:uiPriority w:val="39"/>
    <w:unhideWhenUsed w:val="1"/>
    <w:qFormat w:val="1"/>
    <w:rsid w:val="00AA3C86"/>
    <w:pPr>
      <w:spacing w:after="0" w:before="240" w:line="259" w:lineRule="auto"/>
      <w:outlineLvl w:val="9"/>
    </w:pPr>
    <w:rPr>
      <w:kern w:val="0"/>
      <w:sz w:val="32"/>
      <w:szCs w:val="32"/>
      <w:lang w:eastAsia="fr-FR"/>
    </w:rPr>
  </w:style>
  <w:style w:type="paragraph" w:styleId="TM1">
    <w:name w:val="toc 1"/>
    <w:basedOn w:val="Normal"/>
    <w:next w:val="Normal"/>
    <w:autoRedefine w:val="1"/>
    <w:uiPriority w:val="39"/>
    <w:unhideWhenUsed w:val="1"/>
    <w:rsid w:val="00D24925"/>
    <w:pPr>
      <w:spacing w:after="100"/>
    </w:pPr>
  </w:style>
  <w:style w:type="character" w:styleId="Lienhypertexte">
    <w:name w:val="Hyperlink"/>
    <w:basedOn w:val="Policepardfaut"/>
    <w:uiPriority w:val="99"/>
    <w:unhideWhenUsed w:val="1"/>
    <w:rsid w:val="00D24925"/>
    <w:rPr>
      <w:color w:val="467886" w:themeColor="hyperlink"/>
      <w:u w:val="singl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eb.archive.org/web/20060907185208/http://www.objectmentor.com/resources/articles/Principles_and_Patterns.pdf" TargetMode="External"/><Relationship Id="rId10" Type="http://schemas.openxmlformats.org/officeDocument/2006/relationships/hyperlink" Target="https://martinfowler.com/bliki/StranglerFigApplication.html" TargetMode="External"/><Relationship Id="rId13" Type="http://schemas.openxmlformats.org/officeDocument/2006/relationships/hyperlink" Target="https://www.atlassian.com/fr/microservices/microservices-architecture" TargetMode="External"/><Relationship Id="rId12" Type="http://schemas.openxmlformats.org/officeDocument/2006/relationships/hyperlink" Target="https://grpc.io/docs/what-is-grpc/introdu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ddcommunity.org/book/evans_2003/" TargetMode="External"/><Relationship Id="rId15" Type="http://schemas.openxmlformats.org/officeDocument/2006/relationships/header" Target="header1.xml"/><Relationship Id="rId14" Type="http://schemas.openxmlformats.org/officeDocument/2006/relationships/hyperlink" Target="https://www.melconway.com/Home/Conways_Law.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QuattrocentoSans-boldItalic.ttf"/><Relationship Id="rId13" Type="http://schemas.openxmlformats.org/officeDocument/2006/relationships/font" Target="fonts/RobotoMono-regular.ttf"/><Relationship Id="rId12" Type="http://schemas.openxmlformats.org/officeDocument/2006/relationships/font" Target="fonts/NotoSansSymbols-bold.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QuattrocentoSans-italic.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7+a+aHxAiAYOe61MQw1hcClINQ==">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2025-09-28T15:56:00Z</dcterms:created>
  <dc:creator>Marius BOURSE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0x010100A4F7D6A5AFE95D42B74CE852EA352FC2</vt:lpwstr>
  </property>
</Properties>
</file>