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1A5276"/>
          <w:sz w:val="44"/>
        </w:rPr>
        <w:t>Define Problem Statements</w:t>
      </w:r>
    </w:p>
    <w:p>
      <w:pPr>
        <w:spacing w:before="0" w:after="320"/>
      </w:pPr>
      <w:r>
        <w:rPr>
          <w:rFonts w:ascii="Calibri" w:hAnsi="Calibri"/>
          <w:i/>
          <w:color w:val="2874A6"/>
          <w:sz w:val="24"/>
        </w:rPr>
        <w:t>Ideation Phase | TradeX Project Specification</w:t>
      </w:r>
    </w:p>
    <w:tbl>
      <w:tblPr>
        <w:tblW w:type="auto" w:w="0"/>
        <w:jc w:val="center"/>
        <w:tblLayout w:type="fixed"/>
        <w:tblLook w:firstColumn="1" w:firstRow="1" w:lastColumn="0" w:lastRow="0" w:noHBand="0" w:noVBand="1" w:val="04A0"/>
        <w:tblBorders>
          <w:top w:val="single" w:sz="4" w:space="0" w:color="D5D8DC"/>
          <w:left w:val="none"/>
          <w:bottom w:val="single" w:sz="4" w:space="0" w:color="D5D8DC"/>
          <w:right w:val="none"/>
          <w:insideH w:val="single" w:sz="4" w:space="0" w:color="D5D8DC"/>
          <w:insideV w:val="none"/>
        </w:tblBorders>
      </w:tblPr>
      <w:tblGrid>
        <w:gridCol w:w="2340"/>
        <w:gridCol w:w="2340"/>
        <w:gridCol w:w="2340"/>
        <w:gridCol w:w="2340"/>
      </w:tblGrid>
      <w:tr>
        <w:tc>
          <w:tcPr>
            <w:tcW w:type="dxa" w:w="1728"/>
            <w:shd w:fill="1A5276" w:val="clear"/>
            <w:tcMar>
              <w:top w:w="100" w:type="dxa"/>
              <w:bottom w:w="100" w:type="dxa"/>
              <w:left w:w="150" w:type="dxa"/>
              <w:right w:w="150" w:type="dxa"/>
            </w:tcMar>
          </w:tcPr>
          <w:p>
            <w:r>
              <w:rPr>
                <w:b/>
                <w:color w:val="FFFFFF"/>
                <w:sz w:val="18"/>
              </w:rPr>
              <w:t>Date</w:t>
            </w:r>
          </w:p>
        </w:tc>
        <w:tc>
          <w:tcPr>
            <w:tcW w:type="dxa" w:w="3168"/>
            <w:shd w:fill="1A5276" w:val="clear"/>
            <w:tcMar>
              <w:top w:w="100" w:type="dxa"/>
              <w:bottom w:w="100" w:type="dxa"/>
              <w:left w:w="150" w:type="dxa"/>
              <w:right w:w="150" w:type="dxa"/>
            </w:tcMar>
          </w:tcPr>
          <w:p>
            <w:r>
              <w:rPr>
                <w:b/>
                <w:color w:val="FFFFFF"/>
                <w:sz w:val="18"/>
              </w:rPr>
              <w:t>Project Name</w:t>
            </w:r>
          </w:p>
        </w:tc>
        <w:tc>
          <w:tcPr>
            <w:tcW w:type="dxa" w:w="1728"/>
            <w:shd w:fill="1A5276" w:val="clear"/>
            <w:tcMar>
              <w:top w:w="100" w:type="dxa"/>
              <w:bottom w:w="100" w:type="dxa"/>
              <w:left w:w="150" w:type="dxa"/>
              <w:right w:w="150" w:type="dxa"/>
            </w:tcMar>
          </w:tcPr>
          <w:p>
            <w:r>
              <w:rPr>
                <w:b/>
                <w:color w:val="FFFFFF"/>
                <w:sz w:val="18"/>
              </w:rPr>
              <w:t>Team ID</w:t>
            </w:r>
          </w:p>
        </w:tc>
        <w:tc>
          <w:tcPr>
            <w:tcW w:type="dxa" w:w="2736"/>
            <w:shd w:fill="1A5276" w:val="clear"/>
            <w:tcMar>
              <w:top w:w="100" w:type="dxa"/>
              <w:bottom w:w="100" w:type="dxa"/>
              <w:left w:w="150" w:type="dxa"/>
              <w:right w:w="150" w:type="dxa"/>
            </w:tcMar>
          </w:tcPr>
          <w:p>
            <w:r>
              <w:rPr>
                <w:b/>
                <w:color w:val="FFFFFF"/>
                <w:sz w:val="18"/>
              </w:rPr>
              <w:t>Lead Developer</w:t>
            </w:r>
          </w:p>
        </w:tc>
      </w:tr>
      <w:tr>
        <w:tc>
          <w:tcPr>
            <w:tcW w:type="dxa" w:w="1728"/>
            <w:shd w:fill="F8F9F9" w:val="clear"/>
            <w:tcMar>
              <w:top w:w="100" w:type="dxa"/>
              <w:bottom w:w="100" w:type="dxa"/>
              <w:left w:w="150" w:type="dxa"/>
              <w:right w:w="150" w:type="dxa"/>
            </w:tcMar>
          </w:tcPr>
          <w:p>
            <w:r>
              <w:rPr>
                <w:color w:val="2C3E50"/>
                <w:sz w:val="18"/>
              </w:rPr>
              <w:t>18 June 2026</w:t>
            </w:r>
          </w:p>
        </w:tc>
        <w:tc>
          <w:tcPr>
            <w:tcW w:type="dxa" w:w="3168"/>
            <w:shd w:fill="F8F9F9" w:val="clear"/>
            <w:tcMar>
              <w:top w:w="100" w:type="dxa"/>
              <w:bottom w:w="100" w:type="dxa"/>
              <w:left w:w="150" w:type="dxa"/>
              <w:right w:w="150" w:type="dxa"/>
            </w:tcMar>
          </w:tcPr>
          <w:p>
            <w:r>
              <w:rPr>
                <w:color w:val="2C3E50"/>
                <w:sz w:val="18"/>
              </w:rPr>
              <w:t>TradeX - Smart Stock Trading and Portfolio Management</w:t>
            </w:r>
          </w:p>
        </w:tc>
        <w:tc>
          <w:tcPr>
            <w:tcW w:type="dxa" w:w="1728"/>
            <w:shd w:fill="F8F9F9" w:val="clear"/>
            <w:tcMar>
              <w:top w:w="100" w:type="dxa"/>
              <w:bottom w:w="100" w:type="dxa"/>
              <w:left w:w="150" w:type="dxa"/>
              <w:right w:w="150" w:type="dxa"/>
            </w:tcMar>
          </w:tcPr>
          <w:p>
            <w:r>
              <w:rPr>
                <w:color w:val="2C3E50"/>
                <w:sz w:val="18"/>
              </w:rPr>
              <w:t>TRADEX-DEV-01</w:t>
            </w:r>
          </w:p>
        </w:tc>
        <w:tc>
          <w:tcPr>
            <w:tcW w:type="dxa" w:w="2736"/>
            <w:shd w:fill="F8F9F9" w:val="clear"/>
            <w:tcMar>
              <w:top w:w="100" w:type="dxa"/>
              <w:bottom w:w="100" w:type="dxa"/>
              <w:left w:w="150" w:type="dxa"/>
              <w:right w:w="150" w:type="dxa"/>
            </w:tcMar>
          </w:tcPr>
          <w:p>
            <w:r>
              <w:rPr>
                <w:color w:val="2C3E50"/>
                <w:sz w:val="18"/>
              </w:rPr>
              <w:t>Aniket Lohar</w:t>
            </w:r>
          </w:p>
        </w:tc>
      </w:tr>
    </w:tbl>
    <w:p>
      <w:pPr>
        <w:spacing w:after="240"/>
      </w:pPr>
    </w:p>
    <w:p>
      <w:pPr>
        <w:keepNext/>
        <w:spacing w:before="280" w:after="120"/>
      </w:pPr>
      <w:r>
        <w:rPr>
          <w:rFonts w:ascii="Calibri" w:hAnsi="Calibri"/>
          <w:b/>
          <w:color w:val="1A5276"/>
          <w:sz w:val="30"/>
        </w:rPr>
        <w:t>1. Customer Problem Discovery</w:t>
      </w:r>
    </w:p>
    <w:p>
      <w:r>
        <w:t>Individual investors and financial students face severe barriers when trying to learn live stock trading and portfolio management. Real-money stock market trading carries high financial risk, while existing paper trading platforms often present clunky interfaces, delayed market data, or fail to support strategy testing across multiple segregated virtual portfolios.</w:t>
      </w:r>
    </w:p>
    <w:p>
      <w:pPr>
        <w:keepNext/>
        <w:spacing w:before="200" w:after="80"/>
      </w:pPr>
      <w:r>
        <w:rPr>
          <w:rFonts w:ascii="Calibri" w:hAnsi="Calibri"/>
          <w:b/>
          <w:color w:val="2874A6"/>
          <w:sz w:val="25"/>
        </w:rPr>
        <w:t>Customer Problem Statements Table</w:t>
      </w:r>
    </w:p>
    <w:tbl>
      <w:tblPr>
        <w:tblW w:type="auto" w:w="0"/>
        <w:jc w:val="center"/>
        <w:tblLayout w:type="fixed"/>
        <w:tblLook w:firstColumn="1" w:firstRow="1" w:lastColumn="0" w:lastRow="0" w:noHBand="0" w:noVBand="1" w:val="04A0"/>
        <w:tblBorders>
          <w:top w:val="single" w:sz="4" w:space="0" w:color="D5D8DC"/>
          <w:left w:val="none"/>
          <w:bottom w:val="single" w:sz="4" w:space="0" w:color="D5D8DC"/>
          <w:right w:val="none"/>
          <w:insideH w:val="single" w:sz="4" w:space="0" w:color="D5D8DC"/>
          <w:insideV w:val="none"/>
        </w:tblBorders>
      </w:tblPr>
      <w:tblGrid>
        <w:gridCol w:w="1560"/>
        <w:gridCol w:w="1560"/>
        <w:gridCol w:w="1560"/>
        <w:gridCol w:w="1560"/>
        <w:gridCol w:w="1560"/>
        <w:gridCol w:w="1560"/>
      </w:tblGrid>
      <w:tr>
        <w:tc>
          <w:tcPr>
            <w:tcW w:type="dxa" w:w="864"/>
            <w:shd w:fill="1A5276" w:val="clear"/>
            <w:tcMar>
              <w:top w:w="90" w:type="dxa"/>
              <w:bottom w:w="90" w:type="dxa"/>
              <w:left w:w="100" w:type="dxa"/>
              <w:right w:w="100" w:type="dxa"/>
            </w:tcMar>
          </w:tcPr>
          <w:p>
            <w:r>
              <w:rPr>
                <w:b/>
                <w:color w:val="FFFFFF"/>
                <w:sz w:val="18"/>
              </w:rPr>
              <w:t>PS No.</w:t>
            </w:r>
          </w:p>
        </w:tc>
        <w:tc>
          <w:tcPr>
            <w:tcW w:type="dxa" w:w="1584"/>
            <w:shd w:fill="1A5276" w:val="clear"/>
            <w:tcMar>
              <w:top w:w="90" w:type="dxa"/>
              <w:bottom w:w="90" w:type="dxa"/>
              <w:left w:w="100" w:type="dxa"/>
              <w:right w:w="100" w:type="dxa"/>
            </w:tcMar>
          </w:tcPr>
          <w:p>
            <w:r>
              <w:rPr>
                <w:b/>
                <w:color w:val="FFFFFF"/>
                <w:sz w:val="18"/>
              </w:rPr>
              <w:t>I am (Customer)</w:t>
            </w:r>
          </w:p>
        </w:tc>
        <w:tc>
          <w:tcPr>
            <w:tcW w:type="dxa" w:w="1728"/>
            <w:shd w:fill="1A5276" w:val="clear"/>
            <w:tcMar>
              <w:top w:w="90" w:type="dxa"/>
              <w:bottom w:w="90" w:type="dxa"/>
              <w:left w:w="100" w:type="dxa"/>
              <w:right w:w="100" w:type="dxa"/>
            </w:tcMar>
          </w:tcPr>
          <w:p>
            <w:r>
              <w:rPr>
                <w:b/>
                <w:color w:val="FFFFFF"/>
                <w:sz w:val="18"/>
              </w:rPr>
              <w:t>I'm trying to</w:t>
            </w:r>
          </w:p>
        </w:tc>
        <w:tc>
          <w:tcPr>
            <w:tcW w:type="dxa" w:w="1728"/>
            <w:shd w:fill="1A5276" w:val="clear"/>
            <w:tcMar>
              <w:top w:w="90" w:type="dxa"/>
              <w:bottom w:w="90" w:type="dxa"/>
              <w:left w:w="100" w:type="dxa"/>
              <w:right w:w="100" w:type="dxa"/>
            </w:tcMar>
          </w:tcPr>
          <w:p>
            <w:r>
              <w:rPr>
                <w:b/>
                <w:color w:val="FFFFFF"/>
                <w:sz w:val="18"/>
              </w:rPr>
              <w:t>But</w:t>
            </w:r>
          </w:p>
        </w:tc>
        <w:tc>
          <w:tcPr>
            <w:tcW w:type="dxa" w:w="1728"/>
            <w:shd w:fill="1A5276" w:val="clear"/>
            <w:tcMar>
              <w:top w:w="90" w:type="dxa"/>
              <w:bottom w:w="90" w:type="dxa"/>
              <w:left w:w="100" w:type="dxa"/>
              <w:right w:w="100" w:type="dxa"/>
            </w:tcMar>
          </w:tcPr>
          <w:p>
            <w:r>
              <w:rPr>
                <w:b/>
                <w:color w:val="FFFFFF"/>
                <w:sz w:val="18"/>
              </w:rPr>
              <w:t>Because</w:t>
            </w:r>
          </w:p>
        </w:tc>
        <w:tc>
          <w:tcPr>
            <w:tcW w:type="dxa" w:w="1728"/>
            <w:shd w:fill="1A5276" w:val="clear"/>
            <w:tcMar>
              <w:top w:w="90" w:type="dxa"/>
              <w:bottom w:w="90" w:type="dxa"/>
              <w:left w:w="100" w:type="dxa"/>
              <w:right w:w="100" w:type="dxa"/>
            </w:tcMar>
          </w:tcPr>
          <w:p>
            <w:r>
              <w:rPr>
                <w:b/>
                <w:color w:val="FFFFFF"/>
                <w:sz w:val="18"/>
              </w:rPr>
              <w:t>Which makes me feel</w:t>
            </w:r>
          </w:p>
        </w:tc>
      </w:tr>
      <w:tr>
        <w:tc>
          <w:tcPr>
            <w:tcW w:type="dxa" w:w="864"/>
            <w:shd w:fill="FFFFFF" w:val="clear"/>
            <w:tcMar>
              <w:top w:w="80" w:type="dxa"/>
              <w:bottom w:w="80" w:type="dxa"/>
              <w:left w:w="100" w:type="dxa"/>
              <w:right w:w="100" w:type="dxa"/>
            </w:tcMar>
          </w:tcPr>
          <w:p>
            <w:r>
              <w:rPr>
                <w:color w:val="2C3E50"/>
                <w:sz w:val="17"/>
              </w:rPr>
              <w:t>PS-1</w:t>
            </w:r>
          </w:p>
        </w:tc>
        <w:tc>
          <w:tcPr>
            <w:tcW w:type="dxa" w:w="1584"/>
            <w:shd w:fill="FFFFFF" w:val="clear"/>
            <w:tcMar>
              <w:top w:w="80" w:type="dxa"/>
              <w:bottom w:w="80" w:type="dxa"/>
              <w:left w:w="100" w:type="dxa"/>
              <w:right w:w="100" w:type="dxa"/>
            </w:tcMar>
          </w:tcPr>
          <w:p>
            <w:r>
              <w:rPr>
                <w:color w:val="2C3E50"/>
                <w:sz w:val="17"/>
              </w:rPr>
              <w:t>Beginner Retail Investor</w:t>
            </w:r>
          </w:p>
        </w:tc>
        <w:tc>
          <w:tcPr>
            <w:tcW w:type="dxa" w:w="1728"/>
            <w:shd w:fill="FFFFFF" w:val="clear"/>
            <w:tcMar>
              <w:top w:w="80" w:type="dxa"/>
              <w:bottom w:w="80" w:type="dxa"/>
              <w:left w:w="100" w:type="dxa"/>
              <w:right w:w="100" w:type="dxa"/>
            </w:tcMar>
          </w:tcPr>
          <w:p>
            <w:r>
              <w:rPr>
                <w:color w:val="2C3E50"/>
                <w:sz w:val="17"/>
              </w:rPr>
              <w:t>Learn live US stock trading and practice trading strategies</w:t>
            </w:r>
          </w:p>
        </w:tc>
        <w:tc>
          <w:tcPr>
            <w:tcW w:type="dxa" w:w="1728"/>
            <w:shd w:fill="FFFFFF" w:val="clear"/>
            <w:tcMar>
              <w:top w:w="80" w:type="dxa"/>
              <w:bottom w:w="80" w:type="dxa"/>
              <w:left w:w="100" w:type="dxa"/>
              <w:right w:w="100" w:type="dxa"/>
            </w:tcMar>
          </w:tcPr>
          <w:p>
            <w:r>
              <w:rPr>
                <w:color w:val="2C3E50"/>
                <w:sz w:val="17"/>
              </w:rPr>
              <w:t>I am afraid of losing real capital in the market</w:t>
            </w:r>
          </w:p>
        </w:tc>
        <w:tc>
          <w:tcPr>
            <w:tcW w:type="dxa" w:w="1728"/>
            <w:shd w:fill="FFFFFF" w:val="clear"/>
            <w:tcMar>
              <w:top w:w="80" w:type="dxa"/>
              <w:bottom w:w="80" w:type="dxa"/>
              <w:left w:w="100" w:type="dxa"/>
              <w:right w:w="100" w:type="dxa"/>
            </w:tcMar>
          </w:tcPr>
          <w:p>
            <w:r>
              <w:rPr>
                <w:color w:val="2C3E50"/>
                <w:sz w:val="17"/>
              </w:rPr>
              <w:t>Real brokerage accounts require actual cash deposits and impose real financial risks</w:t>
            </w:r>
          </w:p>
        </w:tc>
        <w:tc>
          <w:tcPr>
            <w:tcW w:type="dxa" w:w="1728"/>
            <w:shd w:fill="FFFFFF" w:val="clear"/>
            <w:tcMar>
              <w:top w:w="80" w:type="dxa"/>
              <w:bottom w:w="80" w:type="dxa"/>
              <w:left w:w="100" w:type="dxa"/>
              <w:right w:w="100" w:type="dxa"/>
            </w:tcMar>
          </w:tcPr>
          <w:p>
            <w:r>
              <w:rPr>
                <w:color w:val="2C3E50"/>
                <w:sz w:val="17"/>
              </w:rPr>
              <w:t>Anxious and reluctant to start investing</w:t>
            </w:r>
          </w:p>
        </w:tc>
      </w:tr>
      <w:tr>
        <w:tc>
          <w:tcPr>
            <w:tcW w:type="dxa" w:w="864"/>
            <w:shd w:fill="F8F9F9" w:val="clear"/>
            <w:tcMar>
              <w:top w:w="80" w:type="dxa"/>
              <w:bottom w:w="80" w:type="dxa"/>
              <w:left w:w="100" w:type="dxa"/>
              <w:right w:w="100" w:type="dxa"/>
            </w:tcMar>
          </w:tcPr>
          <w:p>
            <w:r>
              <w:rPr>
                <w:color w:val="2C3E50"/>
                <w:sz w:val="17"/>
              </w:rPr>
              <w:t>PS-2</w:t>
            </w:r>
          </w:p>
        </w:tc>
        <w:tc>
          <w:tcPr>
            <w:tcW w:type="dxa" w:w="1584"/>
            <w:shd w:fill="F8F9F9" w:val="clear"/>
            <w:tcMar>
              <w:top w:w="80" w:type="dxa"/>
              <w:bottom w:w="80" w:type="dxa"/>
              <w:left w:w="100" w:type="dxa"/>
              <w:right w:w="100" w:type="dxa"/>
            </w:tcMar>
          </w:tcPr>
          <w:p>
            <w:r>
              <w:rPr>
                <w:color w:val="2C3E50"/>
                <w:sz w:val="17"/>
              </w:rPr>
              <w:t>Active Trader &amp; Strategist</w:t>
            </w:r>
          </w:p>
        </w:tc>
        <w:tc>
          <w:tcPr>
            <w:tcW w:type="dxa" w:w="1728"/>
            <w:shd w:fill="F8F9F9" w:val="clear"/>
            <w:tcMar>
              <w:top w:w="80" w:type="dxa"/>
              <w:bottom w:w="80" w:type="dxa"/>
              <w:left w:w="100" w:type="dxa"/>
              <w:right w:w="100" w:type="dxa"/>
            </w:tcMar>
          </w:tcPr>
          <w:p>
            <w:r>
              <w:rPr>
                <w:color w:val="2C3E50"/>
                <w:sz w:val="17"/>
              </w:rPr>
              <w:t>Test and compare multiple distinct portfolio strategies simultaneously</w:t>
            </w:r>
          </w:p>
        </w:tc>
        <w:tc>
          <w:tcPr>
            <w:tcW w:type="dxa" w:w="1728"/>
            <w:shd w:fill="F8F9F9" w:val="clear"/>
            <w:tcMar>
              <w:top w:w="80" w:type="dxa"/>
              <w:bottom w:w="80" w:type="dxa"/>
              <w:left w:w="100" w:type="dxa"/>
              <w:right w:w="100" w:type="dxa"/>
            </w:tcMar>
          </w:tcPr>
          <w:p>
            <w:r>
              <w:rPr>
                <w:color w:val="2C3E50"/>
                <w:sz w:val="17"/>
              </w:rPr>
              <w:t>Existing platforms force all simulated holdings into a single bulk balance</w:t>
            </w:r>
          </w:p>
        </w:tc>
        <w:tc>
          <w:tcPr>
            <w:tcW w:type="dxa" w:w="1728"/>
            <w:shd w:fill="F8F9F9" w:val="clear"/>
            <w:tcMar>
              <w:top w:w="80" w:type="dxa"/>
              <w:bottom w:w="80" w:type="dxa"/>
              <w:left w:w="100" w:type="dxa"/>
              <w:right w:w="100" w:type="dxa"/>
            </w:tcMar>
          </w:tcPr>
          <w:p>
            <w:r>
              <w:rPr>
                <w:color w:val="2C3E50"/>
                <w:sz w:val="17"/>
              </w:rPr>
              <w:t>They lack multi-portfolio isolation and strategy tracking features</w:t>
            </w:r>
          </w:p>
        </w:tc>
        <w:tc>
          <w:tcPr>
            <w:tcW w:type="dxa" w:w="1728"/>
            <w:shd w:fill="F8F9F9" w:val="clear"/>
            <w:tcMar>
              <w:top w:w="80" w:type="dxa"/>
              <w:bottom w:w="80" w:type="dxa"/>
              <w:left w:w="100" w:type="dxa"/>
              <w:right w:w="100" w:type="dxa"/>
            </w:tcMar>
          </w:tcPr>
          <w:p>
            <w:r>
              <w:rPr>
                <w:color w:val="2C3E50"/>
                <w:sz w:val="17"/>
              </w:rPr>
              <w:t>Frustrated and unable to measure strategy P&amp;L</w:t>
            </w:r>
          </w:p>
        </w:tc>
      </w:tr>
      <w:tr>
        <w:tc>
          <w:tcPr>
            <w:tcW w:type="dxa" w:w="864"/>
            <w:shd w:fill="FFFFFF" w:val="clear"/>
            <w:tcMar>
              <w:top w:w="80" w:type="dxa"/>
              <w:bottom w:w="80" w:type="dxa"/>
              <w:left w:w="100" w:type="dxa"/>
              <w:right w:w="100" w:type="dxa"/>
            </w:tcMar>
          </w:tcPr>
          <w:p>
            <w:r>
              <w:rPr>
                <w:color w:val="2C3E50"/>
                <w:sz w:val="17"/>
              </w:rPr>
              <w:t>PS-3</w:t>
            </w:r>
          </w:p>
        </w:tc>
        <w:tc>
          <w:tcPr>
            <w:tcW w:type="dxa" w:w="1584"/>
            <w:shd w:fill="FFFFFF" w:val="clear"/>
            <w:tcMar>
              <w:top w:w="80" w:type="dxa"/>
              <w:bottom w:w="80" w:type="dxa"/>
              <w:left w:w="100" w:type="dxa"/>
              <w:right w:w="100" w:type="dxa"/>
            </w:tcMar>
          </w:tcPr>
          <w:p>
            <w:r>
              <w:rPr>
                <w:color w:val="2C3E50"/>
                <w:sz w:val="17"/>
              </w:rPr>
              <w:t>Finance Student</w:t>
            </w:r>
          </w:p>
        </w:tc>
        <w:tc>
          <w:tcPr>
            <w:tcW w:type="dxa" w:w="1728"/>
            <w:shd w:fill="FFFFFF" w:val="clear"/>
            <w:tcMar>
              <w:top w:w="80" w:type="dxa"/>
              <w:bottom w:w="80" w:type="dxa"/>
              <w:left w:w="100" w:type="dxa"/>
              <w:right w:w="100" w:type="dxa"/>
            </w:tcMar>
          </w:tcPr>
          <w:p>
            <w:r>
              <w:rPr>
                <w:color w:val="2C3E50"/>
                <w:sz w:val="17"/>
              </w:rPr>
              <w:t>Analyze real-time US stock price trends and historical performance</w:t>
            </w:r>
          </w:p>
        </w:tc>
        <w:tc>
          <w:tcPr>
            <w:tcW w:type="dxa" w:w="1728"/>
            <w:shd w:fill="FFFFFF" w:val="clear"/>
            <w:tcMar>
              <w:top w:w="80" w:type="dxa"/>
              <w:bottom w:w="80" w:type="dxa"/>
              <w:left w:w="100" w:type="dxa"/>
              <w:right w:w="100" w:type="dxa"/>
            </w:tcMar>
          </w:tcPr>
          <w:p>
            <w:r>
              <w:rPr>
                <w:color w:val="2C3E50"/>
                <w:sz w:val="17"/>
              </w:rPr>
              <w:t>Professional financial terminals (e.g. Bloomberg) are prohibitively expensive</w:t>
            </w:r>
          </w:p>
        </w:tc>
        <w:tc>
          <w:tcPr>
            <w:tcW w:type="dxa" w:w="1728"/>
            <w:shd w:fill="FFFFFF" w:val="clear"/>
            <w:tcMar>
              <w:top w:w="80" w:type="dxa"/>
              <w:bottom w:w="80" w:type="dxa"/>
              <w:left w:w="100" w:type="dxa"/>
              <w:right w:w="100" w:type="dxa"/>
            </w:tcMar>
          </w:tcPr>
          <w:p>
            <w:r>
              <w:rPr>
                <w:color w:val="2C3E50"/>
                <w:sz w:val="17"/>
              </w:rPr>
              <w:t>Accessible free web apps provide static or delayed market data</w:t>
            </w:r>
          </w:p>
        </w:tc>
        <w:tc>
          <w:tcPr>
            <w:tcW w:type="dxa" w:w="1728"/>
            <w:shd w:fill="FFFFFF" w:val="clear"/>
            <w:tcMar>
              <w:top w:w="80" w:type="dxa"/>
              <w:bottom w:w="80" w:type="dxa"/>
              <w:left w:w="100" w:type="dxa"/>
              <w:right w:w="100" w:type="dxa"/>
            </w:tcMar>
          </w:tcPr>
          <w:p>
            <w:r>
              <w:rPr>
                <w:color w:val="2C3E50"/>
                <w:sz w:val="17"/>
              </w:rPr>
              <w:t>Disadvantaged and overwhelmed by complex UI</w:t>
            </w:r>
          </w:p>
        </w:tc>
      </w:tr>
      <w:tr>
        <w:tc>
          <w:tcPr>
            <w:tcW w:type="dxa" w:w="864"/>
            <w:shd w:fill="F8F9F9" w:val="clear"/>
            <w:tcMar>
              <w:top w:w="80" w:type="dxa"/>
              <w:bottom w:w="80" w:type="dxa"/>
              <w:left w:w="100" w:type="dxa"/>
              <w:right w:w="100" w:type="dxa"/>
            </w:tcMar>
          </w:tcPr>
          <w:p>
            <w:r>
              <w:rPr>
                <w:color w:val="2C3E50"/>
                <w:sz w:val="17"/>
              </w:rPr>
              <w:t>PS-4</w:t>
            </w:r>
          </w:p>
        </w:tc>
        <w:tc>
          <w:tcPr>
            <w:tcW w:type="dxa" w:w="1584"/>
            <w:shd w:fill="F8F9F9" w:val="clear"/>
            <w:tcMar>
              <w:top w:w="80" w:type="dxa"/>
              <w:bottom w:w="80" w:type="dxa"/>
              <w:left w:w="100" w:type="dxa"/>
              <w:right w:w="100" w:type="dxa"/>
            </w:tcMar>
          </w:tcPr>
          <w:p>
            <w:r>
              <w:rPr>
                <w:color w:val="2C3E50"/>
                <w:sz w:val="17"/>
              </w:rPr>
              <w:t>System Admin / Instructor</w:t>
            </w:r>
          </w:p>
        </w:tc>
        <w:tc>
          <w:tcPr>
            <w:tcW w:type="dxa" w:w="1728"/>
            <w:shd w:fill="F8F9F9" w:val="clear"/>
            <w:tcMar>
              <w:top w:w="80" w:type="dxa"/>
              <w:bottom w:w="80" w:type="dxa"/>
              <w:left w:w="100" w:type="dxa"/>
              <w:right w:w="100" w:type="dxa"/>
            </w:tcMar>
          </w:tcPr>
          <w:p>
            <w:r>
              <w:rPr>
                <w:color w:val="2C3E50"/>
                <w:sz w:val="17"/>
              </w:rPr>
              <w:t>Monitor simulated market orders and user trading activities</w:t>
            </w:r>
          </w:p>
        </w:tc>
        <w:tc>
          <w:tcPr>
            <w:tcW w:type="dxa" w:w="1728"/>
            <w:shd w:fill="F8F9F9" w:val="clear"/>
            <w:tcMar>
              <w:top w:w="80" w:type="dxa"/>
              <w:bottom w:w="80" w:type="dxa"/>
              <w:left w:w="100" w:type="dxa"/>
              <w:right w:w="100" w:type="dxa"/>
            </w:tcMar>
          </w:tcPr>
          <w:p>
            <w:r>
              <w:rPr>
                <w:color w:val="2C3E50"/>
                <w:sz w:val="17"/>
              </w:rPr>
              <w:t>Lacks a centralized admin monitoring dashboard</w:t>
            </w:r>
          </w:p>
        </w:tc>
        <w:tc>
          <w:tcPr>
            <w:tcW w:type="dxa" w:w="1728"/>
            <w:shd w:fill="F8F9F9" w:val="clear"/>
            <w:tcMar>
              <w:top w:w="80" w:type="dxa"/>
              <w:bottom w:w="80" w:type="dxa"/>
              <w:left w:w="100" w:type="dxa"/>
              <w:right w:w="100" w:type="dxa"/>
            </w:tcMar>
          </w:tcPr>
          <w:p>
            <w:r>
              <w:rPr>
                <w:color w:val="2C3E50"/>
                <w:sz w:val="17"/>
              </w:rPr>
              <w:t>Existing open-source platforms offer no administrative oversight or data verification</w:t>
            </w:r>
          </w:p>
        </w:tc>
        <w:tc>
          <w:tcPr>
            <w:tcW w:type="dxa" w:w="1728"/>
            <w:shd w:fill="F8F9F9" w:val="clear"/>
            <w:tcMar>
              <w:top w:w="80" w:type="dxa"/>
              <w:bottom w:w="80" w:type="dxa"/>
              <w:left w:w="100" w:type="dxa"/>
              <w:right w:w="100" w:type="dxa"/>
            </w:tcMar>
          </w:tcPr>
          <w:p>
            <w:r>
              <w:rPr>
                <w:color w:val="2C3E50"/>
                <w:sz w:val="17"/>
              </w:rPr>
              <w:t>Uninformed and unable to regulate user activities</w:t>
            </w:r>
          </w:p>
        </w:tc>
      </w:tr>
    </w:tbl>
    <w:p>
      <w:pPr>
        <w:spacing w:after="200"/>
      </w:pPr>
    </w:p>
    <w:tbl>
      <w:tblPr>
        <w:tblW w:type="auto" w:w="0"/>
        <w:jc w:val="center"/>
        <w:tblLayout w:type="fixed"/>
        <w:tblLook w:firstColumn="1" w:firstRow="1" w:lastColumn="0" w:lastRow="0" w:noHBand="0" w:noVBand="1" w:val="04A0"/>
      </w:tblPr>
      <w:tblGrid>
        <w:gridCol w:w="9360"/>
      </w:tblGrid>
      <w:tr>
        <w:tc>
          <w:tcPr>
            <w:tcW w:type="dxa" w:w="9360"/>
            <w:shd w:fill="F2F4F4" w:val="clear"/>
            <w:tcMar>
              <w:top w:w="120" w:type="dxa"/>
              <w:bottom w:w="120" w:type="dxa"/>
              <w:left w:w="180" w:type="dxa"/>
              <w:right w:w="180" w:type="dxa"/>
            </w:tcMar>
            <w:tcBorders>
              <w:top w:val="none"/>
              <w:left w:val="single" w:sz="24" w:space="0" w:color="1A5276"/>
              <w:bottom w:val="none"/>
              <w:right w:val="none"/>
            </w:tcBorders>
          </w:tcPr>
          <w:p>
            <w:pPr>
              <w:spacing w:after="40"/>
            </w:pPr>
            <w:r>
              <w:rPr>
                <w:b/>
                <w:color w:val="1A5276"/>
                <w:sz w:val="20"/>
              </w:rPr>
              <w:t>📌 Problem Statement Summary</w:t>
              <w:br/>
            </w:r>
            <w:r>
              <w:rPr>
                <w:i/>
                <w:color w:val="2C3E50"/>
                <w:sz w:val="19"/>
              </w:rPr>
              <w:t>TradeX solves these core challenges by offering a risk-free MERN stack simulation web app with live US stock feeds, paper trading, and multi-portfolio tracking.</w:t>
            </w:r>
          </w:p>
        </w:tc>
      </w:tr>
    </w:tbl>
    <w:p>
      <w:pPr>
        <w:spacing w:after="16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F8C8D"/>
        <w:sz w:val="17"/>
      </w:rPr>
      <w:t>TradeX Project Lifecycle Documentation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F8C8D"/>
        <w:sz w:val="17"/>
      </w:rPr>
      <w:t>TradeX - Smart Stock Trading &amp; Portfolio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