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2600" w:hRule="atLeast"/>
        </w:trPr>
        <w:tc>
          <w:tcPr>
            <w:tcW w:type="dxa" w:w="10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B57" w:val="clear"/>
            <w:tcMar>
              <w:top w:type="dxa" w:w="500"/>
              <w:left w:type="dxa" w:w="500"/>
              <w:bottom w:type="dxa" w:w="400"/>
              <w:right w:type="dxa" w:w="500"/>
            </w:tcMar>
            <w:vAlign w:val="top"/>
          </w:tcPr>
          <w:p>
            <w:pPr>
              <w:spacing w:after="700" w:before="200"/>
            </w:pPr>
            <w:r>
              <w:rPr>
                <w:b/>
                <w:bCs/>
                <w:color w:val="4FD1A5"/>
                <w:spacing w:val="24"/>
                <w:sz w:val="16"/>
                <w:szCs w:val="16"/>
              </w:rPr>
              <w:t xml:space="preserve">EXECUTIVE REPORT   ·   DATA ANALYTICS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6"/>
                <w:szCs w:val="66"/>
              </w:rPr>
              <w:t xml:space="preserve">Vendor Performance</w:t>
            </w:r>
          </w:p>
          <w:p>
            <w:pPr>
              <w:pBdr>
                <w:bottom w:val="single" w:color="4FD1A5" w:sz="8" w:space="20"/>
              </w:pBdr>
              <w:spacing w:after="50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6"/>
                <w:szCs w:val="66"/>
              </w:rPr>
              <w:t xml:space="preserve">Analysis</w:t>
            </w:r>
          </w:p>
          <w:p>
            <w:pPr>
              <w:spacing w:after="900" w:before="400"/>
            </w:pPr>
            <w:r>
              <w:rPr>
                <w:color w:val="D7DEE6"/>
                <w:sz w:val="24"/>
                <w:szCs w:val="24"/>
              </w:rPr>
              <w:t xml:space="preserve">An End-to-End Data Analytics Project — presenting analytical findings, dashboard insights, and business recommendations derived from vendor transaction data.</w:t>
            </w: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B57" w:val="clear"/>
                </w:tcPr>
                <w:p>
                  <w:r>
                    <w:rPr>
                      <w:b/>
                      <w:bCs/>
                      <w:color w:val="4FD1A5"/>
                      <w:spacing w:val="10"/>
                      <w:sz w:val="16"/>
                      <w:szCs w:val="16"/>
                    </w:rPr>
                    <w:t xml:space="preserve">PREPARED BY</w:t>
                  </w:r>
                </w:p>
              </w:tc>
              <w:tc>
                <w:tcPr>
                  <w:tcW w:type="dxa" w:w="6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B57" w:val="clear"/>
                </w:tcPr>
                <w:p>
                  <w:r>
                    <w:rPr>
                      <w:color w:val="FFFFFF"/>
                      <w:sz w:val="22"/>
                      <w:szCs w:val="22"/>
                    </w:rPr>
                    <w:t xml:space="preserve">Lohith Aryan 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B57" w:val="clear"/>
                </w:tcPr>
                <w:p>
                  <w:r>
                    <w:rPr>
                      <w:b/>
                      <w:bCs/>
                      <w:color w:val="4FD1A5"/>
                      <w:spacing w:val="10"/>
                      <w:sz w:val="16"/>
                      <w:szCs w:val="16"/>
                    </w:rPr>
                    <w:t xml:space="preserve">PROJECT DURATION</w:t>
                  </w:r>
                </w:p>
              </w:tc>
              <w:tc>
                <w:tcPr>
                  <w:tcW w:type="dxa" w:w="6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B57" w:val="clear"/>
                </w:tcPr>
                <w:p>
                  <w:r>
                    <w:rPr>
                      <w:color w:val="FFFFFF"/>
                      <w:sz w:val="22"/>
                      <w:szCs w:val="22"/>
                    </w:rPr>
                    <w:t xml:space="preserve">June 2026 – July 2026</w:t>
                  </w:r>
                </w:p>
              </w:tc>
            </w:tr>
          </w:tbl>
          <w:p>
            <w:pPr>
              <w:spacing w:after="1600" w:before="500"/>
            </w:pP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747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4FD1A5"/>
                      <w:sz w:val="16"/>
                      <w:szCs w:val="16"/>
                    </w:rPr>
                    <w:t xml:space="preserve">MYSQL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747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4FD1A5"/>
                      <w:sz w:val="16"/>
                      <w:szCs w:val="16"/>
                    </w:rPr>
                    <w:t xml:space="preserve">PYTHON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747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4FD1A5"/>
                      <w:sz w:val="16"/>
                      <w:szCs w:val="16"/>
                    </w:rPr>
                    <w:t xml:space="preserve">SQL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747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4FD1A5"/>
                      <w:sz w:val="16"/>
                      <w:szCs w:val="16"/>
                    </w:rPr>
                    <w:t xml:space="preserve">POWER BI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747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4FD1A5"/>
                      <w:sz w:val="16"/>
                      <w:szCs w:val="16"/>
                    </w:rPr>
                    <w:t xml:space="preserve">GIT &amp; GITHUB</w:t>
                  </w:r>
                </w:p>
              </w:tc>
            </w:tr>
          </w:tbl>
          <w:p>
            <w:pPr>
              <w:spacing w:before="1200"/>
            </w:pPr>
          </w:p>
          <w:p>
            <w:pPr>
              <w:pBdr>
                <w:top w:val="single" w:color="3C5A78" w:sz="4"/>
              </w:pBdr>
              <w:spacing w:after="120" w:before="200"/>
            </w:pPr>
            <w:r>
              <w:rPr>
                <w:b/>
                <w:bCs/>
                <w:color w:val="FFFFFF"/>
                <w:spacing w:val="10"/>
                <w:sz w:val="20"/>
                <w:szCs w:val="20"/>
              </w:rPr>
              <w:t xml:space="preserve">VENDOR PERFORMANCE DASHBOARD</w:t>
            </w:r>
          </w:p>
          <w:p>
            <w:r>
              <w:rPr>
                <w:i/>
                <w:iCs/>
                <w:color w:val="9FB0C2"/>
                <w:sz w:val="16"/>
                <w:szCs w:val="16"/>
              </w:rPr>
              <w:t xml:space="preserve">Confidential  |  Prepared for Portfolio Review</w:t>
            </w:r>
          </w:p>
        </w:tc>
      </w:tr>
    </w:tbl>
    <w:p>
      <w:r>
        <w:br w:type="page"/>
      </w:r>
    </w:p>
    <w:p>
      <w:pPr>
        <w:spacing w:after="500" w:before="200"/>
      </w:pPr>
      <w:r>
        <w:rPr>
          <w:rFonts w:ascii="Georgia" w:cs="Georgia" w:eastAsia="Georgia" w:hAnsi="Georgia"/>
          <w:b/>
          <w:bCs/>
          <w:color w:val="1F3B57"/>
          <w:sz w:val="40"/>
          <w:szCs w:val="40"/>
        </w:rPr>
        <w:t xml:space="preserve">Table of Contents</w:t>
      </w:r>
    </w:p>
    <w:p>
      <w:pPr>
        <w:spacing w:after="220"/>
      </w:pPr>
      <w:r>
        <w:rPr>
          <w:b/>
          <w:bCs/>
          <w:color w:val="0F6E56"/>
          <w:sz w:val="22"/>
          <w:szCs w:val="22"/>
        </w:rPr>
        <w:t xml:space="preserve">01   </w:t>
      </w:r>
      <w:r>
        <w:rPr>
          <w:color w:val="1F3B57"/>
          <w:sz w:val="24"/>
          <w:szCs w:val="24"/>
        </w:rPr>
        <w:t xml:space="preserve">Executive Summary</w:t>
      </w:r>
      <w:ptab w:alignment="right" w:relativeTo="margin" w:leader="dot"/>
      <w:r>
        <w:rPr>
          <w:color w:val="5F5E5A"/>
          <w:sz w:val="22"/>
          <w:szCs w:val="22"/>
        </w:rPr>
        <w:t xml:space="preserve">3</w:t>
      </w:r>
    </w:p>
    <w:p>
      <w:pPr>
        <w:spacing w:after="220"/>
      </w:pPr>
      <w:r>
        <w:rPr>
          <w:b/>
          <w:bCs/>
          <w:color w:val="0F6E56"/>
          <w:sz w:val="22"/>
          <w:szCs w:val="22"/>
        </w:rPr>
        <w:t xml:space="preserve">02   </w:t>
      </w:r>
      <w:r>
        <w:rPr>
          <w:color w:val="1F3B57"/>
          <w:sz w:val="24"/>
          <w:szCs w:val="24"/>
        </w:rPr>
        <w:t xml:space="preserve">Project Overview</w:t>
      </w:r>
      <w:ptab w:alignment="right" w:relativeTo="margin" w:leader="dot"/>
      <w:r>
        <w:rPr>
          <w:color w:val="5F5E5A"/>
          <w:sz w:val="22"/>
          <w:szCs w:val="22"/>
        </w:rPr>
        <w:t xml:space="preserve">3</w:t>
      </w:r>
    </w:p>
    <w:p>
      <w:pPr>
        <w:spacing w:after="220"/>
      </w:pPr>
      <w:r>
        <w:rPr>
          <w:b/>
          <w:bCs/>
          <w:color w:val="0F6E56"/>
          <w:sz w:val="22"/>
          <w:szCs w:val="22"/>
        </w:rPr>
        <w:t xml:space="preserve">03   </w:t>
      </w:r>
      <w:r>
        <w:rPr>
          <w:color w:val="1F3B57"/>
          <w:sz w:val="24"/>
          <w:szCs w:val="24"/>
        </w:rPr>
        <w:t xml:space="preserve">Dashboard Overview</w:t>
      </w:r>
      <w:ptab w:alignment="right" w:relativeTo="margin" w:leader="dot"/>
      <w:r>
        <w:rPr>
          <w:color w:val="5F5E5A"/>
          <w:sz w:val="22"/>
          <w:szCs w:val="22"/>
        </w:rPr>
        <w:t xml:space="preserve">3</w:t>
      </w:r>
    </w:p>
    <w:p>
      <w:pPr>
        <w:spacing w:after="220"/>
      </w:pPr>
      <w:r>
        <w:rPr>
          <w:b/>
          <w:bCs/>
          <w:color w:val="0F6E56"/>
          <w:sz w:val="22"/>
          <w:szCs w:val="22"/>
        </w:rPr>
        <w:t xml:space="preserve">04   </w:t>
      </w:r>
      <w:r>
        <w:rPr>
          <w:color w:val="1F3B57"/>
          <w:sz w:val="24"/>
          <w:szCs w:val="24"/>
        </w:rPr>
        <w:t xml:space="preserve">Data Analysis Using Python</w:t>
      </w:r>
      <w:ptab w:alignment="right" w:relativeTo="margin" w:leader="dot"/>
      <w:r>
        <w:rPr>
          <w:color w:val="5F5E5A"/>
          <w:sz w:val="22"/>
          <w:szCs w:val="22"/>
        </w:rPr>
        <w:t xml:space="preserve">5</w:t>
      </w:r>
    </w:p>
    <w:p>
      <w:pPr>
        <w:spacing w:after="220"/>
      </w:pPr>
      <w:r>
        <w:rPr>
          <w:b/>
          <w:bCs/>
          <w:color w:val="0F6E56"/>
          <w:sz w:val="22"/>
          <w:szCs w:val="22"/>
        </w:rPr>
        <w:t xml:space="preserve">05   </w:t>
      </w:r>
      <w:r>
        <w:rPr>
          <w:color w:val="1F3B57"/>
          <w:sz w:val="24"/>
          <w:szCs w:val="24"/>
        </w:rPr>
        <w:t xml:space="preserve">Business Insights</w:t>
      </w:r>
      <w:ptab w:alignment="right" w:relativeTo="margin" w:leader="dot"/>
      <w:r>
        <w:rPr>
          <w:color w:val="5F5E5A"/>
          <w:sz w:val="22"/>
          <w:szCs w:val="22"/>
        </w:rPr>
        <w:t xml:space="preserve">10</w:t>
      </w:r>
    </w:p>
    <w:p>
      <w:pPr>
        <w:spacing w:after="220"/>
      </w:pPr>
      <w:r>
        <w:rPr>
          <w:b/>
          <w:bCs/>
          <w:color w:val="0F6E56"/>
          <w:sz w:val="22"/>
          <w:szCs w:val="22"/>
        </w:rPr>
        <w:t xml:space="preserve">06   </w:t>
      </w:r>
      <w:r>
        <w:rPr>
          <w:color w:val="1F3B57"/>
          <w:sz w:val="24"/>
          <w:szCs w:val="24"/>
        </w:rPr>
        <w:t xml:space="preserve">Dashboard Insights</w:t>
      </w:r>
      <w:ptab w:alignment="right" w:relativeTo="margin" w:leader="dot"/>
      <w:r>
        <w:rPr>
          <w:color w:val="5F5E5A"/>
          <w:sz w:val="22"/>
          <w:szCs w:val="22"/>
        </w:rPr>
        <w:t xml:space="preserve">11</w:t>
      </w:r>
    </w:p>
    <w:p>
      <w:pPr>
        <w:spacing w:after="220"/>
      </w:pPr>
      <w:r>
        <w:rPr>
          <w:b/>
          <w:bCs/>
          <w:color w:val="0F6E56"/>
          <w:sz w:val="22"/>
          <w:szCs w:val="22"/>
        </w:rPr>
        <w:t xml:space="preserve">07   </w:t>
      </w:r>
      <w:r>
        <w:rPr>
          <w:color w:val="1F3B57"/>
          <w:sz w:val="24"/>
          <w:szCs w:val="24"/>
        </w:rPr>
        <w:t xml:space="preserve">Business Recommendations</w:t>
      </w:r>
      <w:ptab w:alignment="right" w:relativeTo="margin" w:leader="dot"/>
      <w:r>
        <w:rPr>
          <w:color w:val="5F5E5A"/>
          <w:sz w:val="22"/>
          <w:szCs w:val="22"/>
        </w:rPr>
        <w:t xml:space="preserve">11</w:t>
      </w:r>
    </w:p>
    <w:p>
      <w:pPr>
        <w:spacing w:after="220"/>
      </w:pPr>
      <w:r>
        <w:rPr>
          <w:b/>
          <w:bCs/>
          <w:color w:val="0F6E56"/>
          <w:sz w:val="22"/>
          <w:szCs w:val="22"/>
        </w:rPr>
        <w:t xml:space="preserve">08   </w:t>
      </w:r>
      <w:r>
        <w:rPr>
          <w:color w:val="1F3B57"/>
          <w:sz w:val="24"/>
          <w:szCs w:val="24"/>
        </w:rPr>
        <w:t xml:space="preserve">Future Scope</w:t>
      </w:r>
      <w:ptab w:alignment="right" w:relativeTo="margin" w:leader="dot"/>
      <w:r>
        <w:rPr>
          <w:color w:val="5F5E5A"/>
          <w:sz w:val="22"/>
          <w:szCs w:val="22"/>
        </w:rPr>
        <w:t xml:space="preserve">11</w:t>
      </w:r>
    </w:p>
    <w:p>
      <w:pPr>
        <w:spacing w:after="220"/>
      </w:pPr>
      <w:r>
        <w:rPr>
          <w:b/>
          <w:bCs/>
          <w:color w:val="0F6E56"/>
          <w:sz w:val="22"/>
          <w:szCs w:val="22"/>
        </w:rPr>
        <w:t xml:space="preserve">09   </w:t>
      </w:r>
      <w:r>
        <w:rPr>
          <w:color w:val="1F3B57"/>
          <w:sz w:val="24"/>
          <w:szCs w:val="24"/>
        </w:rPr>
        <w:t xml:space="preserve">Conclusion</w:t>
      </w:r>
      <w:ptab w:alignment="right" w:relativeTo="margin" w:leader="dot"/>
      <w:r>
        <w:rPr>
          <w:color w:val="5F5E5A"/>
          <w:sz w:val="22"/>
          <w:szCs w:val="22"/>
        </w:rPr>
        <w:t xml:space="preserve">12</w:t>
      </w:r>
    </w:p>
    <w:p>
      <w:pPr>
        <w:spacing w:after="220"/>
      </w:pPr>
      <w:r>
        <w:rPr>
          <w:b/>
          <w:bCs/>
          <w:color w:val="0F6E56"/>
          <w:sz w:val="22"/>
          <w:szCs w:val="22"/>
        </w:rPr>
        <w:t xml:space="preserve">A   </w:t>
      </w:r>
      <w:r>
        <w:rPr>
          <w:color w:val="1F3B57"/>
          <w:sz w:val="24"/>
          <w:szCs w:val="24"/>
        </w:rPr>
        <w:t xml:space="preserve">Appendix — Project Workflow</w:t>
      </w:r>
      <w:ptab w:alignment="right" w:relativeTo="margin" w:leader="dot"/>
      <w:r>
        <w:rPr>
          <w:color w:val="5F5E5A"/>
          <w:sz w:val="22"/>
          <w:szCs w:val="22"/>
        </w:rPr>
        <w:t xml:space="preserve">12</w:t>
      </w:r>
    </w:p>
    <w:p>
      <w:r>
        <w:br w:type="page"/>
      </w:r>
    </w:p>
    <w:p>
      <w:pPr>
        <w:spacing w:after="0" w:before="200"/>
      </w:pPr>
      <w:r>
        <w:rPr>
          <w:b/>
          <w:bCs/>
          <w:color w:val="0F6E56"/>
          <w:spacing w:val="20"/>
          <w:sz w:val="18"/>
          <w:szCs w:val="18"/>
        </w:rPr>
        <w:t xml:space="preserve">SECTION 01</w:t>
      </w:r>
    </w:p>
    <w:p>
      <w:pPr>
        <w:pStyle w:val="Heading1"/>
        <w:pBdr>
          <w:bottom w:val="single" w:color="1F3B57" w:sz="6"/>
        </w:pBdr>
        <w:spacing w:after="300"/>
      </w:pPr>
      <w:r>
        <w:rPr>
          <w:b/>
          <w:bCs/>
          <w:color w:val="1F3B57"/>
          <w:sz w:val="34"/>
          <w:szCs w:val="34"/>
        </w:rPr>
        <w:t xml:space="preserve">Executive Summary</w:t>
      </w:r>
    </w:p>
    <w:p>
      <w:pPr>
        <w:spacing w:after="200" w:line="300"/>
      </w:pPr>
      <w:r>
        <w:rPr>
          <w:sz w:val="22"/>
          <w:szCs w:val="22"/>
        </w:rPr>
        <w:t xml:space="preserve">This report summarizes the findings of the Vendor Performance Analysis project, an end-to-end data analytics solution designed to evaluate vendor purchasing, sales, profitability, and delivery performance for a liquor retail business over a one-year period.</w:t>
      </w:r>
    </w:p>
    <w:p>
      <w:pPr>
        <w:spacing w:after="200" w:line="300"/>
      </w:pPr>
      <w:r>
        <w:rPr>
          <w:sz w:val="22"/>
          <w:szCs w:val="22"/>
        </w:rPr>
        <w:t xml:space="preserve">The project demonstrates the complete analytics lifecycle by integrating large-scale relational data storage, SQL-based exploratory analysis, Python-based KPI computation, and interactive business intelligence reporting.</w:t>
      </w:r>
    </w:p>
    <w:p>
      <w:pPr>
        <w:spacing w:after="200" w:line="300"/>
      </w:pPr>
      <w:r>
        <w:rPr>
          <w:sz w:val="22"/>
          <w:szCs w:val="22"/>
        </w:rPr>
        <w:t xml:space="preserve">Vendor transaction data was loaded into a MySQL database, analyzed using SQL and Python, and visualized through a two-page Power BI dashboard to generate actionable vendor performance insights.</w:t>
      </w:r>
    </w:p>
    <w:p>
      <w:pPr>
        <w:spacing w:after="200" w:line="300"/>
      </w:pPr>
      <w:r>
        <w:rPr>
          <w:sz w:val="22"/>
          <w:szCs w:val="22"/>
        </w:rPr>
        <w:t xml:space="preserve">The objective of this report is to present the analytical findings and demonstrate how data-driven visualization can support better vendor prioritization and procurement decision-making.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b/>
                <w:bCs/>
                <w:color w:val="1F3B57"/>
                <w:sz w:val="40"/>
                <w:szCs w:val="40"/>
              </w:rPr>
              <w:t xml:space="preserve">131</w:t>
            </w:r>
          </w:p>
          <w:p>
            <w:pPr>
              <w:jc w:val="center"/>
            </w:pPr>
            <w:r>
              <w:rPr>
                <w:color w:val="5F5E5A"/>
                <w:sz w:val="16"/>
                <w:szCs w:val="16"/>
              </w:rPr>
              <w:t xml:space="preserve">VENDORS ANALYZED</w:t>
            </w:r>
          </w:p>
        </w:tc>
        <w:tc>
          <w:tcPr>
            <w:tcW w:type="dxa" w:w="225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b/>
                <w:bCs/>
                <w:color w:val="1F3B57"/>
                <w:sz w:val="40"/>
                <w:szCs w:val="40"/>
              </w:rPr>
              <w:t xml:space="preserve">1 YR</w:t>
            </w:r>
          </w:p>
          <w:p>
            <w:pPr>
              <w:jc w:val="center"/>
            </w:pPr>
            <w:r>
              <w:rPr>
                <w:color w:val="5F5E5A"/>
                <w:sz w:val="16"/>
                <w:szCs w:val="16"/>
              </w:rPr>
              <w:t xml:space="preserve">ANALYSIS PERIOD</w:t>
            </w:r>
          </w:p>
        </w:tc>
        <w:tc>
          <w:tcPr>
            <w:tcW w:type="dxa" w:w="225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b/>
                <w:bCs/>
                <w:color w:val="1F3B57"/>
                <w:sz w:val="40"/>
                <w:szCs w:val="40"/>
              </w:rPr>
              <w:t xml:space="preserve">2</w:t>
            </w:r>
          </w:p>
          <w:p>
            <w:pPr>
              <w:jc w:val="center"/>
            </w:pPr>
            <w:r>
              <w:rPr>
                <w:color w:val="5F5E5A"/>
                <w:sz w:val="16"/>
                <w:szCs w:val="16"/>
              </w:rPr>
              <w:t xml:space="preserve">POWER BI DASHBOARDS</w:t>
            </w:r>
          </w:p>
        </w:tc>
        <w:tc>
          <w:tcPr>
            <w:tcW w:type="dxa" w:w="225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b/>
                <w:bCs/>
                <w:color w:val="1F3B57"/>
                <w:sz w:val="40"/>
                <w:szCs w:val="40"/>
              </w:rPr>
              <w:t xml:space="preserve">5</w:t>
            </w:r>
          </w:p>
          <w:p>
            <w:pPr>
              <w:jc w:val="center"/>
            </w:pPr>
            <w:r>
              <w:rPr>
                <w:color w:val="5F5E5A"/>
                <w:sz w:val="16"/>
                <w:szCs w:val="16"/>
              </w:rPr>
              <w:t xml:space="preserve">KEY BUSINESS INSIGHTS</w:t>
            </w:r>
          </w:p>
        </w:tc>
      </w:tr>
    </w:tbl>
    <w:p>
      <w:pPr>
        <w:spacing w:after="0" w:before="200"/>
      </w:pPr>
      <w:r>
        <w:rPr>
          <w:b/>
          <w:bCs/>
          <w:color w:val="0F6E56"/>
          <w:spacing w:val="20"/>
          <w:sz w:val="18"/>
          <w:szCs w:val="18"/>
        </w:rPr>
        <w:t xml:space="preserve">SECTION 02</w:t>
      </w:r>
    </w:p>
    <w:p>
      <w:pPr>
        <w:pStyle w:val="Heading1"/>
        <w:pBdr>
          <w:bottom w:val="single" w:color="1F3B57" w:sz="6"/>
        </w:pBdr>
        <w:spacing w:after="300"/>
      </w:pPr>
      <w:r>
        <w:rPr>
          <w:b/>
          <w:bCs/>
          <w:color w:val="1F3B57"/>
          <w:sz w:val="34"/>
          <w:szCs w:val="34"/>
        </w:rPr>
        <w:t xml:space="preserve">Project Overview</w:t>
      </w:r>
    </w:p>
    <w:p>
      <w:pPr>
        <w:spacing w:after="200" w:line="300"/>
      </w:pPr>
      <w:r>
        <w:rPr>
          <w:sz w:val="22"/>
          <w:szCs w:val="22"/>
        </w:rPr>
        <w:t xml:space="preserve">The project analyzed vendor performance for a liquor retail business across six related datasets covering inventory, purchasing, and sales.</w:t>
      </w:r>
    </w:p>
    <w:p>
      <w:pPr>
        <w:pStyle w:val="Heading2"/>
        <w:spacing w:after="150" w:before="300"/>
      </w:pPr>
      <w:r>
        <w:rPr>
          <w:b/>
          <w:bCs/>
          <w:color w:val="1F3B57"/>
          <w:sz w:val="24"/>
          <w:szCs w:val="24"/>
        </w:rPr>
        <w:t xml:space="preserve">Dataset Characteristics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Opening and closing inventory by store and brand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Purchase order, receiving, invoice, and pay dates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Purchase price, quantity, and dollar value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Sales quantity, sales price, and sales dollar value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Vendor invoice totals and freight charges</w:t>
      </w:r>
    </w:p>
    <w:p>
      <w:pPr>
        <w:spacing w:after="0" w:before="200"/>
      </w:pPr>
      <w:r>
        <w:rPr>
          <w:b/>
          <w:bCs/>
          <w:color w:val="0F6E56"/>
          <w:spacing w:val="20"/>
          <w:sz w:val="18"/>
          <w:szCs w:val="18"/>
        </w:rPr>
        <w:t xml:space="preserve">SECTION 03</w:t>
      </w:r>
    </w:p>
    <w:p>
      <w:pPr>
        <w:pStyle w:val="Heading1"/>
        <w:pBdr>
          <w:bottom w:val="single" w:color="1F3B57" w:sz="6"/>
        </w:pBdr>
        <w:spacing w:after="300"/>
      </w:pPr>
      <w:r>
        <w:rPr>
          <w:b/>
          <w:bCs/>
          <w:color w:val="1F3B57"/>
          <w:sz w:val="34"/>
          <w:szCs w:val="34"/>
        </w:rPr>
        <w:t xml:space="preserve">Dashboard Overview</w:t>
      </w:r>
    </w:p>
    <w:p>
      <w:pPr>
        <w:pStyle w:val="Heading2"/>
        <w:spacing w:after="150" w:before="300"/>
      </w:pPr>
      <w:r>
        <w:rPr>
          <w:b/>
          <w:bCs/>
          <w:color w:val="1F3B57"/>
          <w:sz w:val="24"/>
          <w:szCs w:val="24"/>
        </w:rPr>
        <w:t xml:space="preserve">Executive Overview Dashboard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b/>
          <w:bCs/>
          <w:color w:val="1F3B57"/>
          <w:sz w:val="18"/>
          <w:szCs w:val="18"/>
        </w:rPr>
        <w:t xml:space="preserve">FIGURE 1   </w:t>
      </w:r>
      <w:r>
        <w:rPr>
          <w:i/>
          <w:iCs/>
          <w:color w:val="5F5E5A"/>
          <w:sz w:val="18"/>
          <w:szCs w:val="18"/>
        </w:rPr>
        <w:t xml:space="preserve">Executive Overview Dashboard</w:t>
      </w:r>
    </w:p>
    <w:p>
      <w:pPr>
        <w:spacing w:after="200" w:line="300"/>
      </w:pPr>
      <w:r>
        <w:rPr>
          <w:sz w:val="22"/>
          <w:szCs w:val="22"/>
        </w:rPr>
        <w:t xml:space="preserve">The Executive Overview dashboard provides a high-level summary of vendor performance through KPI cards, comparative bar charts, a monthly sales trend line, and a freight-versus-lead-time scatter chart.</w:t>
      </w:r>
    </w:p>
    <w:p>
      <w:pPr>
        <w:spacing w:after="200" w:line="300"/>
      </w:pPr>
      <w:r>
        <w:rPr>
          <w:sz w:val="22"/>
          <w:szCs w:val="22"/>
        </w:rPr>
        <w:t xml:space="preserve">The dashboard enables business users to: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Compare vendor sales revenue and profit margin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Monitor monthly sales trends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Evaluate freight cost efficiency against delivery lead time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Identify top-performing vendors at a glance</w:t>
      </w:r>
    </w:p>
    <w:p>
      <w:pPr>
        <w:pStyle w:val="Heading2"/>
        <w:spacing w:after="150" w:before="300"/>
      </w:pPr>
      <w:r>
        <w:rPr>
          <w:b/>
          <w:bCs/>
          <w:color w:val="1F3B57"/>
          <w:sz w:val="24"/>
          <w:szCs w:val="24"/>
        </w:rPr>
        <w:t xml:space="preserve">Vendor Deep Dive Dashboard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b/>
          <w:bCs/>
          <w:color w:val="1F3B57"/>
          <w:sz w:val="18"/>
          <w:szCs w:val="18"/>
        </w:rPr>
        <w:t xml:space="preserve">FIGURE 2   </w:t>
      </w:r>
      <w:r>
        <w:rPr>
          <w:i/>
          <w:iCs/>
          <w:color w:val="5F5E5A"/>
          <w:sz w:val="18"/>
          <w:szCs w:val="18"/>
        </w:rPr>
        <w:t xml:space="preserve">Vendor Deep Dive Dashboard</w:t>
      </w:r>
    </w:p>
    <w:p>
      <w:pPr>
        <w:spacing w:after="200" w:line="300"/>
      </w:pPr>
      <w:r>
        <w:rPr>
          <w:sz w:val="22"/>
          <w:szCs w:val="22"/>
        </w:rPr>
        <w:t xml:space="preserve">The Vendor Deep Dive dashboard focuses on vendor-level detail through a sortable scorecard table, vendor and date slicers, and a sales-share donut chart, enabling users to: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Sort and filter the full vendor scorecard by any metric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Isolate a single vendor's performance across all KPIs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View sales concentration across the top 5 vendors</w:t>
      </w:r>
    </w:p>
    <w:p>
      <w:pPr>
        <w:spacing w:after="0" w:before="200"/>
      </w:pPr>
      <w:r>
        <w:rPr>
          <w:b/>
          <w:bCs/>
          <w:color w:val="0F6E56"/>
          <w:spacing w:val="20"/>
          <w:sz w:val="18"/>
          <w:szCs w:val="18"/>
        </w:rPr>
        <w:t xml:space="preserve">SECTION 04</w:t>
      </w:r>
    </w:p>
    <w:p>
      <w:pPr>
        <w:pStyle w:val="Heading1"/>
        <w:pBdr>
          <w:bottom w:val="single" w:color="1F3B57" w:sz="6"/>
        </w:pBdr>
        <w:spacing w:after="300"/>
      </w:pPr>
      <w:r>
        <w:rPr>
          <w:b/>
          <w:bCs/>
          <w:color w:val="1F3B57"/>
          <w:sz w:val="34"/>
          <w:szCs w:val="34"/>
        </w:rPr>
        <w:t xml:space="preserve">Data Analysis Using Python</w:t>
      </w:r>
    </w:p>
    <w:p>
      <w:pPr>
        <w:pStyle w:val="Heading2"/>
        <w:spacing w:after="150" w:before="300"/>
      </w:pPr>
      <w:r>
        <w:rPr>
          <w:b/>
          <w:bCs/>
          <w:color w:val="1F3B57"/>
          <w:sz w:val="24"/>
          <w:szCs w:val="24"/>
        </w:rPr>
        <w:t xml:space="preserve">4.1  Top Vendors by Sales Revenue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b/>
          <w:bCs/>
          <w:color w:val="1F3B57"/>
          <w:sz w:val="18"/>
          <w:szCs w:val="18"/>
        </w:rPr>
        <w:t xml:space="preserve">FIGURE 3   </w:t>
      </w:r>
      <w:r>
        <w:rPr>
          <w:i/>
          <w:iCs/>
          <w:color w:val="5F5E5A"/>
          <w:sz w:val="18"/>
          <w:szCs w:val="18"/>
        </w:rPr>
        <w:t xml:space="preserve">Top 10 Vendors by Sales Revenue</w:t>
      </w:r>
    </w:p>
    <w:p>
      <w:pPr>
        <w:spacing w:after="200" w:line="300"/>
      </w:pPr>
      <w:r>
        <w:rPr>
          <w:sz w:val="22"/>
          <w:szCs w:val="22"/>
        </w:rPr>
        <w:t xml:space="preserve">This comparison measures total sales dollars generated by each vendor during the analysis period.</w:t>
      </w:r>
    </w:p>
    <w:p>
      <w:pPr>
        <w:spacing w:after="100" w:before="200"/>
      </w:pPr>
      <w:r>
        <w:rPr>
          <w:b/>
          <w:bCs/>
          <w:color w:val="0F6E56"/>
          <w:spacing w:val="10"/>
          <w:sz w:val="18"/>
          <w:szCs w:val="18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Diageo North America Inc generated the highest sales revenue by a wide margin.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Martignetti Companies and Pernod Ricard USA follow as the next-largest vendors by revenue.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The top 5 vendors account for a substantial share of total vendor revenue.</w:t>
      </w:r>
    </w:p>
    <w:p>
      <w:pPr>
        <w:pStyle w:val="Heading2"/>
        <w:spacing w:after="150" w:before="300"/>
      </w:pPr>
      <w:r>
        <w:rPr>
          <w:b/>
          <w:bCs/>
          <w:color w:val="1F3B57"/>
          <w:sz w:val="24"/>
          <w:szCs w:val="24"/>
        </w:rPr>
        <w:t xml:space="preserve">4.2  Profit Margin Comparison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b/>
          <w:bCs/>
          <w:color w:val="1F3B57"/>
          <w:sz w:val="18"/>
          <w:szCs w:val="18"/>
        </w:rPr>
        <w:t xml:space="preserve">FIGURE 4   </w:t>
      </w:r>
      <w:r>
        <w:rPr>
          <w:i/>
          <w:iCs/>
          <w:color w:val="5F5E5A"/>
          <w:sz w:val="18"/>
          <w:szCs w:val="18"/>
        </w:rPr>
        <w:t xml:space="preserve">Top 10 Vendors by Profit Margin % (Sales &gt; $1M)</w:t>
      </w:r>
    </w:p>
    <w:p>
      <w:pPr>
        <w:spacing w:after="200" w:line="300"/>
      </w:pPr>
      <w:r>
        <w:rPr>
          <w:sz w:val="22"/>
          <w:szCs w:val="22"/>
        </w:rPr>
        <w:t xml:space="preserve">Profit margin percentage was calculated only for vendors exceeding $1M in sales, to avoid noise from very small vendors with misleadingly high margins.</w:t>
      </w:r>
    </w:p>
    <w:p>
      <w:pPr>
        <w:spacing w:after="100" w:before="200"/>
      </w:pPr>
      <w:r>
        <w:rPr>
          <w:b/>
          <w:bCs/>
          <w:color w:val="0F6E56"/>
          <w:spacing w:val="10"/>
          <w:sz w:val="18"/>
          <w:szCs w:val="18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Vineyard Brands LLC and Southern Glazer's W&amp;S of NE show the highest margins among significant vendors.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Constellation Brands Inc and E&amp;J Gallo Winery combine strong margins with meaningful sales volume.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The highest-revenue vendor, Diageo, does not appear in the top-margin list — revenue and profitability do not always move together.</w:t>
      </w:r>
    </w:p>
    <w:p>
      <w:pPr>
        <w:pStyle w:val="Heading2"/>
        <w:spacing w:after="150" w:before="300"/>
      </w:pPr>
      <w:r>
        <w:rPr>
          <w:b/>
          <w:bCs/>
          <w:color w:val="1F3B57"/>
          <w:sz w:val="24"/>
          <w:szCs w:val="24"/>
        </w:rPr>
        <w:t xml:space="preserve">4.3  Distribution of Vendor Profit Margin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b/>
          <w:bCs/>
          <w:color w:val="1F3B57"/>
          <w:sz w:val="18"/>
          <w:szCs w:val="18"/>
        </w:rPr>
        <w:t xml:space="preserve">FIGURE 5   </w:t>
      </w:r>
      <w:r>
        <w:rPr>
          <w:i/>
          <w:iCs/>
          <w:color w:val="5F5E5A"/>
          <w:sz w:val="18"/>
          <w:szCs w:val="18"/>
        </w:rPr>
        <w:t xml:space="preserve">Distribution of Vendor Profit Margin %</w:t>
      </w:r>
    </w:p>
    <w:p>
      <w:pPr>
        <w:spacing w:after="200" w:line="300"/>
      </w:pPr>
      <w:r>
        <w:rPr>
          <w:sz w:val="22"/>
          <w:szCs w:val="22"/>
        </w:rPr>
        <w:t xml:space="preserve">This distribution shows how profit margin percentage is spread across all 131 vendors.</w:t>
      </w:r>
    </w:p>
    <w:p>
      <w:pPr>
        <w:spacing w:after="100" w:before="200"/>
      </w:pPr>
      <w:r>
        <w:rPr>
          <w:b/>
          <w:bCs/>
          <w:color w:val="0F6E56"/>
          <w:spacing w:val="10"/>
          <w:sz w:val="18"/>
          <w:szCs w:val="18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The majority of vendors cluster tightly around a healthy, positive margin.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 small number of vendors show sharply negative margins, warranting individual review.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The distribution is left-skewed, meaning most vendors perform well while a minority pull the average down.</w:t>
      </w:r>
    </w:p>
    <w:p>
      <w:pPr>
        <w:pStyle w:val="Heading2"/>
        <w:spacing w:after="150" w:before="300"/>
      </w:pPr>
      <w:r>
        <w:rPr>
          <w:b/>
          <w:bCs/>
          <w:color w:val="1F3B57"/>
          <w:sz w:val="24"/>
          <w:szCs w:val="24"/>
        </w:rPr>
        <w:t xml:space="preserve">4.4  Sell-Through Rate Distribution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b/>
          <w:bCs/>
          <w:color w:val="1F3B57"/>
          <w:sz w:val="18"/>
          <w:szCs w:val="18"/>
        </w:rPr>
        <w:t xml:space="preserve">FIGURE 6   </w:t>
      </w:r>
      <w:r>
        <w:rPr>
          <w:i/>
          <w:iCs/>
          <w:color w:val="5F5E5A"/>
          <w:sz w:val="18"/>
          <w:szCs w:val="18"/>
        </w:rPr>
        <w:t xml:space="preserve">Distribution of Sell-Through % (clipped at 150%)</w:t>
      </w:r>
    </w:p>
    <w:p>
      <w:pPr>
        <w:spacing w:after="200" w:line="300"/>
      </w:pPr>
      <w:r>
        <w:rPr>
          <w:sz w:val="22"/>
          <w:szCs w:val="22"/>
        </w:rPr>
        <w:t xml:space="preserve">Sell-through rate measures how much of the purchased inventory was actually sold during the period.</w:t>
      </w:r>
    </w:p>
    <w:p>
      <w:pPr>
        <w:spacing w:after="100" w:before="200"/>
      </w:pPr>
      <w:r>
        <w:rPr>
          <w:b/>
          <w:bCs/>
          <w:color w:val="0F6E56"/>
          <w:spacing w:val="10"/>
          <w:sz w:val="18"/>
          <w:szCs w:val="18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Most vendors cluster between 80% and 100% sell-through, indicating efficient inventory turnover.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 secondary cluster near 150% reflects vendors selling more than they purchased in-period, drawing down opening inventory.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Very few vendors show unusually low sell-through, suggesting minimal dead-stock risk overall.</w:t>
      </w:r>
    </w:p>
    <w:p>
      <w:pPr>
        <w:pStyle w:val="Heading2"/>
        <w:spacing w:after="150" w:before="300"/>
      </w:pPr>
      <w:r>
        <w:rPr>
          <w:b/>
          <w:bCs/>
          <w:color w:val="1F3B57"/>
          <w:sz w:val="24"/>
          <w:szCs w:val="24"/>
        </w:rPr>
        <w:t xml:space="preserve">4.5  Freight % vs Lead Time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b/>
          <w:bCs/>
          <w:color w:val="1F3B57"/>
          <w:sz w:val="18"/>
          <w:szCs w:val="18"/>
        </w:rPr>
        <w:t xml:space="preserve">FIGURE 7   </w:t>
      </w:r>
      <w:r>
        <w:rPr>
          <w:i/>
          <w:iCs/>
          <w:color w:val="5F5E5A"/>
          <w:sz w:val="18"/>
          <w:szCs w:val="18"/>
        </w:rPr>
        <w:t xml:space="preserve">Freight % vs Lead Time by Vendor (bubble size = sales $)</w:t>
      </w:r>
    </w:p>
    <w:p>
      <w:pPr>
        <w:spacing w:after="200" w:line="300"/>
      </w:pPr>
      <w:r>
        <w:rPr>
          <w:sz w:val="22"/>
          <w:szCs w:val="22"/>
        </w:rPr>
        <w:t xml:space="preserve">This chart compares freight cost efficiency against average delivery lead time, with bubble size representing vendor sales volume.</w:t>
      </w:r>
    </w:p>
    <w:p>
      <w:pPr>
        <w:spacing w:after="100" w:before="200"/>
      </w:pPr>
      <w:r>
        <w:rPr>
          <w:b/>
          <w:bCs/>
          <w:color w:val="0F6E56"/>
          <w:spacing w:val="10"/>
          <w:sz w:val="18"/>
          <w:szCs w:val="18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Freight percentage is tightly clustered between 0.49% and 0.53% for nearly all vendors.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Lead time for most vendors falls between 7 and 8 days, with a small number of outliers reaching 13 days.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No vendor combines high freight cost with long lead time, indicating a generally well-managed supply base.</w:t>
      </w:r>
    </w:p>
    <w:p>
      <w:pPr>
        <w:spacing w:after="0" w:before="200"/>
      </w:pPr>
      <w:r>
        <w:rPr>
          <w:b/>
          <w:bCs/>
          <w:color w:val="0F6E56"/>
          <w:spacing w:val="20"/>
          <w:sz w:val="18"/>
          <w:szCs w:val="18"/>
        </w:rPr>
        <w:t xml:space="preserve">SECTION 05</w:t>
      </w:r>
    </w:p>
    <w:p>
      <w:pPr>
        <w:pStyle w:val="Heading1"/>
        <w:pBdr>
          <w:bottom w:val="single" w:color="1F3B57" w:sz="6"/>
        </w:pBdr>
        <w:spacing w:after="300"/>
      </w:pPr>
      <w:r>
        <w:rPr>
          <w:b/>
          <w:bCs/>
          <w:color w:val="1F3B57"/>
          <w:sz w:val="34"/>
          <w:szCs w:val="34"/>
        </w:rPr>
        <w:t xml:space="preserve">Business Insights</w:t>
      </w:r>
    </w:p>
    <w:p>
      <w:pPr>
        <w:spacing w:after="200" w:line="300"/>
      </w:pPr>
      <w:r>
        <w:rPr>
          <w:sz w:val="22"/>
          <w:szCs w:val="22"/>
        </w:rPr>
        <w:t xml:space="preserve">The analytical results provide several meaningful business observations.</w:t>
      </w:r>
    </w:p>
    <w:p>
      <w:pPr>
        <w:spacing w:after="60" w:before="200"/>
      </w:pPr>
      <w:r>
        <w:rPr>
          <w:b/>
          <w:bCs/>
          <w:color w:val="0F6E56"/>
          <w:sz w:val="24"/>
          <w:szCs w:val="24"/>
        </w:rPr>
        <w:t xml:space="preserve">01  </w:t>
      </w:r>
      <w:r>
        <w:rPr>
          <w:b/>
          <w:bCs/>
          <w:color w:val="1F3B57"/>
          <w:sz w:val="22"/>
          <w:szCs w:val="22"/>
        </w:rPr>
        <w:t xml:space="preserve">Diageo Leads on Revenue, Not Margin</w:t>
      </w:r>
    </w:p>
    <w:p>
      <w:pPr>
        <w:spacing w:after="200" w:line="300"/>
      </w:pPr>
      <w:r>
        <w:rPr>
          <w:sz w:val="22"/>
          <w:szCs w:val="22"/>
        </w:rPr>
        <w:t xml:space="preserve">Diageo North America generated the highest total sales revenue, but several smaller-volume vendors delivered stronger profit margins — revenue leadership does not equal profitability leadership.</w:t>
      </w:r>
    </w:p>
    <w:p>
      <w:pPr>
        <w:spacing w:after="60" w:before="200"/>
      </w:pPr>
      <w:r>
        <w:rPr>
          <w:b/>
          <w:bCs/>
          <w:color w:val="0F6E56"/>
          <w:sz w:val="24"/>
          <w:szCs w:val="24"/>
        </w:rPr>
        <w:t xml:space="preserve">02  </w:t>
      </w:r>
      <w:r>
        <w:rPr>
          <w:b/>
          <w:bCs/>
          <w:color w:val="1F3B57"/>
          <w:sz w:val="22"/>
          <w:szCs w:val="22"/>
        </w:rPr>
        <w:t xml:space="preserve">Constellation Brands and E&amp;J Gallo Offer the Best Balance</w:t>
      </w:r>
    </w:p>
    <w:p>
      <w:pPr>
        <w:spacing w:after="200" w:line="300"/>
      </w:pPr>
      <w:r>
        <w:rPr>
          <w:sz w:val="22"/>
          <w:szCs w:val="22"/>
        </w:rPr>
        <w:t xml:space="preserve">These vendors combine meaningful sales volume with above-average profit margins, making them strong candidates for deeper strategic partnership.</w:t>
      </w:r>
    </w:p>
    <w:p>
      <w:pPr>
        <w:spacing w:after="60" w:before="200"/>
      </w:pPr>
      <w:r>
        <w:rPr>
          <w:b/>
          <w:bCs/>
          <w:color w:val="0F6E56"/>
          <w:sz w:val="24"/>
          <w:szCs w:val="24"/>
        </w:rPr>
        <w:t xml:space="preserve">03  </w:t>
      </w:r>
      <w:r>
        <w:rPr>
          <w:b/>
          <w:bCs/>
          <w:color w:val="1F3B57"/>
          <w:sz w:val="22"/>
          <w:szCs w:val="22"/>
        </w:rPr>
        <w:t xml:space="preserve">Freight Costs Are Well-Controlled</w:t>
      </w:r>
    </w:p>
    <w:p>
      <w:pPr>
        <w:spacing w:after="200" w:line="300"/>
      </w:pPr>
      <w:r>
        <w:rPr>
          <w:sz w:val="22"/>
          <w:szCs w:val="22"/>
        </w:rPr>
        <w:t xml:space="preserve">Freight cost as a percentage of invoice value is consistent across nearly all vendors (approximately 0.5%), indicating no vendor is disproportionately burdening the business with shipping costs.</w:t>
      </w:r>
    </w:p>
    <w:p>
      <w:pPr>
        <w:spacing w:after="60" w:before="200"/>
      </w:pPr>
      <w:r>
        <w:rPr>
          <w:b/>
          <w:bCs/>
          <w:color w:val="0F6E56"/>
          <w:sz w:val="24"/>
          <w:szCs w:val="24"/>
        </w:rPr>
        <w:t xml:space="preserve">04  </w:t>
      </w:r>
      <w:r>
        <w:rPr>
          <w:b/>
          <w:bCs/>
          <w:color w:val="1F3B57"/>
          <w:sz w:val="22"/>
          <w:szCs w:val="22"/>
        </w:rPr>
        <w:t xml:space="preserve">Delivery Performance Is Generally Reliable</w:t>
      </w:r>
    </w:p>
    <w:p>
      <w:pPr>
        <w:spacing w:after="200" w:line="300"/>
      </w:pPr>
      <w:r>
        <w:rPr>
          <w:sz w:val="22"/>
          <w:szCs w:val="22"/>
        </w:rPr>
        <w:t xml:space="preserve">Average lead times cluster around 7-8 days for most vendors, with only a small number extending to 10-13 days, representing manageable supply chain risk.</w:t>
      </w:r>
    </w:p>
    <w:p>
      <w:pPr>
        <w:spacing w:after="60" w:before="200"/>
      </w:pPr>
      <w:r>
        <w:rPr>
          <w:b/>
          <w:bCs/>
          <w:color w:val="0F6E56"/>
          <w:sz w:val="24"/>
          <w:szCs w:val="24"/>
        </w:rPr>
        <w:t xml:space="preserve">05  </w:t>
      </w:r>
      <w:r>
        <w:rPr>
          <w:b/>
          <w:bCs/>
          <w:color w:val="1F3B57"/>
          <w:sz w:val="22"/>
          <w:szCs w:val="22"/>
        </w:rPr>
        <w:t xml:space="preserve">Inventory Turnover Is Healthy Overall</w:t>
      </w:r>
    </w:p>
    <w:p>
      <w:pPr>
        <w:spacing w:after="200" w:line="300"/>
      </w:pPr>
      <w:r>
        <w:rPr>
          <w:sz w:val="22"/>
          <w:szCs w:val="22"/>
        </w:rPr>
        <w:t xml:space="preserve">Most vendors show sell-through rates between 80% and 100%, suggesting efficient inventory management with limited dead-stock exposure.</w:t>
      </w:r>
    </w:p>
    <w:p>
      <w:pPr>
        <w:spacing w:after="0" w:before="200"/>
      </w:pPr>
      <w:r>
        <w:rPr>
          <w:b/>
          <w:bCs/>
          <w:color w:val="0F6E56"/>
          <w:spacing w:val="20"/>
          <w:sz w:val="18"/>
          <w:szCs w:val="18"/>
        </w:rPr>
        <w:t xml:space="preserve">SECTION 06</w:t>
      </w:r>
    </w:p>
    <w:p>
      <w:pPr>
        <w:pStyle w:val="Heading1"/>
        <w:pBdr>
          <w:bottom w:val="single" w:color="1F3B57" w:sz="6"/>
        </w:pBdr>
        <w:spacing w:after="300"/>
      </w:pPr>
      <w:r>
        <w:rPr>
          <w:b/>
          <w:bCs/>
          <w:color w:val="1F3B57"/>
          <w:sz w:val="34"/>
          <w:szCs w:val="34"/>
        </w:rPr>
        <w:t xml:space="preserve">Dashboard Insights</w:t>
      </w:r>
    </w:p>
    <w:p>
      <w:pPr>
        <w:spacing w:after="200" w:line="300"/>
      </w:pPr>
      <w:r>
        <w:rPr>
          <w:sz w:val="22"/>
          <w:szCs w:val="22"/>
        </w:rPr>
        <w:t xml:space="preserve">The Power BI dashboard transformed raw vendor transaction data into interactive business intelligence by providing: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Executive KPI cards for sales, purchases, gross profit, margin, and lead time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Comparative bar charts for top vendors by sales and by margin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 monthly sales trend line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 freight percentage vs lead time scatter chart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 sortable, filterable vendor scorecard table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Vendor and date-range slicers for interactive exploration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 sales-share donut chart for the top 5 vendors</w:t>
      </w:r>
    </w:p>
    <w:p>
      <w:pPr>
        <w:spacing w:after="200" w:line="300"/>
      </w:pPr>
      <w:r>
        <w:rPr>
          <w:sz w:val="22"/>
          <w:szCs w:val="22"/>
        </w:rPr>
        <w:t xml:space="preserve">The dashboard enables business users to analyze vendor performance without manually querying the underlying database.</w:t>
      </w:r>
    </w:p>
    <w:p>
      <w:pPr>
        <w:spacing w:after="0" w:before="200"/>
      </w:pPr>
      <w:r>
        <w:rPr>
          <w:b/>
          <w:bCs/>
          <w:color w:val="0F6E56"/>
          <w:spacing w:val="20"/>
          <w:sz w:val="18"/>
          <w:szCs w:val="18"/>
        </w:rPr>
        <w:t xml:space="preserve">SECTION 07</w:t>
      </w:r>
    </w:p>
    <w:p>
      <w:pPr>
        <w:pStyle w:val="Heading1"/>
        <w:pBdr>
          <w:bottom w:val="single" w:color="1F3B57" w:sz="6"/>
        </w:pBdr>
        <w:spacing w:after="300"/>
      </w:pPr>
      <w:r>
        <w:rPr>
          <w:b/>
          <w:bCs/>
          <w:color w:val="1F3B57"/>
          <w:sz w:val="34"/>
          <w:szCs w:val="34"/>
        </w:rPr>
        <w:t xml:space="preserve">Business Recommendations</w:t>
      </w:r>
    </w:p>
    <w:p>
      <w:pPr>
        <w:spacing w:after="150"/>
      </w:pPr>
      <w:r>
        <w:rPr>
          <w:b/>
          <w:bCs/>
          <w:color w:val="0F6E56"/>
          <w:sz w:val="22"/>
          <w:szCs w:val="22"/>
        </w:rPr>
        <w:t xml:space="preserve">1   </w:t>
      </w:r>
      <w:r>
        <w:rPr>
          <w:sz w:val="22"/>
          <w:szCs w:val="22"/>
        </w:rPr>
        <w:t xml:space="preserve">Prioritize deeper relationships with high-margin vendors such as Constellation Brands and E&amp;J Gallo Winery, even where they are not top-volume vendors.</w:t>
      </w:r>
    </w:p>
    <w:p>
      <w:pPr>
        <w:spacing w:after="150"/>
      </w:pPr>
      <w:r>
        <w:rPr>
          <w:b/>
          <w:bCs/>
          <w:color w:val="0F6E56"/>
          <w:sz w:val="22"/>
          <w:szCs w:val="22"/>
        </w:rPr>
        <w:t xml:space="preserve">2   </w:t>
      </w:r>
      <w:r>
        <w:rPr>
          <w:sz w:val="22"/>
          <w:szCs w:val="22"/>
        </w:rPr>
        <w:t xml:space="preserve">Continue monitoring, rather than renegotiating, freight arrangements, since freight efficiency is already consistent across vendors.</w:t>
      </w:r>
    </w:p>
    <w:p>
      <w:pPr>
        <w:spacing w:after="150"/>
      </w:pPr>
      <w:r>
        <w:rPr>
          <w:b/>
          <w:bCs/>
          <w:color w:val="0F6E56"/>
          <w:sz w:val="22"/>
          <w:szCs w:val="22"/>
        </w:rPr>
        <w:t xml:space="preserve">3   </w:t>
      </w:r>
      <w:r>
        <w:rPr>
          <w:sz w:val="22"/>
          <w:szCs w:val="22"/>
        </w:rPr>
        <w:t xml:space="preserve">Monitor vendors with longer average lead times for potential supply chain risk.</w:t>
      </w:r>
    </w:p>
    <w:p>
      <w:pPr>
        <w:spacing w:after="150"/>
      </w:pPr>
      <w:r>
        <w:rPr>
          <w:b/>
          <w:bCs/>
          <w:color w:val="0F6E56"/>
          <w:sz w:val="22"/>
          <w:szCs w:val="22"/>
        </w:rPr>
        <w:t xml:space="preserve">4   </w:t>
      </w:r>
      <w:r>
        <w:rPr>
          <w:sz w:val="22"/>
          <w:szCs w:val="22"/>
        </w:rPr>
        <w:t xml:space="preserve">Investigate the small subset of vendors showing sharply negative profit margins.</w:t>
      </w:r>
    </w:p>
    <w:p>
      <w:pPr>
        <w:spacing w:after="150"/>
      </w:pPr>
      <w:r>
        <w:rPr>
          <w:b/>
          <w:bCs/>
          <w:color w:val="0F6E56"/>
          <w:sz w:val="22"/>
          <w:szCs w:val="22"/>
        </w:rPr>
        <w:t xml:space="preserve">5   </w:t>
      </w:r>
      <w:r>
        <w:rPr>
          <w:sz w:val="22"/>
          <w:szCs w:val="22"/>
        </w:rPr>
        <w:t xml:space="preserve">Use sell-through rate alongside margin when evaluating vendor performance, since high revenue with poor turnover can mask inventory risk.</w:t>
      </w:r>
    </w:p>
    <w:p>
      <w:pPr>
        <w:spacing w:after="0" w:before="200"/>
      </w:pPr>
      <w:r>
        <w:rPr>
          <w:b/>
          <w:bCs/>
          <w:color w:val="0F6E56"/>
          <w:spacing w:val="20"/>
          <w:sz w:val="18"/>
          <w:szCs w:val="18"/>
        </w:rPr>
        <w:t xml:space="preserve">SECTION 08</w:t>
      </w:r>
    </w:p>
    <w:p>
      <w:pPr>
        <w:pStyle w:val="Heading1"/>
        <w:pBdr>
          <w:bottom w:val="single" w:color="1F3B57" w:sz="6"/>
        </w:pBdr>
        <w:spacing w:after="300"/>
      </w:pPr>
      <w:r>
        <w:rPr>
          <w:b/>
          <w:bCs/>
          <w:color w:val="1F3B57"/>
          <w:sz w:val="34"/>
          <w:szCs w:val="34"/>
        </w:rPr>
        <w:t xml:space="preserve">Future Scope</w:t>
      </w:r>
    </w:p>
    <w:p>
      <w:pPr>
        <w:spacing w:after="200" w:line="300"/>
      </w:pPr>
      <w:r>
        <w:rPr>
          <w:sz w:val="22"/>
          <w:szCs w:val="22"/>
        </w:rPr>
        <w:t xml:space="preserve">Future enhancements may include: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 shared date dimension table to enable cross-filtering between purchase dates and sales dates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Scheduled, automated Power BI data refresh directly from MySQL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Vendor risk scoring combining margin, lead time, and freight into a single index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Expansion to additional product categories or store regions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Forecasting future vendor demand using historical trends</w:t>
      </w:r>
    </w:p>
    <w:p>
      <w:pPr>
        <w:spacing w:after="0" w:before="200"/>
      </w:pPr>
      <w:r>
        <w:rPr>
          <w:b/>
          <w:bCs/>
          <w:color w:val="0F6E56"/>
          <w:spacing w:val="20"/>
          <w:sz w:val="18"/>
          <w:szCs w:val="18"/>
        </w:rPr>
        <w:t xml:space="preserve">SECTION 09</w:t>
      </w:r>
    </w:p>
    <w:p>
      <w:pPr>
        <w:pStyle w:val="Heading1"/>
        <w:pBdr>
          <w:bottom w:val="single" w:color="1F3B57" w:sz="6"/>
        </w:pBdr>
        <w:spacing w:after="300"/>
      </w:pPr>
      <w:r>
        <w:rPr>
          <w:b/>
          <w:bCs/>
          <w:color w:val="1F3B57"/>
          <w:sz w:val="34"/>
          <w:szCs w:val="34"/>
        </w:rPr>
        <w:t xml:space="preserve">Conclusion</w:t>
      </w:r>
    </w:p>
    <w:p>
      <w:pPr>
        <w:spacing w:after="200" w:line="300"/>
      </w:pPr>
      <w:r>
        <w:rPr>
          <w:sz w:val="22"/>
          <w:szCs w:val="22"/>
        </w:rPr>
        <w:t xml:space="preserve">The Vendor Performance Analysis project successfully demonstrates a complete end-to-end analytics workflow by integrating MySQL, SQL, Python, and Power BI into a unified business intelligence solution.</w:t>
      </w:r>
    </w:p>
    <w:p>
      <w:pPr>
        <w:spacing w:after="200" w:line="300"/>
      </w:pPr>
      <w:r>
        <w:rPr>
          <w:sz w:val="22"/>
          <w:szCs w:val="22"/>
        </w:rPr>
        <w:t xml:space="preserve">The project ingests large-scale vendor transaction data, performs analytical calculations, validates data quality, and delivers actionable insights through an interactive dashboard.</w:t>
      </w:r>
    </w:p>
    <w:p>
      <w:pPr>
        <w:spacing w:after="200" w:line="300"/>
      </w:pPr>
      <w:r>
        <w:rPr>
          <w:sz w:val="22"/>
          <w:szCs w:val="22"/>
        </w:rPr>
        <w:t xml:space="preserve">Beyond technical implementation, the solution highlights the practical application of data analytics in supporting vendor prioritization and procurement decision-making. The modular design also provides a scalable foundation for future enhancements such as shared date dimensions, automated refresh, and vendor risk scoring.</w:t>
      </w:r>
    </w:p>
    <w:p>
      <w:pPr>
        <w:spacing w:after="0" w:before="200"/>
      </w:pPr>
      <w:r>
        <w:rPr>
          <w:b/>
          <w:bCs/>
          <w:color w:val="0F6E56"/>
          <w:spacing w:val="20"/>
          <w:sz w:val="18"/>
          <w:szCs w:val="18"/>
        </w:rPr>
        <w:t xml:space="preserve">SECTION A</w:t>
      </w:r>
    </w:p>
    <w:p>
      <w:pPr>
        <w:pStyle w:val="Heading1"/>
        <w:pBdr>
          <w:bottom w:val="single" w:color="1F3B57" w:sz="6"/>
        </w:pBdr>
        <w:spacing w:after="300"/>
      </w:pPr>
      <w:r>
        <w:rPr>
          <w:b/>
          <w:bCs/>
          <w:color w:val="1F3B57"/>
          <w:sz w:val="34"/>
          <w:szCs w:val="34"/>
        </w:rPr>
        <w:t xml:space="preserve">Appendix — Project Workflow</w:t>
      </w:r>
    </w:p>
    <w:p>
      <w:pPr>
        <w:spacing w:after="200" w:line="300"/>
      </w:pPr>
      <w:r>
        <w:rPr>
          <w:sz w:val="22"/>
          <w:szCs w:val="22"/>
        </w:rPr>
        <w:t xml:space="preserve">The end-to-end pipeline that transforms raw vendor transaction data into an executive-ready business insights report:</w:t>
      </w:r>
    </w:p>
    <w:p>
      <w:pPr>
        <w:spacing w:after="40" w:before="150"/>
      </w:pPr>
      <w:r>
        <w:rPr>
          <w:b/>
          <w:bCs/>
          <w:color w:val="0F6E56"/>
          <w:sz w:val="24"/>
          <w:szCs w:val="24"/>
        </w:rPr>
        <w:t xml:space="preserve">1  </w:t>
      </w:r>
      <w:r>
        <w:rPr>
          <w:b/>
          <w:bCs/>
          <w:color w:val="1F3B57"/>
          <w:sz w:val="22"/>
          <w:szCs w:val="22"/>
        </w:rPr>
        <w:t xml:space="preserve">Raw CSV Data</w:t>
      </w:r>
    </w:p>
    <w:p>
      <w:pPr>
        <w:spacing w:after="200" w:line="300"/>
      </w:pPr>
      <w:r>
        <w:rPr>
          <w:sz w:val="22"/>
          <w:szCs w:val="22"/>
        </w:rPr>
        <w:t xml:space="preserve">Six related CSV files covering inventory, purchases, purchase prices, sales, and vendor invoices.</w:t>
      </w:r>
    </w:p>
    <w:p>
      <w:pPr>
        <w:spacing w:after="40" w:before="150"/>
      </w:pPr>
      <w:r>
        <w:rPr>
          <w:b/>
          <w:bCs/>
          <w:color w:val="0F6E56"/>
          <w:sz w:val="24"/>
          <w:szCs w:val="24"/>
        </w:rPr>
        <w:t xml:space="preserve">2  </w:t>
      </w:r>
      <w:r>
        <w:rPr>
          <w:b/>
          <w:bCs/>
          <w:color w:val="1F3B57"/>
          <w:sz w:val="22"/>
          <w:szCs w:val="22"/>
        </w:rPr>
        <w:t xml:space="preserve">MySQL Ingestion</w:t>
      </w:r>
    </w:p>
    <w:p>
      <w:pPr>
        <w:spacing w:after="200" w:line="300"/>
      </w:pPr>
      <w:r>
        <w:rPr>
          <w:sz w:val="22"/>
          <w:szCs w:val="22"/>
        </w:rPr>
        <w:t xml:space="preserve">Bulk loading via LOAD DATA LOCAL INFILE into a normalized relational schema.</w:t>
      </w:r>
    </w:p>
    <w:p>
      <w:pPr>
        <w:spacing w:after="40" w:before="150"/>
      </w:pPr>
      <w:r>
        <w:rPr>
          <w:b/>
          <w:bCs/>
          <w:color w:val="0F6E56"/>
          <w:sz w:val="24"/>
          <w:szCs w:val="24"/>
        </w:rPr>
        <w:t xml:space="preserve">3  </w:t>
      </w:r>
      <w:r>
        <w:rPr>
          <w:b/>
          <w:bCs/>
          <w:color w:val="1F3B57"/>
          <w:sz w:val="22"/>
          <w:szCs w:val="22"/>
        </w:rPr>
        <w:t xml:space="preserve">SQL Validation &amp; EDA</w:t>
      </w:r>
    </w:p>
    <w:p>
      <w:pPr>
        <w:spacing w:after="200" w:line="300"/>
      </w:pPr>
      <w:r>
        <w:rPr>
          <w:sz w:val="22"/>
          <w:szCs w:val="22"/>
        </w:rPr>
        <w:t xml:space="preserve">Checks for missing values, whitespace-driven duplicate groupings, orphaned records, and initial vendor performance queries.</w:t>
      </w:r>
    </w:p>
    <w:p>
      <w:pPr>
        <w:spacing w:after="40" w:before="150"/>
      </w:pPr>
      <w:r>
        <w:rPr>
          <w:b/>
          <w:bCs/>
          <w:color w:val="0F6E56"/>
          <w:sz w:val="24"/>
          <w:szCs w:val="24"/>
        </w:rPr>
        <w:t xml:space="preserve">4  </w:t>
      </w:r>
      <w:r>
        <w:rPr>
          <w:b/>
          <w:bCs/>
          <w:color w:val="1F3B57"/>
          <w:sz w:val="22"/>
          <w:szCs w:val="22"/>
        </w:rPr>
        <w:t xml:space="preserve">Python KPI Analysis</w:t>
      </w:r>
    </w:p>
    <w:p>
      <w:pPr>
        <w:spacing w:after="200" w:line="300"/>
      </w:pPr>
      <w:r>
        <w:rPr>
          <w:sz w:val="22"/>
          <w:szCs w:val="22"/>
        </w:rPr>
        <w:t xml:space="preserve">Calculation of profit margin, sell-through rate, freight percentage, and average lead time; chart generation.</w:t>
      </w:r>
    </w:p>
    <w:p>
      <w:pPr>
        <w:spacing w:after="40" w:before="150"/>
      </w:pPr>
      <w:r>
        <w:rPr>
          <w:b/>
          <w:bCs/>
          <w:color w:val="0F6E56"/>
          <w:sz w:val="24"/>
          <w:szCs w:val="24"/>
        </w:rPr>
        <w:t xml:space="preserve">5  </w:t>
      </w:r>
      <w:r>
        <w:rPr>
          <w:b/>
          <w:bCs/>
          <w:color w:val="1F3B57"/>
          <w:sz w:val="22"/>
          <w:szCs w:val="22"/>
        </w:rPr>
        <w:t xml:space="preserve">Star Schema Modeling</w:t>
      </w:r>
    </w:p>
    <w:p>
      <w:pPr>
        <w:spacing w:after="200" w:line="300"/>
      </w:pPr>
      <w:r>
        <w:rPr>
          <w:sz w:val="22"/>
          <w:szCs w:val="22"/>
        </w:rPr>
        <w:t xml:space="preserve">Vendor and Brand dimension tables built in Power Query, related to five fact tables.</w:t>
      </w:r>
    </w:p>
    <w:p>
      <w:pPr>
        <w:spacing w:after="40" w:before="150"/>
      </w:pPr>
      <w:r>
        <w:rPr>
          <w:b/>
          <w:bCs/>
          <w:color w:val="0F6E56"/>
          <w:sz w:val="24"/>
          <w:szCs w:val="24"/>
        </w:rPr>
        <w:t xml:space="preserve">6  </w:t>
      </w:r>
      <w:r>
        <w:rPr>
          <w:b/>
          <w:bCs/>
          <w:color w:val="1F3B57"/>
          <w:sz w:val="22"/>
          <w:szCs w:val="22"/>
        </w:rPr>
        <w:t xml:space="preserve">Power BI Dashboard</w:t>
      </w:r>
    </w:p>
    <w:p>
      <w:pPr>
        <w:spacing w:after="200" w:line="300"/>
      </w:pPr>
      <w:r>
        <w:rPr>
          <w:sz w:val="22"/>
          <w:szCs w:val="22"/>
        </w:rPr>
        <w:t xml:space="preserve">Two-page interactive dashboard with custom DAX measures and business-ready visuals.</w:t>
      </w:r>
    </w:p>
    <w:p>
      <w:pPr>
        <w:spacing w:after="40" w:before="150"/>
      </w:pPr>
      <w:r>
        <w:rPr>
          <w:b/>
          <w:bCs/>
          <w:color w:val="0F6E56"/>
          <w:sz w:val="24"/>
          <w:szCs w:val="24"/>
        </w:rPr>
        <w:t xml:space="preserve">7  </w:t>
      </w:r>
      <w:r>
        <w:rPr>
          <w:b/>
          <w:bCs/>
          <w:color w:val="1F3B57"/>
          <w:sz w:val="22"/>
          <w:szCs w:val="22"/>
        </w:rPr>
        <w:t xml:space="preserve">Business Insights Report</w:t>
      </w:r>
    </w:p>
    <w:p>
      <w:pPr>
        <w:spacing w:after="200" w:line="300"/>
      </w:pPr>
      <w:r>
        <w:rPr>
          <w:sz w:val="22"/>
          <w:szCs w:val="22"/>
        </w:rPr>
        <w:t xml:space="preserve">Consolidated executive findings and recommendations, as presented in this document.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2c7f359e87d55f2bf277f6a439f7c8675075a8.png"/><Relationship Id="rId8" Type="http://schemas.openxmlformats.org/officeDocument/2006/relationships/image" Target="media/f3ae1ef3f9a584105807b40fd722aef507f8caae.png"/><Relationship Id="rId9" Type="http://schemas.openxmlformats.org/officeDocument/2006/relationships/image" Target="media/9507bbdb27d5b4b25f4ca070370e5db0263102a0.png"/><Relationship Id="rId10" Type="http://schemas.openxmlformats.org/officeDocument/2006/relationships/image" Target="media/b03f13a7ce6b85d0eaf47fc0fc3c47ba15ba14d5.png"/><Relationship Id="rId11" Type="http://schemas.openxmlformats.org/officeDocument/2006/relationships/image" Target="media/e23924b3184660eb496bc6aee0183e7cf6689e8f.png"/><Relationship Id="rId12" Type="http://schemas.openxmlformats.org/officeDocument/2006/relationships/image" Target="media/72cfa6064811c023a595a633e67d122438a82d2e.png"/><Relationship Id="rId13" Type="http://schemas.openxmlformats.org/officeDocument/2006/relationships/image" Target="media/43f460ad625baa3055acb45ff91740058ff4b10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2026-07-14T11:04:39.837Z</dcterms:created>
  <dcterms:modified xsi:type="dcterms:W3CDTF">2026-07-14T11:04:39.837Z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