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B5FA5"/>
          <w:spacing w:val="40"/>
          <w:sz w:val="22"/>
          <w:szCs w:val="22"/>
        </w:rPr>
        <w:t xml:space="preserve">RESEARCH ROADMAP</w:t>
      </w:r>
    </w:p>
    <w:p>
      <w:pPr>
        <w:spacing w:after="0" w:before="260"/>
        <w:jc w:val="center"/>
      </w:pPr>
      <w:r>
        <w:rPr>
          <w:b/>
          <w:bCs/>
          <w:color w:val="0F172A"/>
          <w:sz w:val="52"/>
          <w:szCs w:val="52"/>
        </w:rPr>
        <w:t xml:space="preserve">1-D Axial, Non-Isothermal</w:t>
      </w:r>
    </w:p>
    <w:p>
      <w:pPr>
        <w:spacing w:after="0" w:before="60"/>
        <w:jc w:val="center"/>
      </w:pPr>
      <w:r>
        <w:rPr>
          <w:b/>
          <w:bCs/>
          <w:color w:val="0F172A"/>
          <w:sz w:val="52"/>
          <w:szCs w:val="52"/>
        </w:rPr>
        <w:t xml:space="preserve">Adsorption Breakthrough Modelling</w:t>
      </w:r>
    </w:p>
    <w:p>
      <w:pPr>
        <w:spacing w:after="320" w:before="60"/>
        <w:jc w:val="center"/>
      </w:pPr>
      <w:r>
        <w:rPr>
          <w:b/>
          <w:bCs/>
          <w:color w:val="0F172A"/>
          <w:sz w:val="52"/>
          <w:szCs w:val="52"/>
        </w:rPr>
        <w:t xml:space="preserve">in a Fixed-Bed Column</w:t>
      </w:r>
    </w:p>
    <w:p>
      <w:pPr>
        <w:pBdr>
          <w:bottom w:val="single" w:color="0B5FA5" w:sz="18" w:space="1"/>
        </w:pBdr>
        <w:spacing w:after="320" w:before="0"/>
      </w:pPr>
      <w:r>
        <w:rPr>
          <w:sz w:val="2"/>
          <w:szCs w:val="2"/>
        </w:rPr>
        <w:t xml:space="preserve"/>
      </w:r>
    </w:p>
    <w:p>
      <w:pPr>
        <w:spacing w:after="60"/>
        <w:jc w:val="center"/>
      </w:pPr>
      <w:r>
        <w:rPr>
          <w:color w:val="23303F"/>
          <w:sz w:val="22"/>
          <w:szCs w:val="22"/>
        </w:rPr>
        <w:t xml:space="preserve">A literature-review companion for the single-component CO₂ / N₂ (carrier) system:</w:t>
      </w:r>
    </w:p>
    <w:p>
      <w:pPr>
        <w:spacing w:after="500"/>
        <w:jc w:val="center"/>
      </w:pPr>
      <w:r>
        <w:rPr>
          <w:i/>
          <w:iCs/>
          <w:color w:val="5B6472"/>
          <w:sz w:val="20"/>
          <w:szCs w:val="20"/>
        </w:rPr>
        <w:t xml:space="preserve">isotherm &amp; temperature-dependent mechanisms · linear driving force kinetics · method-of-lines numerical integration</w:t>
      </w:r>
    </w:p>
    <w:p>
      <w:pPr>
        <w:spacing w:after="40"/>
        <w:jc w:val="center"/>
      </w:pPr>
      <w:r>
        <w:rPr>
          <w:color w:val="5B6472"/>
          <w:sz w:val="18"/>
          <w:szCs w:val="18"/>
        </w:rPr>
        <w:t xml:space="preserve">Prepared for</w:t>
      </w:r>
    </w:p>
    <w:p>
      <w:pPr>
        <w:spacing w:after="280"/>
        <w:jc w:val="center"/>
      </w:pPr>
      <w:r>
        <w:rPr>
          <w:b/>
          <w:bCs/>
          <w:color w:val="0F172A"/>
          <w:sz w:val="26"/>
          <w:szCs w:val="26"/>
        </w:rPr>
        <w:t xml:space="preserve">Loh John Ray</w:t>
      </w:r>
    </w:p>
    <w:p>
      <w:pPr>
        <w:jc w:val="center"/>
      </w:pPr>
      <w:r>
        <w:rPr>
          <w:color w:val="5B6472"/>
          <w:sz w:val="18"/>
          <w:szCs w:val="18"/>
        </w:rPr>
        <w:t xml:space="preserve">1 July 2026</w:t>
      </w:r>
    </w:p>
    <w:p>
      <w:pPr>
        <w:spacing w:before="40"/>
        <w:jc w:val="center"/>
      </w:pPr>
      <w:r>
        <w:rPr>
          <w:color w:val="5B6472"/>
          <w:sz w:val="16"/>
          <w:szCs w:val="16"/>
        </w:rPr>
        <w:t xml:space="preserve">Source library: 13 papers &amp; textbook chapters + 1 technical reference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to Use This Roadmap</w:t>
      </w:r>
    </w:p>
    <w:p>
      <w:pPr>
        <w:spacing w:after="160" w:line="288"/>
        <w:jc w:val="left"/>
      </w:pPr>
      <w:r>
        <w:rPr>
          <w:b w:val="false"/>
          <w:bCs w:val="false"/>
          <w:i w:val="false"/>
          <w:iCs w:val="false"/>
          <w:color w:val="23303F"/>
          <w:sz w:val="21"/>
          <w:szCs w:val="21"/>
        </w:rPr>
        <w:t xml:space="preserve">This document turns your working folder of papers and textbook chapters into a navigable research tool. Sources are grouped under three pillars that mirror your review's structure, and each source is presented as a colour-coded card summarising its contribution, its key equations or findings, and why it matters for a 1-D axial, non-isothermal breakthrough model of CO₂ in N₂ on a fixed bed.</w:t>
      </w:r>
    </w:p>
    <w:p>
      <w:pPr>
        <w:spacing w:after="160" w:line="288"/>
        <w:jc w:val="left"/>
      </w:pPr>
      <w:r>
        <w:rPr>
          <w:b w:val="false"/>
          <w:bCs w:val="false"/>
          <w:i w:val="false"/>
          <w:iCs w:val="false"/>
          <w:color w:val="23303F"/>
          <w:sz w:val="21"/>
          <w:szCs w:val="21"/>
        </w:rPr>
        <w:t xml:space="preserve">Every card ends with a ruled space for your own notes and a status checklist, so this can double as your working log as you move through the pile.</w:t>
      </w:r>
    </w:p>
    <w:p>
      <w:pPr>
        <w:pStyle w:val="Heading2"/>
      </w:pPr>
      <w:r>
        <w:t xml:space="preserve">Colour legend — study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3341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TEXTBOOK</w:t>
            </w:r>
          </w:p>
        </w:tc>
        <w:tc>
          <w:tcPr>
            <w:tcW w:type="dxa" w:w="7160"/>
            <w:shd w:fill="E9EC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3303F"/>
                <w:sz w:val="19"/>
                <w:szCs w:val="19"/>
              </w:rPr>
              <w:t xml:space="preserve">Foundational chapters from standard references — canonical derivations and definitions you can cite with confidence.</w:t>
            </w:r>
          </w:p>
        </w:tc>
      </w:tr>
      <w:tr>
        <w:tc>
          <w:tcPr>
            <w:tcW w:type="dxa" w:w="2200"/>
            <w:shd w:fill="7E2E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REVIEW</w:t>
            </w:r>
          </w:p>
        </w:tc>
        <w:tc>
          <w:tcPr>
            <w:tcW w:type="dxa" w:w="7160"/>
            <w:shd w:fill="F3E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3303F"/>
                <w:sz w:val="19"/>
                <w:szCs w:val="19"/>
              </w:rPr>
              <w:t xml:space="preserve">Survey papers that classify and compare many models — use these to justify model choice and terminology.</w:t>
            </w:r>
          </w:p>
        </w:tc>
      </w:tr>
      <w:tr>
        <w:tc>
          <w:tcPr>
            <w:tcW w:type="dxa" w:w="2200"/>
            <w:shd w:fill="1E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ANALYTICAL MODEL</w:t>
            </w:r>
          </w:p>
        </w:tc>
        <w:tc>
          <w:tcPr>
            <w:tcW w:type="dxa" w:w="7160"/>
            <w:shd w:fill="E4F3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3303F"/>
                <w:sz w:val="19"/>
                <w:szCs w:val="19"/>
              </w:rPr>
              <w:t xml:space="preserve">Closed-form or semi-analytical solutions — useful as benchmarks / limiting cases for your numerical model.</w:t>
            </w:r>
          </w:p>
        </w:tc>
      </w:tr>
      <w:tr>
        <w:tc>
          <w:tcPr>
            <w:tcW w:type="dxa" w:w="2200"/>
            <w:shd w:fill="B45A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NUMERICAL / CFD</w:t>
            </w:r>
          </w:p>
        </w:tc>
        <w:tc>
          <w:tcPr>
            <w:tcW w:type="dxa" w:w="7160"/>
            <w:shd w:fill="FBEA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3303F"/>
                <w:sz w:val="19"/>
                <w:szCs w:val="19"/>
              </w:rPr>
              <w:t xml:space="preserve">Papers whose core result is a numerical (CFD or ODE/PDE) solution, validated against experimental data.</w:t>
            </w:r>
          </w:p>
        </w:tc>
      </w:tr>
      <w:tr>
        <w:tc>
          <w:tcPr>
            <w:tcW w:type="dxa" w:w="2200"/>
            <w:shd w:fill="0E6E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TECHNICAL REF.</w:t>
            </w:r>
          </w:p>
        </w:tc>
        <w:tc>
          <w:tcPr>
            <w:tcW w:type="dxa" w:w="7160"/>
            <w:shd w:fill="DF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3303F"/>
                <w:sz w:val="19"/>
                <w:szCs w:val="19"/>
              </w:rPr>
              <w:t xml:space="preserve">External technical documentation (not a research paper) — implementation-level guidance.</w:t>
            </w:r>
          </w:p>
        </w:tc>
      </w:tr>
    </w:tbl>
    <w:p>
      <w:pPr>
        <w:spacing w:after="160" w:before="24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Reading each card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color w:val="23303F"/>
          <w:sz w:val="20"/>
          <w:szCs w:val="20"/>
        </w:rPr>
        <w:t xml:space="preserve">Header strip — pillar code (e.g. A1), study-type tag, and the accent colour used throughout for that source type.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color w:val="23303F"/>
          <w:sz w:val="20"/>
          <w:szCs w:val="20"/>
        </w:rPr>
        <w:t xml:space="preserve">Title &amp; citation — full reference, so the card is self-contained even away from your reference manager.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color w:val="23303F"/>
          <w:sz w:val="20"/>
          <w:szCs w:val="20"/>
        </w:rPr>
        <w:t xml:space="preserve">Key contribution bullets — the specific mechanisms, equations, or results relevant to this project, pulled directly from the text.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color w:val="23303F"/>
          <w:sz w:val="20"/>
          <w:szCs w:val="20"/>
        </w:rPr>
        <w:t xml:space="preserve">Relevance line — a one-sentence bridge from the source to your own model.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color w:val="23303F"/>
          <w:sz w:val="20"/>
          <w:szCs w:val="20"/>
        </w:rPr>
        <w:t xml:space="preserve">Notes area — blank ruled lines plus a read / extracted / cited checklist.</w:t>
      </w:r>
    </w:p>
    <w:p>
      <w:r>
        <w:br w:type="page"/>
      </w:r>
    </w:p>
    <w:p>
      <w:pPr>
        <w:pStyle w:val="Heading1"/>
      </w:pPr>
      <w:r>
        <w:t xml:space="preserve">The Three Pillars</w:t>
      </w:r>
    </w:p>
    <w:p>
      <w:pPr>
        <w:spacing w:after="160" w:line="288"/>
        <w:jc w:val="left"/>
      </w:pPr>
      <w:r>
        <w:rPr>
          <w:b w:val="false"/>
          <w:bCs w:val="false"/>
          <w:i w:val="false"/>
          <w:iCs w:val="false"/>
          <w:color w:val="23303F"/>
          <w:sz w:val="21"/>
          <w:szCs w:val="21"/>
        </w:rPr>
        <w:t xml:space="preserve">Your review brief breaks into three linked questions. Each becomes a pillar of this roadmap; together they cover the physics, the kinetics, and the computation needed for a defensible 1-D model.</w:t>
      </w:r>
    </w:p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A15" w:sz="6"/>
              <w:left w:val="single" w:color="B45A15" w:sz="6"/>
              <w:bottom w:val="single" w:color="B45A15" w:sz="6"/>
              <w:right w:val="single" w:color="B45A15" w:sz="6"/>
            </w:tcBorders>
            <w:shd w:fill="FBEAD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B45A15"/>
                <w:spacing w:val="10"/>
                <w:sz w:val="18"/>
                <w:szCs w:val="18"/>
              </w:rPr>
              <w:t xml:space="preserve">PILLAR A   </w:t>
            </w:r>
          </w:p>
          <w:p>
            <w:pPr>
              <w:spacing w:after="100"/>
            </w:pPr>
            <w:r>
              <w:rPr>
                <w:b/>
                <w:bCs/>
                <w:color w:val="0F172A"/>
                <w:sz w:val="26"/>
                <w:szCs w:val="26"/>
              </w:rPr>
              <w:t xml:space="preserve">Mechanisms: CO₂/N₂, Isotherms &amp; Temperature-Dependent Parameters</w:t>
            </w:r>
          </w:p>
          <w:p>
            <w:r>
              <w:rPr>
                <w:color w:val="23303F"/>
                <w:sz w:val="20"/>
                <w:szCs w:val="20"/>
              </w:rPr>
              <w:t xml:space="preserve">How single-component CO₂ adsorption on a solid, in an inert N₂ carrier, is linked mathematically to an equilibrium isotherm whose parameters (affinity constants, saturation capacities, isosteric heat) vary with temperature — the coupling that makes the model ‘non-isothermal’.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1E6B3C" w:sz="6"/>
              <w:right w:val="single" w:color="1E6B3C" w:sz="6"/>
            </w:tcBorders>
            <w:shd w:fill="E4F3E9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E6B3C"/>
                <w:spacing w:val="10"/>
                <w:sz w:val="18"/>
                <w:szCs w:val="18"/>
              </w:rPr>
              <w:t xml:space="preserve">PILLAR B   </w:t>
            </w:r>
          </w:p>
          <w:p>
            <w:pPr>
              <w:spacing w:after="100"/>
            </w:pPr>
            <w:r>
              <w:rPr>
                <w:b/>
                <w:bCs/>
                <w:color w:val="0F172A"/>
                <w:sz w:val="26"/>
                <w:szCs w:val="26"/>
              </w:rPr>
              <w:t xml:space="preserve">Evidence for Linear Driving Force (LDF) Kinetics</w:t>
            </w:r>
          </w:p>
          <w:p>
            <w:r>
              <w:rPr>
                <w:color w:val="23303F"/>
                <w:sz w:val="20"/>
                <w:szCs w:val="20"/>
              </w:rPr>
              <w:t xml:space="preserve">Why the lumped LDF rate law dq/dt = k(q*−q) is used almost universally in place of a full intraparticle diffusion model, what k = 15D/rᵨ² approximates, and where the approximation is validated — or breaks down — against exact and experimental solutions.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8E" w:sz="6"/>
              <w:left w:val="single" w:color="33418E" w:sz="6"/>
              <w:bottom w:val="single" w:color="33418E" w:sz="6"/>
              <w:right w:val="single" w:color="33418E" w:sz="6"/>
            </w:tcBorders>
            <w:shd w:fill="E9ECF9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33418E"/>
                <w:spacing w:val="10"/>
                <w:sz w:val="18"/>
                <w:szCs w:val="18"/>
              </w:rPr>
              <w:t xml:space="preserve">PILLAR C   </w:t>
            </w:r>
          </w:p>
          <w:p>
            <w:pPr>
              <w:spacing w:after="100"/>
            </w:pPr>
            <w:r>
              <w:rPr>
                <w:b/>
                <w:bCs/>
                <w:color w:val="0F172A"/>
                <w:sz w:val="26"/>
                <w:szCs w:val="26"/>
              </w:rPr>
              <w:t xml:space="preserve">Numerical Integration: Method of Lines + solve_ivp</w:t>
            </w:r>
          </w:p>
          <w:p>
            <w:r>
              <w:rPr>
                <w:color w:val="23303F"/>
                <w:sz w:val="20"/>
                <w:szCs w:val="20"/>
              </w:rPr>
              <w:t xml:space="preserve">How the coupled hyperbolic/parabolic PDE system (mass, energy, and LDF kinetics) is reduced to a large stiff ODE system via spatial discretisation (Method of Lines), and why implicit integrators (BDF, LSODA) in scipy.integrate.solve_ivp are the appropriate tool.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Pillar A — Mechanisms: Isotherms &amp; Temperature-Dependent Parameters</w:t>
      </w:r>
    </w:p>
    <w:p>
      <w:pPr>
        <w:spacing w:after="160" w:line="288"/>
        <w:jc w:val="left"/>
      </w:pPr>
      <w:r>
        <w:rPr>
          <w:b w:val="false"/>
          <w:bCs w:val="false"/>
          <w:i w:val="false"/>
          <w:iCs w:val="false"/>
          <w:color w:val="23303F"/>
          <w:sz w:val="21"/>
          <w:szCs w:val="21"/>
        </w:rPr>
        <w:t xml:space="preserve">These sources establish how the equilibrium isotherm links gas-phase CO₂ concentration to adsorbed-phase loading, and — critically for a non-isothermal model — how the isotherm's own parameters and the heat of adsorption change with temperature.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45A15" w:sz="4"/>
              <w:left w:val="single" w:color="B45A15" w:sz="4"/>
              <w:bottom w:val="single" w:color="B45A15" w:sz="4"/>
              <w:right w:val="single" w:color="B45A15" w:sz="4"/>
            </w:tcBorders>
            <w:shd w:fill="B45A15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A1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NUMERICAL / CFD</w:t>
            </w:r>
          </w:p>
        </w:tc>
        <w:tc>
          <w:tcPr>
            <w:tcW w:type="dxa" w:w="7860"/>
            <w:tcBorders>
              <w:top w:val="single" w:color="B45A15" w:sz="4"/>
              <w:left w:val="single" w:color="B45A15" w:sz="4"/>
              <w:bottom w:val="single" w:color="B45A15" w:sz="4"/>
              <w:right w:val="single" w:color="B45A15" w:sz="4"/>
            </w:tcBorders>
            <w:shd w:fill="FBEA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B45A15"/>
                <w:sz w:val="23"/>
                <w:szCs w:val="23"/>
              </w:rPr>
              <w:t xml:space="preserve">CFD-Based Model of Adsorption Columns: Validation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Fabian Ramos, H.S., Baliga, C., Rajendran, A. &amp; Nikrityuk, P.A. (2024). Chemical Engineering Science, 285, 119606.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Couples continuity, momentum, species and energy transport equations for CO₂/N₂ on zeolite 13X, implemented as user-defined functions in ANSYS Fluent and validated against published single- and dual-component breakthrough experiments.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Equilibrium is modelled with a Dual-Site Langmuir (DSL) isotherm: q* = q₁bC/(1+ΣbC) + q₂dC/(1+ΣdC), with the affinity constants bᵢ and dᵢ following Arrhenius-type expressions bᵢ = b₀,ᵢ·exp(−ΔU_{b,i}/RT) (their Eqs. 15–16) — the explicit temperature-dependent parameter link your brief asks about.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The isosteric heat of adsorption is treated as loading- and temperature-dependent (linear in T, plus an empirical loading correction for CO₂, their Eq. 10), and enters the energy balance as the adsorption heat-release term.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The adsorption rate itself is closed with an LDF expression, k_LDF = 15D_eff/r_p², giving a directly transferable set of equations (Eqs. 1–9, 11–16) for a 1-D reduction of the same physics.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The single richest source in your library for a fully worked, validated CO₂/N₂ mechanism: DSL isotherm + Arrhenius T-dependence + LDF + isosteric heat, all in one internally consistent model you can cite equation-by-equation.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A (primary) · also B, C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7E2E8E" w:sz="4"/>
              <w:left w:val="single" w:color="7E2E8E" w:sz="4"/>
              <w:bottom w:val="single" w:color="7E2E8E" w:sz="4"/>
              <w:right w:val="single" w:color="7E2E8E" w:sz="4"/>
            </w:tcBorders>
            <w:shd w:fill="7E2E8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REVIEW</w:t>
            </w:r>
          </w:p>
        </w:tc>
        <w:tc>
          <w:tcPr>
            <w:tcW w:type="dxa" w:w="7860"/>
            <w:tcBorders>
              <w:top w:val="single" w:color="7E2E8E" w:sz="4"/>
              <w:left w:val="single" w:color="7E2E8E" w:sz="4"/>
              <w:bottom w:val="single" w:color="7E2E8E" w:sz="4"/>
              <w:right w:val="single" w:color="7E2E8E" w:sz="4"/>
            </w:tcBorders>
            <w:shd w:fill="F3E6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7E2E8E"/>
                <w:sz w:val="23"/>
                <w:szCs w:val="23"/>
              </w:rPr>
              <w:t xml:space="preserve">Guidelines for the Use and Interpretation of Adsorption Isotherm Models: A Review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Al-Ghouti, M.A. &amp; Da'ana, D.A. (2020). Journal of Hazardous Materials, 393, 122383.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Systematic guide to two-, three- and four-parameter isotherms (Langmuir, Freundlich, Sips, Toth, Redlich–Peterson, Dubinin–Radushkevich, BET, Khan, Fritz–Schlünder and others), with worked linear and non-linear forms.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Flags which parameters are explicitly temperature-dependent (e.g. Freundlich K_F and 1/n both vary with T; Temkin's b_T is tied to the heat of sorption) — useful for deciding which parameters in your own isotherm need an explicit T(z,t) dependence.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Discusses correct model-selection practice (error-function comparison, avoiding over-fitting with too many parameters) — directly applicable when you justify choosing DSL/Toth over simple Langmuir for CO₂/N₂.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Use as the methodological backbone for the isotherm-selection section of your model write-up: it gives you the vocabulary and validation criteria to defend whichever isotherm you adopt.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A (primary)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ANALYTICAL MODEL</w:t>
            </w:r>
          </w:p>
        </w:tc>
        <w:tc>
          <w:tcPr>
            <w:tcW w:type="dxa" w:w="786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E4F3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6B3C"/>
                <w:sz w:val="23"/>
                <w:szCs w:val="23"/>
              </w:rPr>
              <w:t xml:space="preserve">Concentration and Temperature Profiles in a Fixed-Bed Column Based on an Analytical Solution of the Axial Dispersion Model for Binary and Multicomponent Non-Isothermal Adsorption Processes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Danilov, V.A., De Schepper, P., Cousin-Saint-Remi, J. &amp; Denayer, J.F.M. (2019). Computers &amp; Chemical Engineering, 122, 41–52.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Builds the coupled non-isothermal axial-dispersion model in terms of four field variables: component molar flux F, adsorbate loading q, gas-phase temperature Tᴳ and solid-phase temperature Tˢ — a template state vector for your own 1-D formulation.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Uses an LDF kinetic closure and a Langmuir isotherm, with the heat of adsorption ΔH_ads entering the heat-balance source term directly.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Derives an analytical simplification for the adsorption driving force ψ by exploiting the relationship ∂y/∂t = (∂y/∂q)(∂q/∂t), then closes the remaining coupled PDEs by numerical integration — i.e. an explicit semi-analytical + numerical hybrid.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Validated for both binary and multicomponent non-isothermal breakthrough.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The closest published analogue to your target model. Use its governing-equation set (Table 1 in the paper) as a cross-check for your own mass/energy balance formulation, and its results as a benchmark case.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A (primary) · also B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Pillar B — Evidence for Linear Driving Force (LDF) Kinetics</w:t>
      </w:r>
    </w:p>
    <w:p>
      <w:pPr>
        <w:spacing w:after="160" w:line="288"/>
        <w:jc w:val="left"/>
      </w:pPr>
      <w:r>
        <w:rPr>
          <w:b w:val="false"/>
          <w:bCs w:val="false"/>
          <w:i w:val="false"/>
          <w:iCs w:val="false"/>
          <w:color w:val="23303F"/>
          <w:sz w:val="21"/>
          <w:szCs w:val="21"/>
        </w:rPr>
        <w:t xml:space="preserve">These sources trace the LDF approximation from its original derivation through independent validations against exact diffusion solutions, alternative kinetic orders, and real breakthrough data — giving you a defensible basis for adopting dq/dt = k(q*−q) rather than a full pore-diffusion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33418E" w:sz="4"/>
              <w:left w:val="single" w:color="33418E" w:sz="4"/>
              <w:bottom w:val="single" w:color="33418E" w:sz="4"/>
              <w:right w:val="single" w:color="33418E" w:sz="4"/>
            </w:tcBorders>
            <w:shd w:fill="33418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B1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TEXTBOOK</w:t>
            </w:r>
          </w:p>
        </w:tc>
        <w:tc>
          <w:tcPr>
            <w:tcW w:type="dxa" w:w="7860"/>
            <w:tcBorders>
              <w:top w:val="single" w:color="33418E" w:sz="4"/>
              <w:left w:val="single" w:color="33418E" w:sz="4"/>
              <w:bottom w:val="single" w:color="33418E" w:sz="4"/>
              <w:right w:val="single" w:color="33418E" w:sz="4"/>
            </w:tcBorders>
            <w:shd w:fill="E9EC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33418E"/>
                <w:sz w:val="23"/>
                <w:szCs w:val="23"/>
              </w:rPr>
              <w:t xml:space="preserve">Principles of Adsorption and Adsorption Processes — Ch. 6 (Kinetics of Sorption in Batch Systems) &amp; Ch. 8 (Dynamics of Adsorption Columns: Single-Transition Systems)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Ruthven, D.M. (1984). John Wiley &amp; Sons, New York.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Gives the canonical derivation of the LDF approximation, attributing it to Glueckauf (1955): a linear rate law dq/dt = k(q*−q) with k = 15D/r² reproduces the exact Rosen (diffusion) solution for a linear isotherm, for a wide range of boundary conditions (§8.5).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Shows via moments analysis (van der Laan's theorem) how axial dispersion and multiple mass-transfer resistances combine additively into a single effective rate coefficient k′ (Eq. 8.42), extending the basic Glueckauf result.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States explicitly that the LDF/diffusion equivalence ‘works well for linear and nearly linear systems’ but ‘breaks down when the isotherm is highly nonlinear’ (§8.6) — an important caveat for a favourable-isotherm system like CO₂ on zeolite.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Chapter 6 separately analyses non-isothermal single-particle kinetics: when heat-transfer resistance is significant, uptake is governed by two parameters (α′, β) spanning pure diffusion control to pure heat-transfer control (Eqs. 6.62–6.70).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Chapter 8 also derives the isothermal governing PDE pair (fluid mass balance + particle/LDF rate expression, Eqs. 8.1–8.2) and shows how a favourable isotherm produces ‘constant-pattern’ (self-sharpening) fronts, while an unfavourable one produces continuously spreading (‘proportionate-pattern’) fronts.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Your primary citation for the LDF rate law itself, its rate-constant formula, its range of validity, and the qualitative front behaviour (constant- vs proportionate-pattern) your simulated breakthrough curves should reproduce.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B (primary) · also A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7E2E8E" w:sz="4"/>
              <w:left w:val="single" w:color="7E2E8E" w:sz="4"/>
              <w:bottom w:val="single" w:color="7E2E8E" w:sz="4"/>
              <w:right w:val="single" w:color="7E2E8E" w:sz="4"/>
            </w:tcBorders>
            <w:shd w:fill="7E2E8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REVIEW</w:t>
            </w:r>
          </w:p>
        </w:tc>
        <w:tc>
          <w:tcPr>
            <w:tcW w:type="dxa" w:w="7860"/>
            <w:tcBorders>
              <w:top w:val="single" w:color="7E2E8E" w:sz="4"/>
              <w:left w:val="single" w:color="7E2E8E" w:sz="4"/>
              <w:bottom w:val="single" w:color="7E2E8E" w:sz="4"/>
              <w:right w:val="single" w:color="7E2E8E" w:sz="4"/>
            </w:tcBorders>
            <w:shd w:fill="F3E6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7E2E8E"/>
                <w:sz w:val="23"/>
                <w:szCs w:val="23"/>
              </w:rPr>
              <w:t xml:space="preserve">Review: Mathematically Modeling Fixed-Bed Adsorption in Aqueous Systems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Xu, Z., Cai, J. &amp; Pan, B. (2013). Journal of Zhejiang University-SCIENCE A, 14(3), 155–176.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Places the LDF model (dq/dt = k_e(q_s−q_a), their Eq. 22, citing Glueckauf 1955) within a full taxonomy: general rate models, wave-propagation theory, constant-pattern model, Clark, Thomas, Bohart–Adams, Yoon–Nelson, Wang, Wolborska and modified dose–response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Discusses the mechanistic assumption behind LDF — a single lumped coefficient standing in for the true intrapellet (macropore + micropore) diffusion — and its main shortcoming: loss of resolution when diffusional resistances are not well separated in time-scale.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Useful cross-reference table of which models require numerical vs analytical solution, and their typical parameter-fitting routes.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Positions LDF relative to every other common breakthrough model, so you can justify — in one paragraph — why LDF rather than, say, a Thomas or general rate model is the right level of complexity for a fixed-bed CO₂/N₂ study.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B (primary) · also A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ANALYTICAL MODEL</w:t>
            </w:r>
          </w:p>
        </w:tc>
        <w:tc>
          <w:tcPr>
            <w:tcW w:type="dxa" w:w="786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E4F3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6B3C"/>
                <w:sz w:val="23"/>
                <w:szCs w:val="23"/>
              </w:rPr>
              <w:t xml:space="preserve">Theoretical Prediction of Breakthrough Curves for Molecular Sieve Adsorption Columns — I. Asymptotic Solutions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Garg, D.R. &amp; Ruthven, D.M. (1973). Chemical Engineering Science, 28(3), 791–798.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Derives asymptotic (‘constant-pattern’) breakthrough-curve solutions for micropore- and macropore-diffusion-controlled kinetics under a Langmuir isotherm, for isothermal single-component adsorption from a lean gas.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Because these are exact diffusion-control solutions, they are the natural benchmark against which an LDF constant-pattern solution (k = 15D/r²) should be checked for a favourable isotherm.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Restricted to long columns / lean gas — note this boundary-condition simplification when comparing against a finite-length numerical model.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Use as an analytical validation case: run your LDF-based numerical model to the constant-pattern limit and confirm it converges to these asymptotic diffusion-controlled curves within the expected error.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B (primary)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B4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ANALYTICAL MODEL</w:t>
            </w:r>
          </w:p>
        </w:tc>
        <w:tc>
          <w:tcPr>
            <w:tcW w:type="dxa" w:w="786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E4F3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6B3C"/>
                <w:sz w:val="23"/>
                <w:szCs w:val="23"/>
              </w:rPr>
              <w:t xml:space="preserve">Perturbative Solutions for Non-Linear Fixed-Bed Adsorption — I. Approximate Analytical Solutions for Asymptotic Fronts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Gorius, A., Bailly, M. &amp; Tondeur, D. (1991). Chemical Engineering Science, 46(2), 677–684.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General non-linear chromatography model (axial dispersion + a generic mass-transfer law, of which LDF is a special case) solved by perturbation analysis rather than by direct numerical integration.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Formally justifies the widely used but often un-derived assumption that the ‘heights of transfer units’ (HTU) for axial dispersion and for mass-transfer resistance are additive, and derives the applicability criterion for when this holds.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Validates its perturbative fronts directly against full numerical integration of the PDE system — the paper explicitly compares analytical, numerical, and experimental results.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Gives you a second, independent theoretical route to sanity-check a numerical solver: if your Method-of-Lines solution and this perturbative solution disagree outside the stated applicability criterion, that flags a genuine modelling (not numerical) issue.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B (primary)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B5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ANALYTICAL MODEL</w:t>
            </w:r>
          </w:p>
        </w:tc>
        <w:tc>
          <w:tcPr>
            <w:tcW w:type="dxa" w:w="786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E4F3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6B3C"/>
                <w:sz w:val="23"/>
                <w:szCs w:val="23"/>
              </w:rPr>
              <w:t xml:space="preserve">Column Dynamics for Multicomponent Adsorption — Constant Pattern Formation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Kumar, R. (1986). Separation Science and Technology, 21(10), 1039–1046.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Extends constant-pattern theory from single-component to multicomponent adsorption, examining how competing adsorbates' fronts interact and separate.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Directly relevant if CO₂/N₂ is later extended to a genuinely competitive two-component system rather than treating N₂ purely as inert carrier.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Keep in reserve for a future extension of the model to competitive multicomponent adsorption; not essential for a single-adsorbable-component (CO₂ in inert N₂) baseline model.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B (primary)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B6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ANALYTICAL MODEL</w:t>
            </w:r>
          </w:p>
        </w:tc>
        <w:tc>
          <w:tcPr>
            <w:tcW w:type="dxa" w:w="786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E4F3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6B3C"/>
                <w:sz w:val="23"/>
                <w:szCs w:val="23"/>
              </w:rPr>
              <w:t xml:space="preserve">Analytical Expressions for the Adsorbate Breakthrough Curve from a Fixed Bed of Adsorbent with First-Order and Second-Order Kinetic Models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Skrip, S., Das, G.K. &amp; Chatterjee, S.G. (2013). Indian Chemical Engineer, 55(2), 87–103.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Derives closed-form breakthrough expressions under first-order and second-order kinetic assumptions — an alternative to the linear (first-order-in-driving-force) LDF assumption.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Provides a fast, non-numerical way to test the sensitivity of predicted breakthrough curves to the assumed kinetic order.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A convenient sensitivity check: if reviewers question the LDF assumption, these closed forms let you show how much the predicted curve shape would change under a different kinetic order, without rebuilding the full numerical model.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B (primary)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B7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ANALYTICAL MODEL</w:t>
            </w:r>
          </w:p>
        </w:tc>
        <w:tc>
          <w:tcPr>
            <w:tcW w:type="dxa" w:w="786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E4F3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6B3C"/>
                <w:sz w:val="23"/>
                <w:szCs w:val="23"/>
              </w:rPr>
              <w:t xml:space="preserve">Modeling Breakthrough Curves in a Fixed Bed of Activated Carbon Fiber — Exact Solution and Parabolic Approximation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Xiu, G. (1996). Chemical Engineering Science, 51(16), 4039–4041.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Derives an exact Laplace-domain solution for breakthrough curves accounting for axial dispersion, external film mass transfer and intraparticle pore diffusion, plus a simpler parabolic-profile (LDF-like) approximation.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Quantifies the discrepancy introduced by the parabolic/lumped simplification relative to the exact solution, as a function of four dimensionless groups.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A second, independent quantitative error bound (beyond Garg &amp; Ruthven 1973) for how far an LDF-style lumped approximation can drift from an exact diffusion solution — useful for stating uncertainty on your kinetic assumption.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B (primary)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1E6B3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B8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ANALYTICAL MODEL</w:t>
            </w:r>
          </w:p>
        </w:tc>
        <w:tc>
          <w:tcPr>
            <w:tcW w:type="dxa" w:w="7860"/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E4F3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6B3C"/>
                <w:sz w:val="23"/>
                <w:szCs w:val="23"/>
              </w:rPr>
              <w:t xml:space="preserve">Mass Transfer from a Fluid Flowing through a Porous Media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Myers, T.G. &amp; Font, F. (2020). International Journal of Heat and Mass Transfer, 163, 120374.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Develops a mass-transfer model for a fluid flowing through a packed column, non-dimensionalises the governing equations to show which terms may be dropped, and obtains an analytical travelling-wave solution for the breakthrough curve.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Explicitly fits an LDF-type model to experimental CO₂ / activated-carbon breakthrough data and reports ‘an excellent fit’, providing direct experimental support for the LDF assumption in a CO₂-relevant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Also validates the reduced model against contaminant removal data (amoxicillin, Congo red dye) beyond gas-phase carbon capture, showing the LDF/travelling-wave approach generalises across systems.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Your strongest piece of experimental evidence that LDF kinetics quantitatively describe real CO₂ breakthrough behaviour, not just a mathematically convenient simplification.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B (primary) · also A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p>
      <w:pPr>
        <w:pBdr>
          <w:left w:val="single" w:color="C9D2DC" w:sz="16" w:space="8"/>
        </w:pBdr>
        <w:spacing w:after="240" w:before="60"/>
        <w:ind w:left="200"/>
      </w:pPr>
      <w:r>
        <w:rPr>
          <w:b/>
          <w:bCs/>
          <w:color w:val="5B6472"/>
          <w:sz w:val="19"/>
          <w:szCs w:val="19"/>
        </w:rPr>
        <w:t xml:space="preserve">↳  </w:t>
      </w:r>
      <w:r>
        <w:rPr>
          <w:i/>
          <w:iCs/>
          <w:color w:val="5B6472"/>
          <w:sz w:val="19"/>
          <w:szCs w:val="19"/>
        </w:rPr>
        <w:t xml:space="preserve">See also A1 (Fabian Ramos et al., 2024): its validated LDF + Arrhenius closure, checked against real breakthrough experiments on zeolite 13X, is additional numerical/CFD-level evidence for the LDF assumption specifically for CO₂/N₂.</w:t>
      </w:r>
    </w:p>
    <w:p>
      <w:pPr>
        <w:pStyle w:val="Heading1"/>
      </w:pPr>
      <w:r>
        <w:t xml:space="preserve">Pillar C — Numerical Integration: Method of Lines + solve_ivp</w:t>
      </w:r>
    </w:p>
    <w:p>
      <w:pPr>
        <w:spacing w:after="160" w:line="288"/>
        <w:jc w:val="left"/>
      </w:pPr>
      <w:r>
        <w:rPr>
          <w:b w:val="false"/>
          <w:bCs w:val="false"/>
          <w:i w:val="false"/>
          <w:iCs w:val="false"/>
          <w:color w:val="23303F"/>
          <w:sz w:val="21"/>
          <w:szCs w:val="21"/>
        </w:rPr>
        <w:t xml:space="preserve">None of the papers in your library discuss scipy by name — that is expected, since they are the physics/mathematics literature, not software documentation. This pillar pairs the mathematical foundations available locally (characteristics, hyperbolic systems) with the practical scipy reference you'll need to implement the solver.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33418E" w:sz="4"/>
              <w:left w:val="single" w:color="33418E" w:sz="4"/>
              <w:bottom w:val="single" w:color="33418E" w:sz="4"/>
              <w:right w:val="single" w:color="33418E" w:sz="4"/>
            </w:tcBorders>
            <w:shd w:fill="33418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C1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TEXTBOOK</w:t>
            </w:r>
          </w:p>
        </w:tc>
        <w:tc>
          <w:tcPr>
            <w:tcW w:type="dxa" w:w="7860"/>
            <w:tcBorders>
              <w:top w:val="single" w:color="33418E" w:sz="4"/>
              <w:left w:val="single" w:color="33418E" w:sz="4"/>
              <w:bottom w:val="single" w:color="33418E" w:sz="4"/>
              <w:right w:val="single" w:color="33418E" w:sz="4"/>
            </w:tcBorders>
            <w:shd w:fill="E9EC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33418E"/>
                <w:sz w:val="23"/>
                <w:szCs w:val="23"/>
              </w:rPr>
              <w:t xml:space="preserve">Finite Volume Methods for Hyperbolic Problems — Ch. 6 (Characteristics) &amp; Ch. 7 (The Riemann Problem for Nonlinear Systems)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LeVeque, R.J. Cambridge University Press.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Rigorous treatment of characteristic variables, simple waves, the wave equation, and linearisation of nonlinear hyperbolic systems (§6.1–6.4).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Covers the Riemann problem, genuine nonlinearity, the Lax entropy condition and linear degeneracy (§7.1–7.6) — the formal explanation for why favourable-isotherm adsorption fronts sharpen into shock-like, self-similar (‘constant-pattern’) profiles, matching the qualitative picture in Ruthven Ch. 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Establishes why naive explicit, low-order spatial discretisations of a convection-dominated PDE smear or oscillate around such fronts — the underlying reason a Method-of-Lines scheme needs either upwind/flux-limited spatial differencing or enough grid resolution before time integration.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Justifies the spatial-discretisation choice you make before applying solve_ivp: because the concentration and temperature fronts are shock-like, the axial (z) discretisation must be upwind-biased or otherwise stabilised, or the resulting ODE system will be poorly conditioned regardless of which time integrator is chosen.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C (primary)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33418E" w:sz="4"/>
              <w:left w:val="single" w:color="33418E" w:sz="4"/>
              <w:bottom w:val="single" w:color="33418E" w:sz="4"/>
              <w:right w:val="single" w:color="33418E" w:sz="4"/>
            </w:tcBorders>
            <w:shd w:fill="33418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TEXTBOOK</w:t>
            </w:r>
          </w:p>
        </w:tc>
        <w:tc>
          <w:tcPr>
            <w:tcW w:type="dxa" w:w="7860"/>
            <w:tcBorders>
              <w:top w:val="single" w:color="33418E" w:sz="4"/>
              <w:left w:val="single" w:color="33418E" w:sz="4"/>
              <w:bottom w:val="single" w:color="33418E" w:sz="4"/>
              <w:right w:val="single" w:color="33418E" w:sz="4"/>
            </w:tcBorders>
            <w:shd w:fill="E9EC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33418E"/>
                <w:sz w:val="23"/>
                <w:szCs w:val="23"/>
              </w:rPr>
              <w:t xml:space="preserve">Partial Differential Equations — Ch. 3 (Nonlinear First-Order PDE: Characteristics)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Evans, L.C. American Mathematical Society, Graduate Studies in Mathematics.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Formal method-of-characteristics theory for first-order (hyperbolic) PDEs, including existence/uniqueness conditions and the treatment of characteristic curves that cross (shock formation).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Mathematically underwrites the ‘kinematic wave’ description of the concentration front that Ruthven derives heuristically (Ch. 8, Eq. 8.10–8.11): both describe the same characteristic-line propagation, one rigorously and one physically.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A rigor check rather than a numerical recipe: use it to confirm the hyperbolic (convective) part of your governing PDE system is well-posed before you discretise and hand it to a stiff ODE solver.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C (primary)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0E6E77" w:sz="4"/>
              <w:left w:val="single" w:color="0E6E77" w:sz="4"/>
              <w:bottom w:val="single" w:color="0E6E77" w:sz="4"/>
              <w:right w:val="single" w:color="0E6E77" w:sz="4"/>
            </w:tcBorders>
            <w:shd w:fill="0E6E7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pacing w:val="8"/>
                <w:sz w:val="14"/>
                <w:szCs w:val="14"/>
              </w:rPr>
              <w:t xml:space="preserve">TECHNICAL REF.</w:t>
            </w:r>
          </w:p>
        </w:tc>
        <w:tc>
          <w:tcPr>
            <w:tcW w:type="dxa" w:w="7860"/>
            <w:tcBorders>
              <w:top w:val="single" w:color="0E6E77" w:sz="4"/>
              <w:left w:val="single" w:color="0E6E77" w:sz="4"/>
              <w:bottom w:val="single" w:color="0E6E77" w:sz="4"/>
              <w:right w:val="single" w:color="0E6E77" w:sz="4"/>
            </w:tcBorders>
            <w:shd w:fill="DFF3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0E6E77"/>
                <w:sz w:val="23"/>
                <w:szCs w:val="23"/>
              </w:rPr>
              <w:t xml:space="preserve">scipy.integrate.solve_ivp — SciPy Manual</w:t>
            </w:r>
          </w:p>
          <w:p>
            <w:pPr>
              <w:spacing w:after="12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SciPy Developers. docs.scipy.org (v1.18, accessed July 2026).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Explicit vs implicit choice: RK23/RK45/DOP853 are for non-stiff problems; Radau and BDF are implicit methods for stiff problems; LSODA auto-switches between an Adams (non-stiff) and a BDF (stiff) method and can ‘also be a good universal choice’ when stiffness is uncertain.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BDF is an implicit, variable-order (1–5) multistep method using a backward-differentiation formula with a quasi-constant step scheme (NDF-enhanced accuracy).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The Jacobian (required by Radau, BDF and LSODA) is approximated by finite differences if not supplied — but the documentation explicitly recommends supplying it for performance; for LSODA a banded Jacobian can be passed via lband/uband.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color w:val="23303F"/>
                <w:sz w:val="19"/>
                <w:szCs w:val="19"/>
              </w:rPr>
              <w:t xml:space="preserve">rtol/atol default to 1e-3 / 1e-6; for a stiff, physically stiff system such as a fixed-bed breakthrough model with fast LDF kinetics and sharp fronts, tighter tolerances are typically needed for a converged front shape.</w:t>
            </w:r>
          </w:p>
          <w:p>
            <w:pPr>
              <w:spacing w:after="0" w:before="12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Relevance to this model: </w:t>
            </w:r>
            <w:r>
              <w:rPr>
                <w:color w:val="23303F"/>
                <w:sz w:val="19"/>
                <w:szCs w:val="19"/>
              </w:rPr>
              <w:t xml:space="preserve">The direct implementation reference for the time-integration half of your Method-of-Lines solver: after discretising ∂c/∂z, ∂²c/∂z², ∂T/∂z etc. into a right-hand-side function f(t,y), this documents exactly how to call solve_ivp(f, t_span, y0, method='BDF'|'LSODA', jac=..., rtol=..., atol=...).</w:t>
            </w:r>
          </w:p>
        </w:tc>
      </w:tr>
    </w:tbl>
    <w:p>
      <w:pPr>
        <w:tabs>
          <w:tab w:val="right" w:pos="9026"/>
        </w:tabs>
        <w:spacing w:after="60" w:before="100"/>
      </w:pPr>
      <w:r>
        <w:rPr>
          <w:b/>
          <w:bCs/>
          <w:color w:val="5B6472"/>
          <w:sz w:val="17"/>
          <w:szCs w:val="17"/>
        </w:rPr>
        <w:t xml:space="preserve">Theme: </w:t>
      </w:r>
      <w:r>
        <w:rPr>
          <w:color w:val="5B6472"/>
          <w:sz w:val="17"/>
          <w:szCs w:val="17"/>
        </w:rPr>
        <w:t xml:space="preserve">C (primary)</w:t>
      </w:r>
      <w:r>
        <w:rPr>
          <w:color w:val="5B6472"/>
          <w:sz w:val="17"/>
          <w:szCs w:val="17"/>
        </w:rPr>
        <w:t xml:space="preserve">	Status:  ☐ Read   ☐ Equations extracted   ☐ Cited in draft</w:t>
      </w:r>
    </w:p>
    <w:p>
      <w:pPr>
        <w:spacing w:after="60" w:before="60"/>
      </w:pPr>
      <w:r>
        <w:rPr>
          <w:b/>
          <w:bCs/>
          <w:i/>
          <w:iCs/>
          <w:color w:val="5B6472"/>
          <w:sz w:val="17"/>
          <w:szCs w:val="17"/>
        </w:rPr>
        <w:t xml:space="preserve">Your notes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80"/>
      </w:pPr>
      <w:r>
        <w:rPr>
          <w:sz w:val="2"/>
          <w:szCs w:val="2"/>
        </w:rPr>
        <w:t xml:space="preserve"/>
      </w:r>
    </w:p>
    <w:p>
      <w:pPr>
        <w:pBdr>
          <w:left w:val="single" w:color="C9D2DC" w:sz="16" w:space="8"/>
        </w:pBdr>
        <w:spacing w:after="240" w:before="60"/>
        <w:ind w:left="200"/>
      </w:pPr>
      <w:r>
        <w:rPr>
          <w:b/>
          <w:bCs/>
          <w:color w:val="5B6472"/>
          <w:sz w:val="19"/>
          <w:szCs w:val="19"/>
        </w:rPr>
        <w:t xml:space="preserve">↳  </w:t>
      </w:r>
      <w:r>
        <w:rPr>
          <w:i/>
          <w:iCs/>
          <w:color w:val="5B6472"/>
          <w:sz w:val="19"/>
          <w:szCs w:val="19"/>
        </w:rPr>
        <w:t xml:space="preserve">See also A3 (Danilov et al., 2019): explicitly closes its coupled non-isothermal PDE system by numerical integration after an analytical simplification — a worked example of the semi-analytical + numerical hybrid you may end up using.</w:t>
      </w:r>
    </w:p>
    <w:p>
      <w:pPr>
        <w:pBdr>
          <w:left w:val="single" w:color="C9D2DC" w:sz="16" w:space="8"/>
        </w:pBdr>
        <w:spacing w:after="240" w:before="60"/>
        <w:ind w:left="200"/>
      </w:pPr>
      <w:r>
        <w:rPr>
          <w:b/>
          <w:bCs/>
          <w:color w:val="5B6472"/>
          <w:sz w:val="19"/>
          <w:szCs w:val="19"/>
        </w:rPr>
        <w:t xml:space="preserve">↳  </w:t>
      </w:r>
      <w:r>
        <w:rPr>
          <w:i/>
          <w:iCs/>
          <w:color w:val="5B6472"/>
          <w:sz w:val="19"/>
          <w:szCs w:val="19"/>
        </w:rPr>
        <w:t xml:space="preserve">See also A1 (Fabian Ramos et al., 2024): solves the same class of physics with a full CFD (finite-volume, implicit pressure-based) solver rather than a 1-D Method-of-Lines/solve_ivp approach — useful as a higher-fidelity point of comparison once your 1-D model is validated.</w:t>
      </w:r>
    </w:p>
    <w:p>
      <w:r>
        <w:br w:type="page"/>
      </w:r>
    </w:p>
    <w:p>
      <w:pPr>
        <w:pStyle w:val="Heading2"/>
      </w:pPr>
      <w:r>
        <w:t xml:space="preserve">Why the fixed-bed problem is numerically stiff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color w:val="23303F"/>
          <w:sz w:val="20"/>
          <w:szCs w:val="20"/>
        </w:rPr>
        <w:t xml:space="preserve">Fast local kinetics vs. slow bulk transport: the LDF rate constant k (or k_LDF = 15D_eff/r_p²) is typically orders of magnitude faster than the convective residence time L/u, producing a large spread of eigenvalues in the discretised system — the textbook definition of stiffness.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color w:val="23303F"/>
          <w:sz w:val="20"/>
          <w:szCs w:val="20"/>
        </w:rPr>
        <w:t xml:space="preserve">Sharp, self-sharpening fronts: as Pillar B and C1 show, a favourable isotherm drives the concentration (and coupled temperature) profile toward a constant-pattern, shock-like front; resolving it needs many spatial nodes, which multiplies the number of coupled ODEs and tightens the stability constraint on any explicit integrator.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color w:val="23303F"/>
          <w:sz w:val="20"/>
          <w:szCs w:val="20"/>
        </w:rPr>
        <w:t xml:space="preserve">Nonlinear, temperature-coupled isotherm: Arrhenius-type T-dependence in b_i, d_i (Pillar A) couples the mass and energy balances nonlinearly, further widening the eigenvalue spread near the thermal front.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 w:val="false"/>
          <w:bCs w:val="false"/>
          <w:color w:val="23303F"/>
          <w:sz w:val="20"/>
          <w:szCs w:val="20"/>
        </w:rPr>
        <w:t xml:space="preserve">Practical consequence: explicit methods (RK45) will need impractically small time-steps or fail outright (step-size underflow); BDF or LSODA with an appropriately sparse/banded Jacobian is the standard, defensible choice — consistent with how Danilov et al. (2019) and Fabian Ramos et al. (2024) both resort to numerical (not purely analytical) integration once temperature coupling is introduced.</w:t>
      </w:r>
    </w:p>
    <w:p>
      <w:pP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Consolidated Governing-Equation Reference Sheet</w:t>
      </w:r>
    </w:p>
    <w:p>
      <w:pPr>
        <w:spacing w:after="160" w:line="288"/>
        <w:jc w:val="left"/>
      </w:pPr>
      <w:r>
        <w:rPr>
          <w:b w:val="false"/>
          <w:bCs w:val="false"/>
          <w:i w:val="false"/>
          <w:iCs w:val="false"/>
          <w:color w:val="23303F"/>
          <w:sz w:val="21"/>
          <w:szCs w:val="21"/>
        </w:rPr>
        <w:t xml:space="preserve">A synthesis of the equations extracted across Pillars A–C, in one consistent notation, for direct use when you draft your own model. Symbols: cᵢ gas-phase concentration, qᵢ solid-phase loading, qᵢ* equilibrium loading, T gas/solid temperature (pseudo-homogeneous), z axial coordinate, ε bed voidage, u interstitial velocity, D_L axial dispersion coefficient, ρ_p particle density.</w:t>
      </w:r>
    </w:p>
    <w:p>
      <w:pPr>
        <w:pStyle w:val="Heading3"/>
      </w:pPr>
      <w:r>
        <w:t xml:space="preserve">1. Fluid-phase mass balance (per adsorbable species 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400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16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Mass balance</w:t>
            </w:r>
          </w:p>
        </w:tc>
        <w:tc>
          <w:tcPr>
            <w:tcW w:type="dxa" w:w="4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73A63"/>
                <w:sz w:val="19"/>
                <w:szCs w:val="19"/>
              </w:rPr>
              <w:t xml:space="preserve">ε∂cᵢ/∂t + u∂cᵢ/∂z = εD_L∂²cᵢ/∂z² − (1−ε)ρ_p∂qᵢ/∂t</w:t>
            </w:r>
          </w:p>
        </w:tc>
        <w:tc>
          <w:tcPr>
            <w:tcW w:type="dxa" w:w="31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5B6472"/>
                <w:sz w:val="19"/>
                <w:szCs w:val="19"/>
              </w:rPr>
              <w:t xml:space="preserve">Ruthven Eq. 8.1; Fabian Ramos Eq. 4</w:t>
            </w:r>
          </w:p>
        </w:tc>
      </w:tr>
    </w:tbl>
    <w:p>
      <w:pPr>
        <w:spacing w:after="24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2. LDF kinetics (Pillar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400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16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Rate law</w:t>
            </w:r>
          </w:p>
        </w:tc>
        <w:tc>
          <w:tcPr>
            <w:tcW w:type="dxa" w:w="4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73A63"/>
                <w:sz w:val="19"/>
                <w:szCs w:val="19"/>
              </w:rPr>
              <w:t xml:space="preserve">dqᵢ/dt = k_i(qᵢ* − qᵢ)</w:t>
            </w:r>
          </w:p>
        </w:tc>
        <w:tc>
          <w:tcPr>
            <w:tcW w:type="dxa" w:w="31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5B6472"/>
                <w:sz w:val="19"/>
                <w:szCs w:val="19"/>
              </w:rPr>
              <w:t xml:space="preserve">Glueckauf (1955); Ruthven §8.5</w:t>
            </w:r>
          </w:p>
        </w:tc>
      </w:tr>
      <w:tr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Rate constant</w:t>
            </w:r>
          </w:p>
        </w:tc>
        <w:tc>
          <w:tcPr>
            <w:tcW w:type="dxa" w:w="4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73A63"/>
                <w:sz w:val="19"/>
                <w:szCs w:val="19"/>
              </w:rPr>
              <w:t xml:space="preserve">k_i = 15D_eff,i / r_p²</w:t>
            </w:r>
          </w:p>
        </w:tc>
        <w:tc>
          <w:tcPr>
            <w:tcW w:type="dxa" w:w="31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5B6472"/>
                <w:sz w:val="19"/>
                <w:szCs w:val="19"/>
              </w:rPr>
              <w:t xml:space="preserve">Fabian Ramos Eq. 12–13</w:t>
            </w:r>
          </w:p>
        </w:tc>
      </w:tr>
    </w:tbl>
    <w:p>
      <w:pPr>
        <w:spacing w:after="24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3. Equilibrium isotherm — Dual-Site Langmuir (Pillar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400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16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Loading</w:t>
            </w:r>
          </w:p>
        </w:tc>
        <w:tc>
          <w:tcPr>
            <w:tcW w:type="dxa" w:w="4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73A63"/>
                <w:sz w:val="19"/>
                <w:szCs w:val="19"/>
              </w:rPr>
              <w:t xml:space="preserve">qᵢ* = q_1,i b_i c_i /(1+Σb_j c_j) + q_2,i d_i c_i /(1+Σd_j c_j)</w:t>
            </w:r>
          </w:p>
        </w:tc>
        <w:tc>
          <w:tcPr>
            <w:tcW w:type="dxa" w:w="31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5B6472"/>
                <w:sz w:val="19"/>
                <w:szCs w:val="19"/>
              </w:rPr>
              <w:t xml:space="preserve">Fabian Ramos Eq. 14</w:t>
            </w:r>
          </w:p>
        </w:tc>
      </w:tr>
      <w:tr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T-dependence</w:t>
            </w:r>
          </w:p>
        </w:tc>
        <w:tc>
          <w:tcPr>
            <w:tcW w:type="dxa" w:w="4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73A63"/>
                <w:sz w:val="19"/>
                <w:szCs w:val="19"/>
              </w:rPr>
              <w:t xml:space="preserve">b_i = b_{0,i}·exp(−ΔU_{b,i}/RT);  d_i = d_{0,i}·exp(−ΔU_{d,i}/RT)</w:t>
            </w:r>
          </w:p>
        </w:tc>
        <w:tc>
          <w:tcPr>
            <w:tcW w:type="dxa" w:w="31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5B6472"/>
                <w:sz w:val="19"/>
                <w:szCs w:val="19"/>
              </w:rPr>
              <w:t xml:space="preserve">Arrhenius form, Eq. 15–16</w:t>
            </w:r>
          </w:p>
        </w:tc>
      </w:tr>
    </w:tbl>
    <w:p>
      <w:pPr>
        <w:spacing w:after="24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4. Energy balance (non-isothermal, Pillar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400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16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Heat balance</w:t>
            </w:r>
          </w:p>
        </w:tc>
        <w:tc>
          <w:tcPr>
            <w:tcW w:type="dxa" w:w="4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73A63"/>
                <w:sz w:val="19"/>
                <w:szCs w:val="19"/>
              </w:rPr>
              <w:t xml:space="preserve">[ερ_g c_{p,g}+(1−ε)ρ_p c_{p,s}]∂T/∂t + uρ_g c_{p,g}∂T/∂z = λ_eff∂²T/∂z² + (1−ε)ρ_pΣ(−ΔH_i)∂qᵢ/∂t − (4h_w/d_col)(T−T_wall)</w:t>
            </w:r>
          </w:p>
        </w:tc>
        <w:tc>
          <w:tcPr>
            <w:tcW w:type="dxa" w:w="31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5B6472"/>
                <w:sz w:val="19"/>
                <w:szCs w:val="19"/>
              </w:rPr>
              <w:t xml:space="preserve">Ramos Eq. 7; Danilov §3</w:t>
            </w:r>
          </w:p>
        </w:tc>
      </w:tr>
      <w:tr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Isosteric heat</w:t>
            </w:r>
          </w:p>
        </w:tc>
        <w:tc>
          <w:tcPr>
            <w:tcW w:type="dxa" w:w="4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73A63"/>
                <w:sz w:val="19"/>
                <w:szCs w:val="19"/>
              </w:rPr>
              <w:t xml:space="preserve">−ΔH_i(T,q) = −ΔU_i + RT  (+ empirical loading correction)</w:t>
            </w:r>
          </w:p>
        </w:tc>
        <w:tc>
          <w:tcPr>
            <w:tcW w:type="dxa" w:w="31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5B6472"/>
                <w:sz w:val="19"/>
                <w:szCs w:val="19"/>
              </w:rPr>
              <w:t xml:space="preserve">Ramos Eqs. 9–10</w:t>
            </w:r>
          </w:p>
        </w:tc>
      </w:tr>
    </w:tbl>
    <w:p>
      <w:pPr>
        <w:spacing w:after="24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5. Semi-discretised (Method of Lines)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400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16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State vector</w:t>
            </w:r>
          </w:p>
        </w:tc>
        <w:tc>
          <w:tcPr>
            <w:tcW w:type="dxa" w:w="4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73A63"/>
                <w:sz w:val="19"/>
                <w:szCs w:val="19"/>
              </w:rPr>
              <w:t xml:space="preserve">y(t) = [c₁..c_N, q₁..q_N, T₁..T_N]ᵀ</w:t>
            </w:r>
          </w:p>
        </w:tc>
        <w:tc>
          <w:tcPr>
            <w:tcW w:type="dxa" w:w="31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5B6472"/>
                <w:sz w:val="19"/>
                <w:szCs w:val="19"/>
              </w:rPr>
              <w:t xml:space="preserve">N = number of axial nodes</w:t>
            </w:r>
          </w:p>
        </w:tc>
      </w:tr>
      <w:tr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ODE system</w:t>
            </w:r>
          </w:p>
        </w:tc>
        <w:tc>
          <w:tcPr>
            <w:tcW w:type="dxa" w:w="4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73A63"/>
                <w:sz w:val="19"/>
                <w:szCs w:val="19"/>
              </w:rPr>
              <w:t xml:space="preserve">dy/dt = f(t,y)  —  spatial derivatives replaced by finite-difference / finite-volume stencils</w:t>
            </w:r>
          </w:p>
        </w:tc>
        <w:tc>
          <w:tcPr>
            <w:tcW w:type="dxa" w:w="31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5B6472"/>
                <w:sz w:val="19"/>
                <w:szCs w:val="19"/>
              </w:rPr>
              <w:t xml:space="preserve">Upwind or flux-limited for ∂/∂z per LeVeque Ch. 6–7</w:t>
            </w:r>
          </w:p>
        </w:tc>
      </w:tr>
      <w:tr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73A63"/>
                <w:sz w:val="19"/>
                <w:szCs w:val="19"/>
              </w:rPr>
              <w:t xml:space="preserve">solve_ivp(f, t_span, y0, method='BDF' or 'LSODA', jac=J, rtol≤1e-6, atol≤1e-9)</w:t>
            </w:r>
          </w:p>
        </w:tc>
        <w:tc>
          <w:tcPr>
            <w:tcW w:type="dxa" w:w="31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5B6472"/>
                <w:sz w:val="19"/>
                <w:szCs w:val="19"/>
              </w:rPr>
              <w:t xml:space="preserve">scipy docs; provide analytic/sparse Jacobian if possible</w:t>
            </w:r>
          </w:p>
        </w:tc>
      </w:tr>
    </w:tbl>
    <w:p>
      <w:pPr>
        <w:spacing w:after="24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BDF vs LSODA — Practical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1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BDF</w:t>
            </w:r>
          </w:p>
        </w:tc>
        <w:tc>
          <w:tcPr>
            <w:tcW w:type="dxa" w:w="3510"/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LSODA</w:t>
            </w:r>
          </w:p>
        </w:tc>
      </w:tr>
      <w:tr>
        <w:tc>
          <w:tcPr>
            <w:tcW w:type="dxa" w:w="234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3303F"/>
                <w:sz w:val="19"/>
                <w:szCs w:val="19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3303F"/>
                <w:sz w:val="19"/>
                <w:szCs w:val="19"/>
              </w:rPr>
              <w:t xml:space="preserve">Implicit, variable-order (1–5) multistep (backward differentiation)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3303F"/>
                <w:sz w:val="19"/>
                <w:szCs w:val="19"/>
              </w:rPr>
              <w:t xml:space="preserve">Adams (non-stiff) / BDF (stiff) with automatic switching</w:t>
            </w:r>
          </w:p>
        </w:tc>
      </w:tr>
      <w:tr>
        <w:tc>
          <w:tcPr>
            <w:tcW w:type="dxa" w:w="234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3303F"/>
                <w:sz w:val="19"/>
                <w:szCs w:val="19"/>
              </w:rPr>
              <w:t xml:space="preserve">Best when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3303F"/>
                <w:sz w:val="19"/>
                <w:szCs w:val="19"/>
              </w:rPr>
              <w:t xml:space="preserve">Stiffness is known/expected up front (as here) and you can supply a Jacobian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3303F"/>
                <w:sz w:val="19"/>
                <w:szCs w:val="19"/>
              </w:rPr>
              <w:t xml:space="preserve">Stiffness is uncertain or varies over the simulation (e.g. thermal front only stiff transiently)</w:t>
            </w:r>
          </w:p>
        </w:tc>
      </w:tr>
      <w:tr>
        <w:tc>
          <w:tcPr>
            <w:tcW w:type="dxa" w:w="234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3303F"/>
                <w:sz w:val="19"/>
                <w:szCs w:val="19"/>
              </w:rPr>
              <w:t xml:space="preserve">Jacobian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3303F"/>
                <w:sz w:val="19"/>
                <w:szCs w:val="19"/>
              </w:rPr>
              <w:t xml:space="preserve">Strongly recommended; supports sparse/callable Jacobian directly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3303F"/>
                <w:sz w:val="19"/>
                <w:szCs w:val="19"/>
              </w:rPr>
              <w:t xml:space="preserve">Supported via lband/uband (banded) or finite differences; no sparse-matrix Jacobian</w:t>
            </w:r>
          </w:p>
        </w:tc>
      </w:tr>
      <w:tr>
        <w:tc>
          <w:tcPr>
            <w:tcW w:type="dxa" w:w="234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3303F"/>
                <w:sz w:val="19"/>
                <w:szCs w:val="19"/>
              </w:rPr>
              <w:t xml:space="preserve">Practical note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3303F"/>
                <w:sz w:val="19"/>
                <w:szCs w:val="19"/>
              </w:rPr>
              <w:t xml:space="preserve">Preferred first choice once the model is confirmed stiff, per this pillar's analysis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3303F"/>
                <w:sz w:val="19"/>
                <w:szCs w:val="19"/>
              </w:rPr>
              <w:t xml:space="preserve">Convenient universal fallback; wraps legacy Fortran ODEPACK code, slightly less flexible to extend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60" w:line="288"/>
        <w:jc w:val="left"/>
      </w:pPr>
      <w:r>
        <w:rPr>
          <w:b w:val="false"/>
          <w:bCs w:val="false"/>
          <w:i/>
          <w:iCs/>
          <w:color w:val="23303F"/>
          <w:sz w:val="21"/>
          <w:szCs w:val="21"/>
        </w:rPr>
        <w:t xml:space="preserve">Recommendation for this project: start with LSODA for a quick, robust first solution while the model is still being debugged (it will auto-detect stiffness for you); switch to BDF with a supplied banded/sparse Jacobian once the discretisation is fixed and you need reproducible performance for parameter sweeps.</w:t>
      </w:r>
    </w:p>
    <w:p>
      <w:r>
        <w:br w:type="page"/>
      </w:r>
    </w:p>
    <w:p>
      <w:pPr>
        <w:pStyle w:val="Heading1"/>
      </w:pPr>
      <w:r>
        <w:t xml:space="preserve">Suggested Reading Sequence</w:t>
      </w:r>
    </w:p>
    <w:p>
      <w:pPr>
        <w:spacing w:after="160" w:line="288"/>
        <w:jc w:val="left"/>
      </w:pPr>
      <w:r>
        <w:rPr>
          <w:b w:val="false"/>
          <w:bCs w:val="false"/>
          <w:i w:val="false"/>
          <w:iCs w:val="false"/>
          <w:color w:val="23303F"/>
          <w:sz w:val="21"/>
          <w:szCs w:val="21"/>
        </w:rPr>
        <w:t xml:space="preserve">One reasonable path through the pile, front-loading the conceptual foundations before the validation/edge-case papers.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7660"/>
      </w:tblGrid>
      <w:tr>
        <w:tc>
          <w:tcPr>
            <w:tcW w:type="dxa" w:w="700"/>
            <w:shd w:fill="0F17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00"/>
            <w:shd w:fill="0F17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Card</w:t>
            </w:r>
          </w:p>
        </w:tc>
        <w:tc>
          <w:tcPr>
            <w:tcW w:type="dxa" w:w="7660"/>
            <w:shd w:fill="0F17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B5FA5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B1</w:t>
            </w:r>
          </w:p>
        </w:tc>
        <w:tc>
          <w:tcPr>
            <w:tcW w:type="dxa" w:w="76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3303F"/>
                <w:sz w:val="18"/>
                <w:szCs w:val="18"/>
              </w:rPr>
              <w:t xml:space="preserve">Ruthven Ch. 8 — governing equations, LDF derivation, front classification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B5FA5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B2</w:t>
            </w:r>
          </w:p>
        </w:tc>
        <w:tc>
          <w:tcPr>
            <w:tcW w:type="dxa" w:w="76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3303F"/>
                <w:sz w:val="18"/>
                <w:szCs w:val="18"/>
              </w:rPr>
              <w:t xml:space="preserve">Xu, Cai &amp; Pan (2013) — where LDF sits among all breakthrough models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B5FA5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A2</w:t>
            </w:r>
          </w:p>
        </w:tc>
        <w:tc>
          <w:tcPr>
            <w:tcW w:type="dxa" w:w="76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3303F"/>
                <w:sz w:val="18"/>
                <w:szCs w:val="18"/>
              </w:rPr>
              <w:t xml:space="preserve">Al-Ghouti &amp; Da'ana (2020) — isotherm selection &amp; temperature dependence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B5FA5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B3 / B7</w:t>
            </w:r>
          </w:p>
        </w:tc>
        <w:tc>
          <w:tcPr>
            <w:tcW w:type="dxa" w:w="76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3303F"/>
                <w:sz w:val="18"/>
                <w:szCs w:val="18"/>
              </w:rPr>
              <w:t xml:space="preserve">Garg &amp; Ruthven (1973) and Xiu (1996) — LDF vs exact diffusion benchmarks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B5FA5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B8</w:t>
            </w:r>
          </w:p>
        </w:tc>
        <w:tc>
          <w:tcPr>
            <w:tcW w:type="dxa" w:w="76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3303F"/>
                <w:sz w:val="18"/>
                <w:szCs w:val="18"/>
              </w:rPr>
              <w:t xml:space="preserve">Myers &amp; Font (2020) — experimental LDF validation on CO₂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B5FA5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A3</w:t>
            </w:r>
          </w:p>
        </w:tc>
        <w:tc>
          <w:tcPr>
            <w:tcW w:type="dxa" w:w="76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3303F"/>
                <w:sz w:val="18"/>
                <w:szCs w:val="18"/>
              </w:rPr>
              <w:t xml:space="preserve">Danilov et al. (2019) — closest non-isothermal analytical/numerical analogue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B5FA5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A1</w:t>
            </w:r>
          </w:p>
        </w:tc>
        <w:tc>
          <w:tcPr>
            <w:tcW w:type="dxa" w:w="76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3303F"/>
                <w:sz w:val="18"/>
                <w:szCs w:val="18"/>
              </w:rPr>
              <w:t xml:space="preserve">Fabian Ramos et al. (2024) — full validated CO₂/N₂ mechanism (DSL + Arrhenius + LDF + energy balance)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B5FA5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B4 / B5 / B6</w:t>
            </w:r>
          </w:p>
        </w:tc>
        <w:tc>
          <w:tcPr>
            <w:tcW w:type="dxa" w:w="76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3303F"/>
                <w:sz w:val="18"/>
                <w:szCs w:val="18"/>
              </w:rPr>
              <w:t xml:space="preserve">Gorius (1991), Kumar (1986), Skrip et al. (2013) — supplementary checks, read as needed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B5FA5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C1 / C2</w:t>
            </w:r>
          </w:p>
        </w:tc>
        <w:tc>
          <w:tcPr>
            <w:tcW w:type="dxa" w:w="76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3303F"/>
                <w:sz w:val="18"/>
                <w:szCs w:val="18"/>
              </w:rPr>
              <w:t xml:space="preserve">LeVeque Ch. 6–7 and Evans Ch. 3 — mathematical grounding for the PDE character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B5FA5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C3</w:t>
            </w:r>
          </w:p>
        </w:tc>
        <w:tc>
          <w:tcPr>
            <w:tcW w:type="dxa" w:w="76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3303F"/>
                <w:sz w:val="18"/>
                <w:szCs w:val="18"/>
              </w:rPr>
              <w:t xml:space="preserve">scipy solve_ivp documentation — implement the Method-of-Lines solver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Master Source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260"/>
        <w:gridCol w:w="800"/>
      </w:tblGrid>
      <w:tr>
        <w:tc>
          <w:tcPr>
            <w:tcW w:type="dxa" w:w="700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1600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260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Citation</w:t>
            </w:r>
          </w:p>
        </w:tc>
        <w:tc>
          <w:tcPr>
            <w:tcW w:type="dxa" w:w="800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Pillars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B45A15"/>
                <w:sz w:val="17"/>
                <w:szCs w:val="17"/>
              </w:rPr>
              <w:t xml:space="preserve">A1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BEA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B45A15"/>
                <w:sz w:val="16"/>
                <w:szCs w:val="16"/>
              </w:rPr>
              <w:t xml:space="preserve">Numerical / CFD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Fabian Ramos et al. (2024), Chem. Eng. Sci. 285, 119606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A, B, C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7E2E8E"/>
                <w:sz w:val="17"/>
                <w:szCs w:val="17"/>
              </w:rPr>
              <w:t xml:space="preserve">A2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3E6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7E2E8E"/>
                <w:sz w:val="16"/>
                <w:szCs w:val="16"/>
              </w:rPr>
              <w:t xml:space="preserve">Review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Al-Ghouti &amp; Da'ana (2020), J. Hazard. Mater. 393, 122383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7"/>
                <w:szCs w:val="17"/>
              </w:rPr>
              <w:t xml:space="preserve">A3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4F3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6"/>
                <w:szCs w:val="16"/>
              </w:rPr>
              <w:t xml:space="preserve">Analytical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Danilov et al. (2019), Comput. Chem. Eng. 122, 41–52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A, C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33418E"/>
                <w:sz w:val="17"/>
                <w:szCs w:val="17"/>
              </w:rPr>
              <w:t xml:space="preserve">B1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9EC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33418E"/>
                <w:sz w:val="16"/>
                <w:szCs w:val="16"/>
              </w:rPr>
              <w:t xml:space="preserve">Textbook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Ruthven (1984), Principles of Adsorption — Ch. 6, 8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A, B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7E2E8E"/>
                <w:sz w:val="17"/>
                <w:szCs w:val="17"/>
              </w:rPr>
              <w:t xml:space="preserve">B2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3E6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7E2E8E"/>
                <w:sz w:val="16"/>
                <w:szCs w:val="16"/>
              </w:rPr>
              <w:t xml:space="preserve">Review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Xu, Cai &amp; Pan (2013), J. Zhejiang Univ.-Sci. A 14(3), 155–176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7"/>
                <w:szCs w:val="17"/>
              </w:rPr>
              <w:t xml:space="preserve">B3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4F3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6"/>
                <w:szCs w:val="16"/>
              </w:rPr>
              <w:t xml:space="preserve">Analytical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Garg &amp; Ruthven (1973), Chem. Eng. Sci. 28(3), 791–798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7"/>
                <w:szCs w:val="17"/>
              </w:rPr>
              <w:t xml:space="preserve">B4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4F3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6"/>
                <w:szCs w:val="16"/>
              </w:rPr>
              <w:t xml:space="preserve">Analytical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Gorius, Bailly &amp; Tondeur (1991), Chem. Eng. Sci. 46(2), 677–684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7"/>
                <w:szCs w:val="17"/>
              </w:rPr>
              <w:t xml:space="preserve">B5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4F3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6"/>
                <w:szCs w:val="16"/>
              </w:rPr>
              <w:t xml:space="preserve">Analytical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Kumar (1986), Sep. Sci. Technol. 21(10), 1039–1046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7"/>
                <w:szCs w:val="17"/>
              </w:rPr>
              <w:t xml:space="preserve">B6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4F3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6"/>
                <w:szCs w:val="16"/>
              </w:rPr>
              <w:t xml:space="preserve">Analytical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Skrip, Das &amp; Chatterjee (2013), Indian Chem. Engr. 55(2), 87–103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7"/>
                <w:szCs w:val="17"/>
              </w:rPr>
              <w:t xml:space="preserve">B7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4F3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6"/>
                <w:szCs w:val="16"/>
              </w:rPr>
              <w:t xml:space="preserve">Analytical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Xiu (1996), Chem. Eng. Sci. 51(16), 4039–4041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7"/>
                <w:szCs w:val="17"/>
              </w:rPr>
              <w:t xml:space="preserve">B8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4F3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6B3C"/>
                <w:sz w:val="16"/>
                <w:szCs w:val="16"/>
              </w:rPr>
              <w:t xml:space="preserve">Analytical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Myers &amp; Font (2020), Int. J. Heat Mass Transf. 163, 120374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A, B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33418E"/>
                <w:sz w:val="17"/>
                <w:szCs w:val="17"/>
              </w:rPr>
              <w:t xml:space="preserve">C1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9EC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33418E"/>
                <w:sz w:val="16"/>
                <w:szCs w:val="16"/>
              </w:rPr>
              <w:t xml:space="preserve">Textbook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LeVeque, Finite Volume Methods for Hyperbolic Problems — Ch. 6, 7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C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33418E"/>
                <w:sz w:val="17"/>
                <w:szCs w:val="17"/>
              </w:rPr>
              <w:t xml:space="preserve">C2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9EC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33418E"/>
                <w:sz w:val="16"/>
                <w:szCs w:val="16"/>
              </w:rPr>
              <w:t xml:space="preserve">Textbook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Evans, Partial Differential Equations — Ch. 3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C</w:t>
            </w:r>
          </w:p>
        </w:tc>
      </w:tr>
      <w:t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E6E77"/>
                <w:sz w:val="17"/>
                <w:szCs w:val="17"/>
              </w:rPr>
              <w:t xml:space="preserve">C3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DF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E6E77"/>
                <w:sz w:val="16"/>
                <w:szCs w:val="16"/>
              </w:rPr>
              <w:t xml:space="preserve">Technical Ref.</w:t>
            </w:r>
          </w:p>
        </w:tc>
        <w:tc>
          <w:tcPr>
            <w:tcW w:type="dxa" w:w="626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303F"/>
                <w:sz w:val="16"/>
                <w:szCs w:val="16"/>
              </w:rPr>
              <w:t xml:space="preserve">SciPy Developers, scipy.integrate.solve_ivp Manual (v1.18)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5B6472"/>
                <w:sz w:val="16"/>
                <w:szCs w:val="16"/>
              </w:rPr>
              <w:t xml:space="preserve">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Full Bibliography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Al-Ghouti, M.A. &amp; Da'ana, D.A. (2020). Guidelines for the use and interpretation of adsorption isotherm models: A review. Journal of Hazardous Materials, 393, 122383.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Danilov, V.A., De Schepper, P., Cousin-Saint-Remi, J. &amp; Denayer, J.F.M. (2019). Concentration and temperature profiles in a fixed bed column based on an analytical solution of the axial dispersion model for binary and multicomponent non-isothermal adsorption processes. Computers &amp; Chemical Engineering, 122, 41–52.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Evans, L.C. Partial Differential Equations (2nd ed.), Chapter 3: Nonlinear First-Order PDE. American Mathematical Society, Graduate Studies in Mathematics.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Fabian Ramos, H.S., Baliga, C., Rajendran, A. &amp; Nikrityuk, P.A. (2024). CFD-based model of adsorption columns: Validation. Chemical Engineering Science, 285, 119606.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Garg, D.R. &amp; Ruthven, D.M. (1973). Theoretical prediction of breakthrough curves for molecular sieve adsorption columns — I. Asymptotic solutions. Chemical Engineering Science, 28(3), 791–798.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Gorius, A., Bailly, M. &amp; Tondeur, D. (1991). Perturbative solutions for non-linear fixed-bed adsorption — I. Approximate analytical solutions for asymptotic fronts. Chemical Engineering Science, 46(2), 677–684.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Kumar, R. (1986). Column dynamics for multicomponent adsorption — constant pattern formation. Separation Science and Technology, 21(10), 1039–1046.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LeVeque, R.J. Finite Volume Methods for Hyperbolic Problems, Chapters 6–7. Cambridge University Press.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Myers, T.G. &amp; Font, F. (2020). Mass transfer from a fluid flowing through a porous media. International Journal of Heat and Mass Transfer, 163, 120374.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Ruthven, D.M. (1984). Principles of Adsorption and Adsorption Processes, Chapters 6 &amp; 8. John Wiley &amp; Sons, New York.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Skrip, S., Das, G.K. &amp; Chatterjee, S.G. (2013). Analytical expressions for the adsorbate breakthrough curve from a fixed bed of adsorbent with first-order and second-order kinetic models. Indian Chemical Engineer, 55(2), 87–103.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Xiu, G. (1996). Modeling breakthrough curves in a fixed bed of activated carbon fiber — exact solution and parabolic approximation. Chemical Engineering Science, 51(16), 4039–4041.</w:t>
      </w:r>
    </w:p>
    <w:p>
      <w:pPr>
        <w:pStyle w:val="ListParagraph"/>
        <w:numPr>
          <w:ilvl w:val="0"/>
          <w:numId w:val="3"/>
        </w:numPr>
        <w:spacing w:after="140" w:line="270"/>
      </w:pPr>
      <w:r>
        <w:rPr>
          <w:color w:val="23303F"/>
          <w:sz w:val="19"/>
          <w:szCs w:val="19"/>
        </w:rPr>
        <w:t xml:space="preserve">Xu, Z., Cai, J. &amp; Pan, B. (2013). Review: Mathematically modeling fixed-bed adsorption in aqueous systems. Journal of Zhejiang University-SCIENCE A, 14(3), 155–176.</w:t>
      </w:r>
    </w:p>
    <w:p>
      <w:pPr>
        <w:spacing w:after="0" w:before="220"/>
      </w:pPr>
      <w:r>
        <w:rPr>
          <w:b/>
          <w:bCs/>
          <w:color w:val="0F172A"/>
          <w:sz w:val="19"/>
          <w:szCs w:val="19"/>
        </w:rPr>
        <w:t xml:space="preserve">Technical reference (not a research paper): </w:t>
      </w:r>
      <w:hyperlink w:history="1" r:id="rIdnmut-o_hpdwgowk3y4t_a">
        <w:r>
          <w:rPr>
            <w:rStyle w:val="Hyperlink"/>
            <w:sz w:val="19"/>
            <w:szCs w:val="19"/>
          </w:rPr>
          <w:t xml:space="preserve">scipy.integrate.solve_ivp — SciPy v1.18 Manual</w:t>
        </w:r>
      </w:hyperlink>
    </w:p>
    <w:p>
      <w:r>
        <w:br w:type="page"/>
      </w:r>
    </w:p>
    <w:p>
      <w:pPr>
        <w:pStyle w:val="Heading1"/>
      </w:pPr>
      <w:r>
        <w:t xml:space="preserve">Open Notes</w:t>
      </w:r>
    </w:p>
    <w:p>
      <w:pPr>
        <w:spacing w:after="160" w:line="288"/>
        <w:jc w:val="left"/>
      </w:pPr>
      <w:r>
        <w:rPr>
          <w:b w:val="false"/>
          <w:bCs w:val="false"/>
          <w:i w:val="false"/>
          <w:iCs w:val="false"/>
          <w:color w:val="23303F"/>
          <w:sz w:val="21"/>
          <w:szCs w:val="21"/>
        </w:rPr>
        <w:t xml:space="preserve">General working space — for cross-cutting observations that do not belong to a single source card (e.g. discrepancies between papers, parameters you still need to source, or ideas for your own model's novel contribution).</w:t>
      </w:r>
    </w:p>
    <w:p>
      <w:pPr>
        <w:pStyle w:val="Heading3"/>
      </w:pPr>
      <w:r>
        <w:t xml:space="preserve">Session 1  —  Date: ______________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Session 2  —  Date: ______________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Session 3  —  Date: ______________</w:t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pBdr>
          <w:bottom w:val="single" w:color="AEB8C2" w:sz="4" w:space="4"/>
        </w:pBdr>
        <w:spacing w:after="26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sz w:val="2"/>
          <w:szCs w:val="2"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5"/>
        <w:szCs w:val="15"/>
      </w:rPr>
      <w:t xml:space="preserve">Page </w:t>
    </w:r>
    <w:r>
      <w:rPr>
        <w:color w:val="5B64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5"/>
        <w:szCs w:val="15"/>
      </w:rPr>
      <w:t xml:space="preserve"> of </w:t>
    </w:r>
    <w:r>
      <w:rPr>
        <w:color w:val="5B64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tabs>
        <w:tab w:val="right" w:pos="9026"/>
      </w:tabs>
    </w:pPr>
    <w:r>
      <w:rPr>
        <w:color w:val="5B6472"/>
        <w:sz w:val="15"/>
        <w:szCs w:val="15"/>
      </w:rPr>
      <w:t xml:space="preserve">Adsorption Breakthrough Modelling — Research Roadmap</w:t>
    </w:r>
    <w:r>
      <w:rPr>
        <w:color w:val="5B6472"/>
        <w:sz w:val="15"/>
        <w:szCs w:val="15"/>
      </w:rPr>
      <w:t xml:space="preserve">	Loh John Ray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30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A5" w:sz="10" w:space="6"/>
      </w:pBdr>
      <w:spacing w:after="200" w:before="32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73A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B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nmut-o_hpdwgowk3y4t_a" Type="http://schemas.openxmlformats.org/officeDocument/2006/relationships/hyperlink" Target="https://docs.scipy.org/doc/scipy/reference/generated/scipy.integrate.solve_ivp.htm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2026-07-01T08:09:33.188Z</dcterms:created>
  <dcterms:modified xsi:type="dcterms:W3CDTF">2026-07-01T08:09:33.188Z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