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8862B"/>
          <w:sz w:val="30"/>
          <w:szCs w:val="30"/>
        </w:rPr>
        <w:t xml:space="preserve">RESEARCH ROADMAP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Literature Review &amp; Study Companion</w:t>
      </w:r>
    </w:p>
    <w:p>
      <w:pPr>
        <w:spacing w:after="40"/>
        <w:jc w:val="center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Mathematical Modelling of a 1-D Axial, Non-Isothermal</w:t>
      </w:r>
    </w:p>
    <w:p>
      <w:pPr>
        <w:spacing w:after="480"/>
        <w:jc w:val="center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CO₂ Adsorption Breakthrough Process in a Packed-Bed Column</w:t>
      </w:r>
    </w:p>
    <w:p>
      <w:pPr>
        <w:pBdr>
          <w:top w:val="single" w:color="B8862B" w:sz="6" w:space="12"/>
          <w:bottom w:val="single" w:color="B8862B" w:sz="6" w:space="12"/>
        </w:pBdr>
        <w:spacing w:after="400" w:before="200"/>
        <w:jc w:val="center"/>
      </w:pPr>
      <w:r>
        <w:rPr>
          <w:sz w:val="4"/>
          <w:szCs w:val="4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9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Loh John Ray — Year 3, Diploma in Engineering Science (N93), Ngee Ann Polytechnic</w:t>
            </w:r>
          </w:p>
        </w:tc>
      </w:tr>
      <w:tr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Institution supervisors</w:t>
            </w:r>
          </w:p>
        </w:tc>
        <w:tc>
          <w:tcPr>
            <w:tcW w:type="dxa" w:w="69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Prof. Parapsorb Borisut (sorbent chemistry) · Prof. Erik Birgersson (transport modelling)</w:t>
            </w:r>
          </w:p>
        </w:tc>
      </w:tr>
      <w:tr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 Design Project (4 credits), April 2026 semester</w:t>
            </w:r>
          </w:p>
        </w:tc>
      </w:tr>
      <w:tr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Roadmap version</w:t>
            </w:r>
          </w:p>
        </w:tc>
        <w:tc>
          <w:tcPr>
            <w:tcW w:type="dxa" w:w="69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v1.0 — prepared 1 July 2026, aligned to Study Plan v2.0 (rev. 30 Apr 2026)</w:t>
            </w:r>
          </w:p>
        </w:tc>
      </w:tr>
      <w:tr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Key gates</w:t>
            </w:r>
          </w:p>
        </w:tc>
        <w:tc>
          <w:tcPr>
            <w:tcW w:type="dxa" w:w="69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Interim Report — Mon 1 Jun 2026 (Wk 7)  ·  Final Report — Mon 10 Aug 2026 (Wk 17)  ·  Panel — 17–19 Aug 2026 (Wk 18)</w:t>
            </w:r>
          </w:p>
        </w:tc>
      </w:tr>
    </w:tbl>
    <w:p>
      <w:pPr>
        <w:spacing w:before="500"/>
        <w:jc w:val="center"/>
      </w:pPr>
      <w:r>
        <w:rPr>
          <w:rFonts w:ascii="Arial" w:cs="Arial" w:eastAsia="Arial" w:hAnsi="Arial"/>
          <w:i/>
          <w:iCs/>
          <w:color w:val="5A5F66"/>
          <w:sz w:val="20"/>
          <w:szCs w:val="20"/>
        </w:rPr>
        <w:t xml:space="preserve">“You are here: Week 11 — Sensitivity Sweep, Part 2”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5A5F66"/>
          <w:sz w:val="18"/>
          <w:szCs w:val="18"/>
        </w:rPr>
        <w:t xml:space="preserve">(If the list below appears empty, click into it and press Ctrl+A then F9 to refresh — a one-time Word quirk on first open.)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Color Key — Study Types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activity in this roadmap is tagged by the same study-type legend used in the underlying Study Plan, so a glance at any table tells you what kind of effort a week or a task demands.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2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  <w:shd w:fill="1E3A8A" w:val="clear"/>
              </w:rPr>
              <w:t xml:space="preserve"> M </w:t>
            </w:r>
          </w:p>
        </w:tc>
        <w:tc>
          <w:tcPr>
            <w:tcW w:type="dxa" w:w="2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 &amp; Theory</w:t>
            </w:r>
          </w:p>
        </w:tc>
        <w:tc>
          <w:tcPr>
            <w:tcW w:type="dxa" w:w="58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Derivations, worked problems, canonical readings (Evans, LeVeque, Myers &amp; Font).</w:t>
            </w:r>
          </w:p>
        </w:tc>
      </w:tr>
      <w:t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  <w:shd w:fill="0F6B63" w:val="clear"/>
              </w:rPr>
              <w:t xml:space="preserve"> T </w:t>
            </w:r>
          </w:p>
        </w:tc>
        <w:tc>
          <w:tcPr>
            <w:tcW w:type="dxa" w:w="2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/ Coding</w:t>
            </w:r>
          </w:p>
        </w:tc>
        <w:tc>
          <w:tcPr>
            <w:tcW w:type="dxa" w:w="58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Solver implementation, validation gates, simulation sweeps.</w:t>
            </w:r>
          </w:p>
        </w:tc>
      </w:tr>
      <w:t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  <w:shd w:fill="B45309" w:val="clear"/>
              </w:rPr>
              <w:t xml:space="preserve"> W </w:t>
            </w:r>
          </w:p>
        </w:tc>
        <w:tc>
          <w:tcPr>
            <w:tcW w:type="dxa" w:w="2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Writing</w:t>
            </w:r>
          </w:p>
        </w:tc>
        <w:tc>
          <w:tcPr>
            <w:tcW w:type="dxa" w:w="58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drafting, journal entries, figure preparation.</w:t>
            </w:r>
          </w:p>
        </w:tc>
      </w:tr>
      <w:t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  <w:shd w:fill="6D28D9" w:val="clear"/>
              </w:rPr>
              <w:t xml:space="preserve"> L </w:t>
            </w:r>
          </w:p>
        </w:tc>
        <w:tc>
          <w:tcPr>
            <w:tcW w:type="dxa" w:w="2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Literature</w:t>
            </w:r>
          </w:p>
        </w:tc>
        <w:tc>
          <w:tcPr>
            <w:tcW w:type="dxa" w:w="58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Papers and texts to read, annotate, and cite.</w:t>
            </w:r>
          </w:p>
        </w:tc>
      </w:tr>
      <w:t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  <w:shd w:fill="991B1B" w:val="clear"/>
              </w:rPr>
              <w:t xml:space="preserve">D/G</w:t>
            </w:r>
          </w:p>
        </w:tc>
        <w:tc>
          <w:tcPr>
            <w:tcW w:type="dxa" w:w="2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 / Gate</w:t>
            </w:r>
          </w:p>
        </w:tc>
        <w:tc>
          <w:tcPr>
            <w:tcW w:type="dxa" w:w="58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due dates and technical pass/fail checkpoints — non-negotiable.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How to Use This Roadmap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roadmap reorganises the Foolproof Study Plan into a working tool for the literature-review phase and beyond. It is deliberately redundant in two directions: the project-management spine (deadlines, gates, deliverables) keeps the degree assessment foolproof, and the literature + math spine keeps the science honest.</w:t>
      </w:r>
    </w:p>
    <w:p>
      <w:pPr>
        <w:pStyle w:val="Heading2"/>
      </w:pPr>
      <w:r>
        <w:t xml:space="preserve">Three ground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Every Sunday evening, read the relevant week in the 18-Week Timeline before the week begins. Write Monday's journal entry first thing, not last thing.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Bi-weekly journals are effectively free marks — missing one is the single most common way design projects lose a grade band.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The Interim Report (Week 7) is a gate, not a preview: by then you need a derived PDE system, a validated solver, and baseline results matched to the Stampi-Bombelli 2024 benchmark.</w:t>
      </w:r>
    </w:p>
    <w:p>
      <w:pPr>
        <w:pStyle w:val="Heading2"/>
      </w:pPr>
      <w:r>
        <w:t xml:space="preserve">Using the note spaces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Each paper in the Literature Anchor Map has a reading log: fill in the key result/equation, why it matters to your model, and any open question the moment you finish reading — not weeks later from memory.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Tick the checkboxes as you go. A half-read paper with a ticked 'Key equations extracted' box is a flag to revisit before citing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Use the blank Working Notes pages at the back for derivations that don't fit neatly under a single paper (e.g. combining Toth isotherm algebra with the R-H shock condition).</w:t>
      </w:r>
    </w:p>
    <w:p>
      <w:r>
        <w:br w:type="page"/>
      </w:r>
    </w:p>
    <w:p>
      <w:pPr>
        <w:pStyle w:val="Heading1"/>
      </w:pPr>
      <w:r>
        <w:t xml:space="preserve">Project Snapshot</w:t>
      </w:r>
    </w:p>
    <w:p>
      <w:pPr>
        <w:pStyle w:val="Heading2"/>
      </w:pPr>
      <w:r>
        <w:t xml:space="preserve">Problem statement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CO₂ capture by solid sorbents in packed-bed columns depends on how the mass-transfer zone (MTZ) propagates through the bed, when outlet concentration exceeds threshold, and how u, C_in, L, and T_ads jointly determine breakthrough time τ_BT and capacity utilisation η. This project derives the coupled 1-D breakthrough PDE system from first principles, validates a Method-of-Lines solver against traveling-wave theory and the Stampi-Bombelli (2024) benchmark, runs systematic OAT and interaction sweeps, and recasts results in (Pe, NTU) space.</w:t>
      </w:r>
    </w:p>
    <w:p>
      <w:pPr>
        <w:pStyle w:val="Heading2"/>
      </w:pPr>
      <w:r>
        <w:t xml:space="preserve">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60"/>
        <w:gridCol w:w="2900"/>
      </w:tblGrid>
      <w:tr>
        <w:trPr>
          <w:tblHeader/>
        </w:trP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7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2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O1</w:t>
            </w:r>
          </w:p>
        </w:tc>
        <w:tc>
          <w:tcPr>
            <w:tcW w:type="dxa" w:w="57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 the coupled mass-energy PDE system (Toth isotherm + LDF kinetics) from first-principles conservation laws.</w:t>
            </w:r>
          </w:p>
        </w:tc>
        <w:tc>
          <w:tcPr>
            <w:tcW w:type="dxa" w:w="2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derivation in Final Report Ch. 3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O2</w:t>
            </w:r>
          </w:p>
        </w:tc>
        <w:tc>
          <w:tcPr>
            <w:tcW w:type="dxa" w:w="57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and validate the MOL solver against (a) analytical step response, (b) R-H shock velocity, (c) Stampi-Bombelli breakthrough curve.</w:t>
            </w:r>
          </w:p>
        </w:tc>
        <w:tc>
          <w:tcPr>
            <w:tcW w:type="dxa" w:w="2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Gates A/B/C — see Validation Gates section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O3</w:t>
            </w:r>
          </w:p>
        </w:tc>
        <w:tc>
          <w:tcPr>
            <w:tcW w:type="dxa" w:w="57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OAT sweep (u, C_in, L, T_ads × 3 levels) + u×C_in interaction grid.</w:t>
            </w:r>
          </w:p>
        </w:tc>
        <w:tc>
          <w:tcPr>
            <w:tcW w:type="dxa" w:w="2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~39 simulations total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O4</w:t>
            </w:r>
          </w:p>
        </w:tc>
        <w:tc>
          <w:tcPr>
            <w:tcW w:type="dxa" w:w="57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Recast sensitivity results in (Pe, NTU, α) space.</w:t>
            </w:r>
          </w:p>
        </w:tc>
        <w:tc>
          <w:tcPr>
            <w:tcW w:type="dxa" w:w="2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Response surface + Pareto ranking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O5</w:t>
            </w:r>
          </w:p>
        </w:tc>
        <w:tc>
          <w:tcPr>
            <w:tcW w:type="dxa" w:w="57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all assessment deliverables on time.</w:t>
            </w:r>
          </w:p>
        </w:tc>
        <w:tc>
          <w:tcPr>
            <w:tcW w:type="dxa" w:w="2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Deliverables Calendar</w:t>
            </w:r>
          </w:p>
        </w:tc>
      </w:tr>
    </w:tbl>
    <w:p>
      <w:pPr>
        <w:pStyle w:val="Heading2"/>
      </w:pPr>
      <w:r>
        <w:t xml:space="preserve">Scope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 scope: 1-D axial, non-isothermal, adiabatic (Q_wall = 0); single-component CO₂/carrier gas; Toth isotherm with T-dependence; LDF kinetics; Python MOL + stiff integrator; OAT + one 2-parameter interaction.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Out of scope (deferred to FYP): wet-lab experiments, cyclic adsorption/regeneration, 2-D radial gradients, Ergun pressure drop, humidity co-adsorption, Bayesian inverse problems, optimal-transport analysis.</w:t>
      </w:r>
    </w:p>
    <w:p>
      <w:r>
        <w:br w:type="page"/>
      </w:r>
    </w:p>
    <w:p>
      <w:pPr>
        <w:pStyle w:val="Heading1"/>
      </w:pPr>
      <w:r>
        <w:t xml:space="preserve">Master Research Question &amp; Sub-Hypotheses</w:t>
      </w:r>
    </w:p>
    <w:p>
      <w:pPr>
        <w:pBdr>
          <w:left w:val="single" w:color="1B2A4A" w:sz="24" w:space="8"/>
        </w:pBdr>
        <w:shd w:fill="EDF1F7" w:val="clear"/>
        <w:spacing w:after="200"/>
        <w:ind w:left="4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How do superficial gas velocity, inlet CO₂ concentration, bed length, and adsorption temperature individually and jointly shape breakthrough time and stoichiometric utilisation of an amine-functionalised packed bed at DAC-relevant concentrations — and to what extent is this predicted from first principles by the Rankine–Hugoniot shock condition and the dimensionless groups (Pe, NTU, α)?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500"/>
        <w:gridCol w:w="2000"/>
        <w:gridCol w:w="1960"/>
      </w:tblGrid>
      <w:tr>
        <w:trPr>
          <w:tblHeader/>
        </w:trPr>
        <w:tc>
          <w:tcPr>
            <w:tcW w:type="dxa" w:w="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H#</w:t>
            </w:r>
          </w:p>
        </w:tc>
        <w:tc>
          <w:tcPr>
            <w:tcW w:type="dxa" w:w="1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Hypothesis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Anchor source</w:t>
            </w:r>
          </w:p>
        </w:tc>
        <w:tc>
          <w:tcPr>
            <w:tcW w:type="dxa" w:w="19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 threshold</w:t>
            </w:r>
          </w:p>
        </w:tc>
      </w:tr>
      <w:tr>
        <w:tc>
          <w:tcPr>
            <w:tcW w:type="dxa" w:w="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</w:t>
            </w:r>
          </w:p>
        </w:tc>
        <w:tc>
          <w:tcPr>
            <w:tcW w:type="dxa" w:w="1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 velocity / Pe</w:t>
            </w:r>
          </w:p>
        </w:tc>
        <w:tc>
          <w:tcPr>
            <w:tcW w:type="dxa" w:w="3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u → shorter τ_BT; utilisation η drops as Pe increases. At high NTU, τ_BT ∝ 1/u.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Stampi-Bombelli 2024; Myers &amp; Font 2020</w:t>
            </w:r>
          </w:p>
        </w:tc>
        <w:tc>
          <w:tcPr>
            <w:tcW w:type="dxa" w:w="19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τ_BT ∝ u^(−0.9 to −1.1) verified</w:t>
            </w:r>
          </w:p>
        </w:tc>
      </w:tr>
      <w:tr>
        <w:tc>
          <w:tcPr>
            <w:tcW w:type="dxa" w:w="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H2</w:t>
            </w:r>
          </w:p>
        </w:tc>
        <w:tc>
          <w:tcPr>
            <w:tcW w:type="dxa" w:w="1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Inlet C_in</w:t>
            </w:r>
          </w:p>
        </w:tc>
        <w:tc>
          <w:tcPr>
            <w:tcW w:type="dxa" w:w="3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C_in → shorter τ_BT; q_dyn roughly constant 400–2000 ppm (concave Toth isotherm).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Chen et al. 2023; Stampi-Bombelli 2024</w:t>
            </w:r>
          </w:p>
        </w:tc>
        <w:tc>
          <w:tcPr>
            <w:tcW w:type="dxa" w:w="19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R-H chord within ±15% of v_front</w:t>
            </w:r>
          </w:p>
        </w:tc>
      </w:tr>
      <w:tr>
        <w:tc>
          <w:tcPr>
            <w:tcW w:type="dxa" w:w="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H3</w:t>
            </w:r>
          </w:p>
        </w:tc>
        <w:tc>
          <w:tcPr>
            <w:tcW w:type="dxa" w:w="1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Bed length L</w:t>
            </w:r>
          </w:p>
        </w:tc>
        <w:tc>
          <w:tcPr>
            <w:tcW w:type="dxa" w:w="3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τ_BT scales linearly with L; W_MTZ ∝ √(L/Pe); η independent of L at fixed NTU/length.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Myers &amp; Font 2020</w:t>
            </w:r>
          </w:p>
        </w:tc>
        <w:tc>
          <w:tcPr>
            <w:tcW w:type="dxa" w:w="19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τ_BT ∝ L, R²&gt;0.97; MTZ within 20%</w:t>
            </w:r>
          </w:p>
        </w:tc>
      </w:tr>
      <w:tr>
        <w:tc>
          <w:tcPr>
            <w:tcW w:type="dxa" w:w="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H4</w:t>
            </w:r>
          </w:p>
        </w:tc>
        <w:tc>
          <w:tcPr>
            <w:tcW w:type="dxa" w:w="1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Temperature T_ads</w:t>
            </w:r>
          </w:p>
        </w:tc>
        <w:tc>
          <w:tcPr>
            <w:tcW w:type="dxa" w:w="3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T_ads reduces q* via Toth b(T) → earlier breakthrough, tracking q*(T)/q*(25°C).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Stampi-Bombelli 2024; Jin et al. 2025</w:t>
            </w:r>
          </w:p>
        </w:tc>
        <w:tc>
          <w:tcPr>
            <w:tcW w:type="dxa" w:w="19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±20% of q* ratio</w:t>
            </w:r>
          </w:p>
        </w:tc>
      </w:tr>
      <w:tr>
        <w:tc>
          <w:tcPr>
            <w:tcW w:type="dxa" w:w="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H5</w:t>
            </w:r>
          </w:p>
        </w:tc>
        <w:tc>
          <w:tcPr>
            <w:tcW w:type="dxa" w:w="1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 velocity</w:t>
            </w:r>
          </w:p>
        </w:tc>
        <w:tc>
          <w:tcPr>
            <w:tcW w:type="dxa" w:w="3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v_shock = u·ΔC / (ε·ΔC + (1−ε)·ρ_p·Δq) matches simulated shock speed.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Myers &amp; Font 2020; LeVeque Ch.3</w:t>
            </w:r>
          </w:p>
        </w:tc>
        <w:tc>
          <w:tcPr>
            <w:tcW w:type="dxa" w:w="19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|v_sim − v_RH|/v_RH &lt; 15%</w:t>
            </w:r>
          </w:p>
        </w:tc>
      </w:tr>
    </w:tbl>
    <w:p>
      <w:pPr>
        <w:spacing w:after="120" w:before="140"/>
      </w:pPr>
      <w:r>
        <w:rPr>
          <w:rFonts w:ascii="Arial" w:cs="Arial" w:eastAsia="Arial" w:hAnsi="Arial"/>
          <w:b w:val="false"/>
          <w:bCs w:val="false"/>
          <w:i/>
          <w:iCs/>
          <w:color w:val="5A5F66"/>
          <w:sz w:val="19"/>
          <w:szCs w:val="19"/>
        </w:rPr>
        <w:t xml:space="preserve">Each of H1–H5 gets its own Results subsection and an accept / refine / reject verdict in the Conclusions.</w:t>
      </w:r>
    </w:p>
    <w:p>
      <w:r>
        <w:br w:type="page"/>
      </w:r>
    </w:p>
    <w:p>
      <w:pPr>
        <w:pStyle w:val="Heading1"/>
      </w:pPr>
      <w:r>
        <w:t xml:space="preserve">Literature Anchor Map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core literature-review tool. Seven anchor sources, each tagged by tier, the hypotheses it serves, and the week it first becomes load-bearing. Fill in the reading log the day you finish each paper.</w:t>
      </w:r>
    </w:p>
    <w:p>
      <w:pPr>
        <w:pBdr>
          <w:left w:val="single" w:color="6D28D9" w:sz="24" w:space="8"/>
        </w:pBdr>
        <w:spacing w:after="40" w:before="320"/>
        <w:ind w:left="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Myers &amp; Font (2020)</w:t>
      </w:r>
    </w:p>
    <w:p>
      <w:pPr>
        <w:spacing w:after="80"/>
        <w:ind w:left="140"/>
      </w:pPr>
      <w:r>
        <w:rPr>
          <w:rFonts w:ascii="Arial" w:cs="Arial" w:eastAsia="Arial" w:hAnsi="Arial"/>
          <w:i/>
          <w:iCs/>
          <w:color w:val="5A5F66"/>
          <w:sz w:val="19"/>
          <w:szCs w:val="19"/>
        </w:rPr>
        <w:t xml:space="preserve">Int. J. Heat Mass Transfer, 163, 120434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color w:val="6D28D9"/>
          <w:sz w:val="18"/>
          <w:szCs w:val="18"/>
        </w:rPr>
        <w:t xml:space="preserve">Tier 1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Serves: </w:t>
      </w:r>
      <w:r>
        <w:rPr>
          <w:rFonts w:ascii="Arial" w:cs="Arial" w:eastAsia="Arial" w:hAnsi="Arial"/>
          <w:b/>
          <w:bCs/>
          <w:color w:val="5A5F66"/>
          <w:sz w:val="18"/>
          <w:szCs w:val="18"/>
        </w:rPr>
        <w:t xml:space="preserve">H3, H5, Gate B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First referenced: Week 2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Used for: </w:t>
      </w:r>
      <w:r>
        <w:rPr>
          <w:rFonts w:ascii="Arial" w:cs="Arial" w:eastAsia="Arial" w:hAnsi="Arial"/>
          <w:sz w:val="20"/>
          <w:szCs w:val="20"/>
        </w:rPr>
        <w:t xml:space="preserve">Analytical traveling-wave solution; Rankine–Hugoniot adsorption-shock formula; theoretical foundation for all front-velocity predictions.</w:t>
      </w:r>
    </w:p>
    <w:p>
      <w:pPr>
        <w:spacing w:after="120"/>
        <w:ind w:left="140"/>
      </w:pPr>
      <w:r>
        <w:rPr>
          <w:rFonts w:ascii="Arial" w:cs="Arial" w:eastAsia="Arial" w:hAnsi="Arial"/>
          <w:color w:val="5A5F66"/>
          <w:sz w:val="19"/>
          <w:szCs w:val="19"/>
        </w:rPr>
        <w:t xml:space="preserve">☐ Read      ☐ Key equations extracted      ☐ Cited in report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Key result / equation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Relevance to my model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pBdr>
          <w:left w:val="single" w:color="6D28D9" w:sz="24" w:space="8"/>
        </w:pBdr>
        <w:spacing w:after="40" w:before="320"/>
        <w:ind w:left="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Stampi-Bombelli et al. (2024)</w:t>
      </w:r>
    </w:p>
    <w:p>
      <w:pPr>
        <w:spacing w:after="80"/>
        <w:ind w:left="140"/>
      </w:pPr>
      <w:r>
        <w:rPr>
          <w:rFonts w:ascii="Arial" w:cs="Arial" w:eastAsia="Arial" w:hAnsi="Arial"/>
          <w:i/>
          <w:iCs/>
          <w:color w:val="5A5F66"/>
          <w:sz w:val="19"/>
          <w:szCs w:val="19"/>
        </w:rPr>
        <w:t xml:space="preserve">Industrial &amp; Engineering Chemistry Research — PRIMARY BENCHMARK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color w:val="6D28D9"/>
          <w:sz w:val="18"/>
          <w:szCs w:val="18"/>
        </w:rPr>
        <w:t xml:space="preserve">Tier 1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Serves: </w:t>
      </w:r>
      <w:r>
        <w:rPr>
          <w:rFonts w:ascii="Arial" w:cs="Arial" w:eastAsia="Arial" w:hAnsi="Arial"/>
          <w:b/>
          <w:bCs/>
          <w:color w:val="5A5F66"/>
          <w:sz w:val="18"/>
          <w:szCs w:val="18"/>
        </w:rPr>
        <w:t xml:space="preserve">H1, H2, H4, Gate C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First referenced: Week 6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Used for: </w:t>
      </w:r>
      <w:r>
        <w:rPr>
          <w:rFonts w:ascii="Arial" w:cs="Arial" w:eastAsia="Arial" w:hAnsi="Arial"/>
          <w:sz w:val="20"/>
          <w:szCs w:val="20"/>
        </w:rPr>
        <w:t xml:space="preserve">Breakthrough experiments at 400 ppm; Toth isotherm parameters (Table 2); PFO/dual-kinetic models; packed-bed geometry; capacity-vs-temperature data.</w:t>
      </w:r>
    </w:p>
    <w:p>
      <w:pPr>
        <w:spacing w:after="120"/>
        <w:ind w:left="140"/>
      </w:pPr>
      <w:r>
        <w:rPr>
          <w:rFonts w:ascii="Arial" w:cs="Arial" w:eastAsia="Arial" w:hAnsi="Arial"/>
          <w:color w:val="5A5F66"/>
          <w:sz w:val="19"/>
          <w:szCs w:val="19"/>
        </w:rPr>
        <w:t xml:space="preserve">☐ Read      ☐ Key equations extracted      ☐ Cited in report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Key result / equation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Relevance to my model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pBdr>
          <w:left w:val="single" w:color="6D28D9" w:sz="24" w:space="8"/>
        </w:pBdr>
        <w:spacing w:after="40" w:before="320"/>
        <w:ind w:left="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Chen et al. (2023)</w:t>
      </w:r>
    </w:p>
    <w:p>
      <w:pPr>
        <w:spacing w:after="80"/>
        <w:ind w:left="140"/>
      </w:pPr>
      <w:r>
        <w:rPr>
          <w:rFonts w:ascii="Arial" w:cs="Arial" w:eastAsia="Arial" w:hAnsi="Arial"/>
          <w:i/>
          <w:iCs/>
          <w:color w:val="5A5F66"/>
          <w:sz w:val="19"/>
          <w:szCs w:val="19"/>
        </w:rPr>
        <w:t xml:space="preserve">Energy, 282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color w:val="6D28D9"/>
          <w:sz w:val="18"/>
          <w:szCs w:val="18"/>
        </w:rPr>
        <w:t xml:space="preserve">Tier 2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Serves: </w:t>
      </w:r>
      <w:r>
        <w:rPr>
          <w:rFonts w:ascii="Arial" w:cs="Arial" w:eastAsia="Arial" w:hAnsi="Arial"/>
          <w:b/>
          <w:bCs/>
          <w:color w:val="5A5F66"/>
          <w:sz w:val="18"/>
          <w:szCs w:val="18"/>
        </w:rPr>
        <w:t xml:space="preserve">H1, H2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First referenced: Week 8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Used for: </w:t>
      </w:r>
      <w:r>
        <w:rPr>
          <w:rFonts w:ascii="Arial" w:cs="Arial" w:eastAsia="Arial" w:hAnsi="Arial"/>
          <w:sz w:val="20"/>
          <w:szCs w:val="20"/>
        </w:rPr>
        <w:t xml:space="preserve">Breakthrough simulations at 500–2000 ppm; concentration effect on front dynamics and capture rate (mmen-Mg2(dobpdc) MOF, LDF kinetics); validates concentration-sweep direction.</w:t>
      </w:r>
    </w:p>
    <w:p>
      <w:pPr>
        <w:spacing w:after="120"/>
        <w:ind w:left="140"/>
      </w:pPr>
      <w:r>
        <w:rPr>
          <w:rFonts w:ascii="Arial" w:cs="Arial" w:eastAsia="Arial" w:hAnsi="Arial"/>
          <w:color w:val="5A5F66"/>
          <w:sz w:val="19"/>
          <w:szCs w:val="19"/>
        </w:rPr>
        <w:t xml:space="preserve">☐ Read      ☐ Key equations extracted      ☐ Cited in report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Key result / equation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Relevance to my model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pBdr>
          <w:left w:val="single" w:color="6D28D9" w:sz="24" w:space="8"/>
        </w:pBdr>
        <w:spacing w:after="40" w:before="320"/>
        <w:ind w:left="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Pedrozo et al. (2026)</w:t>
      </w:r>
    </w:p>
    <w:p>
      <w:pPr>
        <w:spacing w:after="80"/>
        <w:ind w:left="140"/>
      </w:pPr>
      <w:r>
        <w:rPr>
          <w:rFonts w:ascii="Arial" w:cs="Arial" w:eastAsia="Arial" w:hAnsi="Arial"/>
          <w:i/>
          <w:iCs/>
          <w:color w:val="5A5F66"/>
          <w:sz w:val="19"/>
          <w:szCs w:val="19"/>
        </w:rPr>
        <w:t xml:space="preserve">Computers &amp; Chemical Engineering, 204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color w:val="6D28D9"/>
          <w:sz w:val="18"/>
          <w:szCs w:val="18"/>
        </w:rPr>
        <w:t xml:space="preserve">Tier 2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Serves: </w:t>
      </w:r>
      <w:r>
        <w:rPr>
          <w:rFonts w:ascii="Arial" w:cs="Arial" w:eastAsia="Arial" w:hAnsi="Arial"/>
          <w:b/>
          <w:bCs/>
          <w:color w:val="5A5F66"/>
          <w:sz w:val="18"/>
          <w:szCs w:val="18"/>
        </w:rPr>
        <w:t xml:space="preserve">H1, H3, H4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First referenced: Week 11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Used for: </w:t>
      </w:r>
      <w:r>
        <w:rPr>
          <w:rFonts w:ascii="Arial" w:cs="Arial" w:eastAsia="Arial" w:hAnsi="Arial"/>
          <w:sz w:val="20"/>
          <w:szCs w:val="20"/>
        </w:rPr>
        <w:t xml:space="preserve">1-D reactive transport model; TVSA cycle optimisation; 1-D vs 2-D cost comparison (~40×); template for cyclic Future-Work discussion.</w:t>
      </w:r>
    </w:p>
    <w:p>
      <w:pPr>
        <w:spacing w:after="120"/>
        <w:ind w:left="140"/>
      </w:pPr>
      <w:r>
        <w:rPr>
          <w:rFonts w:ascii="Arial" w:cs="Arial" w:eastAsia="Arial" w:hAnsi="Arial"/>
          <w:color w:val="5A5F66"/>
          <w:sz w:val="19"/>
          <w:szCs w:val="19"/>
        </w:rPr>
        <w:t xml:space="preserve">☐ Read      ☐ Key equations extracted      ☐ Cited in report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Key result / equation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Relevance to my model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pBdr>
          <w:left w:val="single" w:color="6D28D9" w:sz="24" w:space="8"/>
        </w:pBdr>
        <w:spacing w:after="40" w:before="320"/>
        <w:ind w:left="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de Joannis et al. (2025)</w:t>
      </w:r>
    </w:p>
    <w:p>
      <w:pPr>
        <w:spacing w:after="80"/>
        <w:ind w:left="140"/>
      </w:pPr>
      <w:r>
        <w:rPr>
          <w:rFonts w:ascii="Arial" w:cs="Arial" w:eastAsia="Arial" w:hAnsi="Arial"/>
          <w:i/>
          <w:iCs/>
          <w:color w:val="5A5F66"/>
          <w:sz w:val="19"/>
          <w:szCs w:val="19"/>
        </w:rPr>
        <w:t xml:space="preserve">Carbon Capture Science &amp; Technology, 17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color w:val="6D28D9"/>
          <w:sz w:val="18"/>
          <w:szCs w:val="18"/>
        </w:rPr>
        <w:t xml:space="preserve">Tier 2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Serves: </w:t>
      </w:r>
      <w:r>
        <w:rPr>
          <w:rFonts w:ascii="Arial" w:cs="Arial" w:eastAsia="Arial" w:hAnsi="Arial"/>
          <w:b/>
          <w:bCs/>
          <w:color w:val="5A5F66"/>
          <w:sz w:val="18"/>
          <w:szCs w:val="18"/>
        </w:rPr>
        <w:t xml:space="preserve">H2, H4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First referenced: Week 13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Used for: </w:t>
      </w:r>
      <w:r>
        <w:rPr>
          <w:rFonts w:ascii="Arial" w:cs="Arial" w:eastAsia="Arial" w:hAnsi="Arial"/>
          <w:sz w:val="20"/>
          <w:szCs w:val="20"/>
        </w:rPr>
        <w:t xml:space="preserve">Breakthrough under humid conditions; Lewatit sorbent; packed-bed vs monolith comparison at process scale; humidity as Future-Work driver.</w:t>
      </w:r>
    </w:p>
    <w:p>
      <w:pPr>
        <w:spacing w:after="120"/>
        <w:ind w:left="140"/>
      </w:pPr>
      <w:r>
        <w:rPr>
          <w:rFonts w:ascii="Arial" w:cs="Arial" w:eastAsia="Arial" w:hAnsi="Arial"/>
          <w:color w:val="5A5F66"/>
          <w:sz w:val="19"/>
          <w:szCs w:val="19"/>
        </w:rPr>
        <w:t xml:space="preserve">☐ Read      ☐ Key equations extracted      ☐ Cited in report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Key result / equation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Relevance to my model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pBdr>
          <w:left w:val="single" w:color="6D28D9" w:sz="24" w:space="8"/>
        </w:pBdr>
        <w:spacing w:after="40" w:before="320"/>
        <w:ind w:left="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Jin et al. (2025)</w:t>
      </w:r>
    </w:p>
    <w:p>
      <w:pPr>
        <w:spacing w:after="80"/>
        <w:ind w:left="140"/>
      </w:pPr>
      <w:r>
        <w:rPr>
          <w:rFonts w:ascii="Arial" w:cs="Arial" w:eastAsia="Arial" w:hAnsi="Arial"/>
          <w:i/>
          <w:iCs/>
          <w:color w:val="5A5F66"/>
          <w:sz w:val="19"/>
          <w:szCs w:val="19"/>
        </w:rPr>
        <w:t xml:space="preserve">Renewable &amp; Sustainable Energy Reviews, 217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color w:val="6D28D9"/>
          <w:sz w:val="18"/>
          <w:szCs w:val="18"/>
        </w:rPr>
        <w:t xml:space="preserve">Tier 2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Serves: </w:t>
      </w:r>
      <w:r>
        <w:rPr>
          <w:rFonts w:ascii="Arial" w:cs="Arial" w:eastAsia="Arial" w:hAnsi="Arial"/>
          <w:b/>
          <w:bCs/>
          <w:color w:val="5A5F66"/>
          <w:sz w:val="18"/>
          <w:szCs w:val="18"/>
        </w:rPr>
        <w:t xml:space="preserve">H4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First referenced: Week 1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Used for: </w:t>
      </w:r>
      <w:r>
        <w:rPr>
          <w:rFonts w:ascii="Arial" w:cs="Arial" w:eastAsia="Arial" w:hAnsi="Arial"/>
          <w:sz w:val="20"/>
          <w:szCs w:val="20"/>
        </w:rPr>
        <w:t xml:space="preserve">Comprehensive review of T and RH effects on amine sorbents (−20 to 40°C, 0–100% RH); validates direction of the T_ads effect; sorbent classification context.</w:t>
      </w:r>
    </w:p>
    <w:p>
      <w:pPr>
        <w:spacing w:after="120"/>
        <w:ind w:left="140"/>
      </w:pPr>
      <w:r>
        <w:rPr>
          <w:rFonts w:ascii="Arial" w:cs="Arial" w:eastAsia="Arial" w:hAnsi="Arial"/>
          <w:color w:val="5A5F66"/>
          <w:sz w:val="19"/>
          <w:szCs w:val="19"/>
        </w:rPr>
        <w:t xml:space="preserve">☐ Read      ☐ Key equations extracted      ☐ Cited in report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Key result / equation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Relevance to my model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pBdr>
          <w:left w:val="single" w:color="6D28D9" w:sz="24" w:space="8"/>
        </w:pBdr>
        <w:spacing w:after="40" w:before="320"/>
        <w:ind w:left="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Xu et al. (2024)</w:t>
      </w:r>
    </w:p>
    <w:p>
      <w:pPr>
        <w:spacing w:after="80"/>
        <w:ind w:left="140"/>
      </w:pPr>
      <w:r>
        <w:rPr>
          <w:rFonts w:ascii="Arial" w:cs="Arial" w:eastAsia="Arial" w:hAnsi="Arial"/>
          <w:i/>
          <w:iCs/>
          <w:color w:val="5A5F66"/>
          <w:sz w:val="19"/>
          <w:szCs w:val="19"/>
        </w:rPr>
        <w:t xml:space="preserve">Energy Conversion and Management, 322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color w:val="6D28D9"/>
          <w:sz w:val="18"/>
          <w:szCs w:val="18"/>
        </w:rPr>
        <w:t xml:space="preserve">Tier 2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Serves: </w:t>
      </w:r>
      <w:r>
        <w:rPr>
          <w:rFonts w:ascii="Arial" w:cs="Arial" w:eastAsia="Arial" w:hAnsi="Arial"/>
          <w:b/>
          <w:bCs/>
          <w:color w:val="5A5F66"/>
          <w:sz w:val="18"/>
          <w:szCs w:val="18"/>
        </w:rPr>
        <w:t xml:space="preserve">H2, fundamentals</w:t>
      </w:r>
      <w:r>
        <w:rPr>
          <w:rFonts w:ascii="Arial" w:cs="Arial" w:eastAsia="Arial" w:hAnsi="Arial"/>
          <w:color w:val="5A5F66"/>
          <w:sz w:val="18"/>
          <w:szCs w:val="18"/>
        </w:rPr>
        <w:t xml:space="preserve">   •   First referenced: Week 1</w:t>
      </w:r>
    </w:p>
    <w:p>
      <w:pPr>
        <w:spacing w:after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Used for: </w:t>
      </w:r>
      <w:r>
        <w:rPr>
          <w:rFonts w:ascii="Arial" w:cs="Arial" w:eastAsia="Arial" w:hAnsi="Arial"/>
          <w:sz w:val="20"/>
          <w:szCs w:val="20"/>
        </w:rPr>
        <w:t xml:space="preserve">DAC fundamentals review; adsorption kinetics and thermodynamics; system-design context for Introduction / Literature Review chapters.</w:t>
      </w:r>
    </w:p>
    <w:p>
      <w:pPr>
        <w:spacing w:after="120"/>
        <w:ind w:left="140"/>
      </w:pPr>
      <w:r>
        <w:rPr>
          <w:rFonts w:ascii="Arial" w:cs="Arial" w:eastAsia="Arial" w:hAnsi="Arial"/>
          <w:color w:val="5A5F66"/>
          <w:sz w:val="19"/>
          <w:szCs w:val="19"/>
        </w:rPr>
        <w:t xml:space="preserve">☐ Read      ☐ Key equations extracted      ☐ Cited in report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Key result / equation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Relevance to my model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E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pBdr>
          <w:left w:val="single" w:color="6D28D9" w:sz="24" w:space="8"/>
        </w:pBdr>
        <w:shd w:fill="EDE4FB" w:val="clear"/>
        <w:spacing w:before="260"/>
        <w:ind w:left="4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Open item for supervisor meetings: if SUTD rig geometry becomes available (d_c, L, sorbent type, thermocouple positions), add as a model-vs-experiment stretch check in the Discussion — not blocking. Baseline uses Stampi-Bombelli 2024 literature parameters throughout.</w:t>
      </w:r>
    </w:p>
    <w:p>
      <w:r>
        <w:br w:type="page"/>
      </w:r>
    </w:p>
    <w:p>
      <w:pPr>
        <w:pStyle w:val="Heading1"/>
      </w:pPr>
      <w:r>
        <w:t xml:space="preserve">Prioritised Reading List</w:t>
      </w:r>
    </w:p>
    <w:p>
      <w:pPr>
        <w:pStyle w:val="Heading2"/>
      </w:pPr>
      <w:r>
        <w:t xml:space="preserve">Tier 1 — read in Week 1, referred to throughout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Evans, PDE — Ch. 3 (first-order equations), in full.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Myers &amp; Font 2020, Int. J. Heat Mass Transf. 163, 120434 — analytical foundation.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LeVeque, Numerical Methods for Conservation Laws — Ch. 3 (scalar laws), Ch. 6–7 (upwind).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Ruthven, Principles of Adsorption and Adsorption Processes — Ch. 5 (breakthrough), Ch. 8 (thermal effects).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Stampi-Bombelli et al. 2024, I&amp;EC Research — primary benchmark.</w:t>
      </w:r>
    </w:p>
    <w:p>
      <w:pPr>
        <w:pStyle w:val="Heading2"/>
      </w:pPr>
      <w:r>
        <w:t xml:space="preserve">Tier 2 — reference when the topic arrives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Chen et al. 2023, Energy 282 — concentration-range sweep context.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Pedrozo et al. 2026, Comput. Chem. Eng. 204 — reactive transport model template.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Jin et al. 2025, Renew. Sustain. Energy Rev. 217 — sorbent temperature sensitivity.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de Joannis et al. 2025, Carbon Capture Sci. Tech. 17 — packed bed vs monolith; humidity context.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Xu et al. 2024, Energy Convers. Manage. 322 — DAC fundamentals.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Bird, Stewart &amp; Lightfoot, Transport Phenomena — Ch. 6, 11, 14.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Ascher &amp; Petzold, Computer Methods for ODEs and DAEs.</w:t>
      </w:r>
    </w:p>
    <w:p>
      <w:pPr>
        <w:pStyle w:val="Heading2"/>
      </w:pPr>
      <w:r>
        <w:t xml:space="preserve">Tier 3 — enrichment (only if on-track; do not let these crowd out deliverables)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Villani, Topics in Optimal Transport — Ch. 1.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LeVeque, Numerical Methods for Conservation Laws — Ch. 14 (Riemann problems).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Evans, PDE — Ch. 5 (Sobolev spaces), only if core project is on track.</w:t>
      </w:r>
    </w:p>
    <w:p>
      <w:r>
        <w:br w:type="page"/>
      </w:r>
    </w:p>
    <w:p>
      <w:pPr>
        <w:pStyle w:val="Heading1"/>
      </w:pPr>
      <w:r>
        <w:t xml:space="preserve">Mathematical Learning Track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Paired weekly with the technical work, so that the Final Report's mathematical chapter reads as a coherent exposition, not a parts catalog.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00"/>
        <w:gridCol w:w="2350"/>
        <w:gridCol w:w="1990"/>
        <w:gridCol w:w="2400"/>
      </w:tblGrid>
      <w:tr>
        <w:trPr>
          <w:tblHeader/>
        </w:trPr>
        <w:tc>
          <w:tcPr>
            <w:tcW w:type="dxa" w:w="4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</w:t>
            </w:r>
          </w:p>
        </w:tc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23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99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Exercise</w:t>
            </w:r>
          </w:p>
        </w:tc>
      </w:tr>
      <w:tr>
        <w:tc>
          <w:tcPr>
            <w:tcW w:type="dxa" w:w="4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 of characteristics (linear 1st-order PDE)</w:t>
            </w:r>
          </w:p>
        </w:tc>
        <w:tc>
          <w:tcPr>
            <w:tcW w:type="dxa" w:w="23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Prerequisite for adsorption wave theory</w:t>
            </w:r>
          </w:p>
        </w:tc>
        <w:tc>
          <w:tcPr>
            <w:tcW w:type="dxa" w:w="199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Evans §3.1; Strauss §14.1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Solve u_t + c(x)u_x = 0 for 3 choices of c(x); draw characteristics</w:t>
            </w:r>
          </w:p>
        </w:tc>
      </w:tr>
      <w:tr>
        <w:tc>
          <w:tcPr>
            <w:tcW w:type="dxa" w:w="4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R-H shock; traveling-wave substitution ξ = z−vt; self-sharpening for concave isotherms</w:t>
            </w:r>
          </w:p>
        </w:tc>
        <w:tc>
          <w:tcPr>
            <w:tcW w:type="dxa" w:w="23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Directly predicts τ_BT and v_front (H5, Gate B)</w:t>
            </w:r>
          </w:p>
        </w:tc>
        <w:tc>
          <w:tcPr>
            <w:tcW w:type="dxa" w:w="199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Myers &amp; Font §2–3; LeVeque Ch.3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 v_shock for Langmuir, then Toth; draw the chord on q*-vs-C</w:t>
            </w:r>
          </w:p>
        </w:tc>
      </w:tr>
      <w:tr>
        <w:tc>
          <w:tcPr>
            <w:tcW w:type="dxa" w:w="4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Buckingham Π theorem; scaling analysis</w:t>
            </w:r>
          </w:p>
        </w:tc>
        <w:tc>
          <w:tcPr>
            <w:tcW w:type="dxa" w:w="23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Universalises the parametric study</w:t>
            </w:r>
          </w:p>
        </w:tc>
        <w:tc>
          <w:tcPr>
            <w:tcW w:type="dxa" w:w="199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BSL Ch.6; Barenblatt, Scaling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Non-dimensionalise the 4-PDE system by hand</w:t>
            </w:r>
          </w:p>
        </w:tc>
      </w:tr>
      <w:tr>
        <w:tc>
          <w:tcPr>
            <w:tcW w:type="dxa" w:w="4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 of lines; stiff ODE integration (BDF, LSODA)</w:t>
            </w:r>
          </w:p>
        </w:tc>
        <w:tc>
          <w:tcPr>
            <w:tcW w:type="dxa" w:w="23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Underpins the entire solver</w:t>
            </w:r>
          </w:p>
        </w:tc>
        <w:tc>
          <w:tcPr>
            <w:tcW w:type="dxa" w:w="199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Ascher &amp; Petzold; scipy docs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the heat equation MOL; compare RK4 vs LSODA step counts</w:t>
            </w:r>
          </w:p>
        </w:tc>
      </w:tr>
      <w:tr>
        <w:tc>
          <w:tcPr>
            <w:tcW w:type="dxa" w:w="4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Upwind schemes; numerical diffusion; CFL</w:t>
            </w:r>
          </w:p>
        </w:tc>
        <w:tc>
          <w:tcPr>
            <w:tcW w:type="dxa" w:w="23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scheme fakes or smears shocks</w:t>
            </w:r>
          </w:p>
        </w:tc>
        <w:tc>
          <w:tcPr>
            <w:tcW w:type="dxa" w:w="199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LeVeque Ch.6–7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Solve linear advection at CFL = 0.5, 1.0, 1.1; observe</w:t>
            </w:r>
          </w:p>
        </w:tc>
      </w:tr>
      <w:tr>
        <w:tc>
          <w:tcPr>
            <w:tcW w:type="dxa" w:w="4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Constant-pattern analysis (LUB/UB); MTZ width scaling</w:t>
            </w:r>
          </w:p>
        </w:tc>
        <w:tc>
          <w:tcPr>
            <w:tcW w:type="dxa" w:w="23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Explains self-sharpening front; needed for W_MTZ discussion</w:t>
            </w:r>
          </w:p>
        </w:tc>
        <w:tc>
          <w:tcPr>
            <w:tcW w:type="dxa" w:w="199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Ruthven Ch.8; Do Ch.3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W_MTZ ∝ √(L/Pe) analytically for the dispersive case</w:t>
            </w:r>
          </w:p>
        </w:tc>
      </w:tr>
      <w:tr>
        <w:tc>
          <w:tcPr>
            <w:tcW w:type="dxa" w:w="4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sensitivity equations</w:t>
            </w:r>
          </w:p>
        </w:tc>
        <w:tc>
          <w:tcPr>
            <w:tcW w:type="dxa" w:w="23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Lets you report ∂τ_BT/∂u as a number, not an eyeball</w:t>
            </w:r>
          </w:p>
        </w:tc>
        <w:tc>
          <w:tcPr>
            <w:tcW w:type="dxa" w:w="199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Cacuci, Sensitivity &amp; Uncertainty Ch.1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Hand-derive the sensitivity PDE for u; interpret sign</w:t>
            </w:r>
          </w:p>
        </w:tc>
      </w:tr>
      <w:tr>
        <w:tc>
          <w:tcPr>
            <w:tcW w:type="dxa" w:w="4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equilibrium limit; singular perturbation in NTU</w:t>
            </w:r>
          </w:p>
        </w:tc>
        <w:tc>
          <w:tcPr>
            <w:tcW w:type="dxa" w:w="23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Explains sharp- vs spread-front transition (H1/H3)</w:t>
            </w:r>
          </w:p>
        </w:tc>
        <w:tc>
          <w:tcPr>
            <w:tcW w:type="dxa" w:w="199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Ruthven Ch.8; Kevorkian &amp; Cole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NTU→∞ collapses parabolic to hyperbolic; verify in sim</w:t>
            </w:r>
          </w:p>
        </w:tc>
      </w:tr>
      <w:tr>
        <w:tc>
          <w:tcPr>
            <w:tcW w:type="dxa" w:w="4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Breakthrough integration: τ_st, η = τ_st/τ_sat, q_dyn vs q_eq</w:t>
            </w:r>
          </w:p>
        </w:tc>
        <w:tc>
          <w:tcPr>
            <w:tcW w:type="dxa" w:w="23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Translates output into figures comparable to Stampi-Bombelli Table 3</w:t>
            </w:r>
          </w:p>
        </w:tc>
        <w:tc>
          <w:tcPr>
            <w:tcW w:type="dxa" w:w="199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Stampi-Bombelli §3; Ruthven Ch.5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 η and q_dyn from a synthetic C_out(t); check mass balance</w:t>
            </w:r>
          </w:p>
        </w:tc>
      </w:tr>
      <w:tr>
        <w:tc>
          <w:tcPr>
            <w:tcW w:type="dxa" w:w="4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Response-surface methodology; quadratic fits</w:t>
            </w:r>
          </w:p>
        </w:tc>
        <w:tc>
          <w:tcPr>
            <w:tcW w:type="dxa" w:w="23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Summarise 9 u×C_in runs as one function</w:t>
            </w:r>
          </w:p>
        </w:tc>
        <w:tc>
          <w:tcPr>
            <w:tcW w:type="dxa" w:w="199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Montgomery, DOE Ch.11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 y = β₀+Σβᵢxᵢ+Σβᵢⱼxᵢxⱼ to synthetic data</w:t>
            </w:r>
          </w:p>
        </w:tc>
      </w:tr>
      <w:tr>
        <w:tc>
          <w:tcPr>
            <w:tcW w:type="dxa" w:w="4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Rescaling into (Pe, NTU, α); log-derivative ranking</w:t>
            </w:r>
          </w:p>
        </w:tc>
        <w:tc>
          <w:tcPr>
            <w:tcW w:type="dxa" w:w="23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universalisation step</w:t>
            </w:r>
          </w:p>
        </w:tc>
        <w:tc>
          <w:tcPr>
            <w:tcW w:type="dxa" w:w="199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Kuzmin; advanced transport texts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∂(log τ_BT)/∂(log Π) for each group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18-Week Master Timeline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Condensed from the Study Plan, with active study-type tags per week. ◄ marks the current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50"/>
        <w:gridCol w:w="2000"/>
        <w:gridCol w:w="800"/>
        <w:gridCol w:w="4610"/>
      </w:tblGrid>
      <w:tr>
        <w:trPr>
          <w:tblHeader/>
        </w:trP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Dates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Types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20–24 Apr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P0 Kickoff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B63"/>
                <w:sz w:val="19"/>
                <w:szCs w:val="19"/>
              </w:rPr>
              <w:t xml:space="preserve">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Characteristics + traveling-wave reading; install Python; read all 7 papers; LaTeX skeleton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 Apr–1 May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P1 Derivation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B63"/>
                <w:sz w:val="19"/>
                <w:szCs w:val="19"/>
              </w:rPr>
              <w:t xml:space="preserve">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R-H shock &amp; traveling-wave theory; derive 4-PDE system; set ICs/BCs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4–8 May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P1 Non-dim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B63"/>
                <w:sz w:val="19"/>
                <w:szCs w:val="19"/>
              </w:rPr>
              <w:t xml:space="preserve">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D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Buckingham Π; identify Pe, NTU, α  —  Journal #1 due Mon 4 May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11–15 May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P2 Linear solver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B63"/>
                <w:sz w:val="19"/>
                <w:szCs w:val="19"/>
              </w:rPr>
              <w:t xml:space="preserve">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G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MOL/stiff ODE theory; code linear advection-diffusion  —  Gate A: L²&lt;1%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18–22 May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P2 Nonlinear solver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B63"/>
                <w:sz w:val="19"/>
                <w:szCs w:val="19"/>
              </w:rPr>
              <w:t xml:space="preserve">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D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LDF/Toth/upwind theory; couple full 4-PDE system  —  Journal #2 due Mon 18 May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25–29 May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P2 Benchmark + Interim draft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B63"/>
                <w:sz w:val="19"/>
                <w:szCs w:val="19"/>
              </w:rPr>
              <w:t xml:space="preserve">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G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Constant-pattern analysis; baseline sim vs Stampi-Bombelli; draft entire Interim  —  Gates B &amp; C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1–5 Jun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Interim gate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D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Address validation gaps; submit Interim Report; Interim Review Wk 7–8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8–12 Jun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P3 Sensitivity 1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B63"/>
                <w:sz w:val="19"/>
                <w:szCs w:val="19"/>
              </w:rPr>
              <w:t xml:space="preserve">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Sensitivity equations; OAT sweep on u and C_in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9–10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15–28 Jun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Term Break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—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Optional supplementary reading only; protect recovery time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 Jun–3 Jul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2B"/>
                <w:sz w:val="18"/>
                <w:szCs w:val="18"/>
              </w:rPr>
              <w:t xml:space="preserve">P3 Sensitivity 2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B63"/>
                <w:sz w:val="19"/>
                <w:szCs w:val="19"/>
              </w:rPr>
              <w:t xml:space="preserve">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2B"/>
                <w:sz w:val="18"/>
                <w:szCs w:val="18"/>
              </w:rPr>
              <w:t xml:space="preserve">Local equilibrium limit; OAT on L and T_ads   ◄ you are here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6–10 Jul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P4 Efficiency analysis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B63"/>
                <w:sz w:val="19"/>
                <w:szCs w:val="19"/>
              </w:rPr>
              <w:t xml:space="preserve">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Breakthrough curve integration; post-process η and q_dyn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13–17 Jul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P4 Interaction study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B63"/>
                <w:sz w:val="19"/>
                <w:szCs w:val="19"/>
              </w:rPr>
              <w:t xml:space="preserve">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D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Response-surface fitting; u×C_in 3×3 grid  —  Journal #3 due Mon 13 Jul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20–24 Jul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P5 Dimensionless recast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B63"/>
                <w:sz w:val="19"/>
                <w:szCs w:val="19"/>
              </w:rPr>
              <w:t xml:space="preserve">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Rescale into (Pe, NTU, α); rank parameters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27–31 Jul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P6 Writing Sprint 1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B63"/>
                <w:sz w:val="19"/>
                <w:szCs w:val="19"/>
              </w:rPr>
              <w:t xml:space="preserve">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D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Clean code, figures ≥300dpi; draft Final Report v0.5  —  Journal #4 due Mon 27 Jul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3–7 Aug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P6 Writing Sprint 2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B63"/>
                <w:sz w:val="19"/>
                <w:szCs w:val="19"/>
              </w:rPr>
              <w:t xml:space="preserve">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Rerun requested cells; Final Report v1.0, proofread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10–14 Aug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P7 Submit + prep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W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D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Submit Final Report Mon 10 Aug; build slide deck; 2 rehearsals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dxa" w:w="125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17–19 Aug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P7 Defence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D</w:t>
            </w:r>
          </w:p>
        </w:tc>
        <w:tc>
          <w:tcPr>
            <w:tcW w:type="dxa" w:w="461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Final Presentation + panel Q&amp;A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F66"/>
          <w:sz w:val="19"/>
          <w:szCs w:val="19"/>
        </w:rPr>
        <w:t xml:space="preserve">Critical path: Wk 1 read → Wk 2–3 derive + non-dim → Wk 4 Gate A → Wk 5 Gate B → Wk 6 Gate C + interim draft → Wk 7 submit. If a Gate slips more than 3 days, re-baseline immediately — the term break has zero slack and Wk 15–16 are already writing-constrained. Buy back slippage by descoping sweep levels, not by working through the term break.</w:t>
      </w:r>
    </w:p>
    <w:p>
      <w:r>
        <w:br w:type="page"/>
      </w:r>
    </w:p>
    <w:p>
      <w:pPr>
        <w:pStyle w:val="Heading1"/>
      </w:pPr>
      <w:r>
        <w:t xml:space="preserve">Validation Gates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1"/>
          <w:szCs w:val="21"/>
        </w:rPr>
        <w:t xml:space="preserve">No parametric sweep starts until Gates A–C pass. This is the single most important rule in the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1900"/>
        <w:gridCol w:w="3760"/>
        <w:gridCol w:w="2000"/>
      </w:tblGrid>
      <w:tr>
        <w:trPr>
          <w:tblHeader/>
        </w:trP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  <w:tc>
          <w:tcPr>
            <w:tcW w:type="dxa" w:w="1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37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criterion</w:t>
            </w:r>
          </w:p>
        </w:tc>
      </w:tr>
      <w:t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 A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Wk 4</w:t>
            </w:r>
          </w:p>
        </w:tc>
        <w:tc>
          <w:tcPr>
            <w:tcW w:type="dxa" w:w="1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solver</w:t>
            </w:r>
          </w:p>
        </w:tc>
        <w:tc>
          <w:tcPr>
            <w:tcW w:type="dxa" w:w="37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∂C/∂t + u∂C/∂z = D_ax∂²C/∂z², step inlet, zero adsorption, vs. Ogata–Banks analytical solution.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L² error &lt; 1% on 200-node grid</w:t>
            </w:r>
          </w:p>
        </w:tc>
      </w:tr>
      <w:t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 B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Wk 5–6</w:t>
            </w:r>
          </w:p>
        </w:tc>
        <w:tc>
          <w:tcPr>
            <w:tcW w:type="dxa" w:w="1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Nonlinear front</w:t>
            </w:r>
          </w:p>
        </w:tc>
        <w:tc>
          <w:tcPr>
            <w:tcW w:type="dxa" w:w="37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Isothermal Toth + LDF; adsorption front velocity vs. R-H chord v_RH.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|v_sim − v_RH| / v_RH &lt; 10%</w:t>
            </w:r>
          </w:p>
        </w:tc>
      </w:tr>
      <w:t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 C</w:t>
            </w:r>
          </w:p>
        </w:tc>
        <w:tc>
          <w:tcPr>
            <w:tcW w:type="dxa" w:w="8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Wk 6</w:t>
            </w:r>
          </w:p>
        </w:tc>
        <w:tc>
          <w:tcPr>
            <w:tcW w:type="dxa" w:w="1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Stampi-Bombelli benchmark</w:t>
            </w:r>
          </w:p>
        </w:tc>
        <w:tc>
          <w:tcPr>
            <w:tcW w:type="dxa" w:w="37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non-isothermal solver reproduces the 400 ppm breakthrough curve.</w:t>
            </w:r>
          </w:p>
        </w:tc>
        <w:tc>
          <w:tcPr>
            <w:tcW w:type="dxa" w:w="20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τ_BT within ±20%</w:t>
            </w:r>
          </w:p>
        </w:tc>
      </w:tr>
    </w:tbl>
    <w:p>
      <w:pPr>
        <w:pStyle w:val="Heading2"/>
      </w:pPr>
      <w:r>
        <w:t xml:space="preserve">Gate A workflow detail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Run solver on linear advection-diffusion only.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Compare against the Ogata–Banks analytical solution (step-input, semi-infinite column).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Compute relative L² norm of pointwise difference across all z nodes at fixed 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Pass if &lt; 1%. If not: grid too coarse or timestep too large — refine before adding nonlinear terms.</w:t>
      </w:r>
    </w:p>
    <w:p>
      <w:r>
        <w:br w:type="page"/>
      </w:r>
    </w:p>
    <w:p>
      <w:pPr>
        <w:pStyle w:val="Heading1"/>
      </w:pPr>
      <w:r>
        <w:t xml:space="preserve">Dimensionless Groups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500"/>
        <w:gridCol w:w="4360"/>
      </w:tblGrid>
      <w:tr>
        <w:trPr>
          <w:tblHeader/>
        </w:trP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2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1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range</w:t>
            </w:r>
          </w:p>
        </w:tc>
        <w:tc>
          <w:tcPr>
            <w:tcW w:type="dxa" w:w="4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</w:t>
            </w:r>
          </w:p>
        </w:tc>
        <w:tc>
          <w:tcPr>
            <w:tcW w:type="dxa" w:w="2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 / D_ax</w:t>
            </w:r>
          </w:p>
        </w:tc>
        <w:tc>
          <w:tcPr>
            <w:tcW w:type="dxa" w:w="1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10–500</w:t>
            </w:r>
          </w:p>
        </w:tc>
        <w:tc>
          <w:tcPr>
            <w:tcW w:type="dxa" w:w="4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Convective vs dispersive transport; governs MTZ width</w:t>
            </w:r>
          </w:p>
        </w:tc>
      </w:tr>
      <w:t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NTU</w:t>
            </w:r>
          </w:p>
        </w:tc>
        <w:tc>
          <w:tcPr>
            <w:tcW w:type="dxa" w:w="2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k_LDF a_p L (1−ε) / (εu)</w:t>
            </w:r>
          </w:p>
        </w:tc>
        <w:tc>
          <w:tcPr>
            <w:tcW w:type="dxa" w:w="1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1–20</w:t>
            </w:r>
          </w:p>
        </w:tc>
        <w:tc>
          <w:tcPr>
            <w:tcW w:type="dxa" w:w="4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Mass-transfer rate vs residence time; proximity to constant-pattern</w:t>
            </w:r>
          </w:p>
        </w:tc>
      </w:tr>
      <w:t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Pe_h</w:t>
            </w:r>
          </w:p>
        </w:tc>
        <w:tc>
          <w:tcPr>
            <w:tcW w:type="dxa" w:w="2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ρ_g c_pg u L / λ_ax</w:t>
            </w:r>
          </w:p>
        </w:tc>
        <w:tc>
          <w:tcPr>
            <w:tcW w:type="dxa" w:w="1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10–200</w:t>
            </w:r>
          </w:p>
        </w:tc>
        <w:tc>
          <w:tcPr>
            <w:tcW w:type="dxa" w:w="4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Thermal convective vs conductive transport</w:t>
            </w:r>
          </w:p>
        </w:tc>
      </w:tr>
      <w:t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α</w:t>
            </w:r>
          </w:p>
        </w:tc>
        <w:tc>
          <w:tcPr>
            <w:tcW w:type="dxa" w:w="2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ρ_p(1−ε)Δq / (εΔC)</w:t>
            </w:r>
          </w:p>
        </w:tc>
        <w:tc>
          <w:tcPr>
            <w:tcW w:type="dxa" w:w="1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1–100</w:t>
            </w:r>
          </w:p>
        </w:tc>
        <w:tc>
          <w:tcPr>
            <w:tcW w:type="dxa" w:w="4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Solid- vs gas-phase CO₂ capacity; sets v_shock / u</w:t>
            </w:r>
          </w:p>
        </w:tc>
      </w:tr>
      <w:tr>
        <w:tc>
          <w:tcPr>
            <w:tcW w:type="dxa" w:w="9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</w:t>
            </w:r>
          </w:p>
        </w:tc>
        <w:tc>
          <w:tcPr>
            <w:tcW w:type="dxa" w:w="2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(−ΔH_ads)Δq / (c_pg T_ads)</w:t>
            </w:r>
          </w:p>
        </w:tc>
        <w:tc>
          <w:tcPr>
            <w:tcW w:type="dxa" w:w="1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0.1–1</w:t>
            </w:r>
          </w:p>
        </w:tc>
        <w:tc>
          <w:tcPr>
            <w:tcW w:type="dxa" w:w="4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Heat-of-adsorption feedback strength on temperature rise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b w:val="false"/>
          <w:bCs w:val="false"/>
          <w:i/>
          <w:iCs/>
          <w:color w:val="5A5F66"/>
          <w:sz w:val="19"/>
          <w:szCs w:val="19"/>
        </w:rPr>
        <w:t xml:space="preserve">Pe, NTU, and α are the three most important groups for this study — they respectively govern MTZ dispersion, proximity to local equilibrium, and adsorption-shock speed relative to u.</w:t>
      </w:r>
    </w:p>
    <w:p>
      <w:r>
        <w:br w:type="page"/>
      </w:r>
    </w:p>
    <w:p>
      <w:pPr>
        <w:pStyle w:val="Heading1"/>
      </w:pPr>
      <w:r>
        <w:t xml:space="preserve">Deliverables &amp; Assessment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2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</w:t>
            </w:r>
          </w:p>
        </w:tc>
        <w:tc>
          <w:tcPr>
            <w:tcW w:type="dxa" w:w="4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  <w:tc>
          <w:tcPr>
            <w:tcW w:type="dxa" w:w="16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Bi-weekly Journal #1</w:t>
            </w:r>
          </w:p>
        </w:tc>
        <w:tc>
          <w:tcPr>
            <w:tcW w:type="dxa" w:w="2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 4 May 2026</w:t>
            </w:r>
          </w:p>
        </w:tc>
        <w:tc>
          <w:tcPr>
            <w:tcW w:type="dxa" w:w="16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2.5%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Bi-weekly Journal #2</w:t>
            </w:r>
          </w:p>
        </w:tc>
        <w:tc>
          <w:tcPr>
            <w:tcW w:type="dxa" w:w="2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 18 May 2026</w:t>
            </w:r>
          </w:p>
        </w:tc>
        <w:tc>
          <w:tcPr>
            <w:tcW w:type="dxa" w:w="16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2.5%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Interim Report</w:t>
            </w:r>
          </w:p>
        </w:tc>
        <w:tc>
          <w:tcPr>
            <w:tcW w:type="dxa" w:w="2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 1 Jun 2026</w:t>
            </w:r>
          </w:p>
        </w:tc>
        <w:tc>
          <w:tcPr>
            <w:tcW w:type="dxa" w:w="16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7–8</w:t>
            </w:r>
          </w:p>
        </w:tc>
        <w:tc>
          <w:tcPr>
            <w:tcW w:type="dxa" w:w="4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Interim Review &amp; Assessment</w:t>
            </w:r>
          </w:p>
        </w:tc>
        <w:tc>
          <w:tcPr>
            <w:tcW w:type="dxa" w:w="2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1–5 Jun 2026</w:t>
            </w:r>
          </w:p>
        </w:tc>
        <w:tc>
          <w:tcPr>
            <w:tcW w:type="dxa" w:w="16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4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Bi-weekly Journal #3</w:t>
            </w:r>
          </w:p>
        </w:tc>
        <w:tc>
          <w:tcPr>
            <w:tcW w:type="dxa" w:w="2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 13 Jul 2026</w:t>
            </w:r>
          </w:p>
        </w:tc>
        <w:tc>
          <w:tcPr>
            <w:tcW w:type="dxa" w:w="16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2.5%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4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Bi-weekly Journal #4</w:t>
            </w:r>
          </w:p>
        </w:tc>
        <w:tc>
          <w:tcPr>
            <w:tcW w:type="dxa" w:w="2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 27 Jul 2026</w:t>
            </w:r>
          </w:p>
        </w:tc>
        <w:tc>
          <w:tcPr>
            <w:tcW w:type="dxa" w:w="16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2.5%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4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Report</w:t>
            </w:r>
          </w:p>
        </w:tc>
        <w:tc>
          <w:tcPr>
            <w:tcW w:type="dxa" w:w="2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 10 Aug 2026</w:t>
            </w:r>
          </w:p>
        </w:tc>
        <w:tc>
          <w:tcPr>
            <w:tcW w:type="dxa" w:w="16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4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Assessment</w:t>
            </w:r>
          </w:p>
        </w:tc>
        <w:tc>
          <w:tcPr>
            <w:tcW w:type="dxa" w:w="2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17–19 Aug 2026</w:t>
            </w:r>
          </w:p>
        </w:tc>
        <w:tc>
          <w:tcPr>
            <w:tcW w:type="dxa" w:w="16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7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4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Presentation (panel)</w:t>
            </w:r>
          </w:p>
        </w:tc>
        <w:tc>
          <w:tcPr>
            <w:tcW w:type="dxa" w:w="2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17–19 Aug 2026</w:t>
            </w:r>
          </w:p>
        </w:tc>
        <w:tc>
          <w:tcPr>
            <w:tcW w:type="dxa" w:w="16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F66"/>
          <w:sz w:val="19"/>
          <w:szCs w:val="19"/>
        </w:rPr>
        <w:t xml:space="preserve">60% of the grade sits in the two Assessment Files (Wk 7–8 and Wk 18), filled against the quality of journals, reports, and demonstrated understanding in meetings — the journal entries are leveraged at roughly 6× their nominal weight through that impression.</w:t>
      </w:r>
    </w:p>
    <w:p>
      <w:r>
        <w:br w:type="page"/>
      </w:r>
    </w:p>
    <w:p>
      <w:pPr>
        <w:pStyle w:val="Heading1"/>
      </w:pPr>
      <w:r>
        <w:t xml:space="preserve">Top Risks to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300"/>
        <w:gridCol w:w="4260"/>
      </w:tblGrid>
      <w:tr>
        <w:trPr>
          <w:tblHeader/>
        </w:trPr>
        <w:tc>
          <w:tcPr>
            <w:tcW w:type="dxa" w:w="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2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R1</w:t>
            </w:r>
          </w:p>
        </w:tc>
        <w:tc>
          <w:tcPr>
            <w:tcW w:type="dxa" w:w="33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Solver fails Gate A by Wk 4</w:t>
            </w:r>
          </w:p>
        </w:tc>
        <w:tc>
          <w:tcPr>
            <w:tcW w:type="dxa" w:w="13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 to hand-coded Crank–Nicolson; consult Birgersson; 3-day buffer built in</w:t>
            </w:r>
          </w:p>
        </w:tc>
      </w:tr>
      <w:tr>
        <w:tc>
          <w:tcPr>
            <w:tcW w:type="dxa" w:w="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R3</w:t>
            </w:r>
          </w:p>
        </w:tc>
        <w:tc>
          <w:tcPr>
            <w:tcW w:type="dxa" w:w="33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Derivation chapter overrun → late Interim</w:t>
            </w:r>
          </w:p>
        </w:tc>
        <w:tc>
          <w:tcPr>
            <w:tcW w:type="dxa" w:w="13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42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Scope Interim to H1–H2 only; complete H3–H5 by Wk 13</w:t>
            </w:r>
          </w:p>
        </w:tc>
      </w:tr>
      <w:tr>
        <w:tc>
          <w:tcPr>
            <w:tcW w:type="dxa" w:w="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R5</w:t>
            </w:r>
          </w:p>
        </w:tc>
        <w:tc>
          <w:tcPr>
            <w:tcW w:type="dxa" w:w="33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Scope creep into 2-D / humidity / cyclic sim</w:t>
            </w:r>
          </w:p>
        </w:tc>
        <w:tc>
          <w:tcPr>
            <w:tcW w:type="dxa" w:w="13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 I §1.3 'Out of scope' is the answer; bookmark for FYP</w:t>
            </w:r>
          </w:p>
        </w:tc>
      </w:tr>
      <w:tr>
        <w:tc>
          <w:tcPr>
            <w:tcW w:type="dxa" w:w="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</w:t>
            </w:r>
          </w:p>
        </w:tc>
        <w:tc>
          <w:tcPr>
            <w:tcW w:type="dxa" w:w="33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Burnout in Wk 11–13 post term-break</w:t>
            </w:r>
          </w:p>
        </w:tc>
        <w:tc>
          <w:tcPr>
            <w:tcW w:type="dxa" w:w="13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 interaction grid to 2×3; call NP supervisor</w:t>
            </w:r>
          </w:p>
        </w:tc>
      </w:tr>
      <w:tr>
        <w:tc>
          <w:tcPr>
            <w:tcW w:type="dxa" w:w="5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R7</w:t>
            </w:r>
          </w:p>
        </w:tc>
        <w:tc>
          <w:tcPr>
            <w:tcW w:type="dxa" w:w="33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Laptop / code-loss catastrophe</w:t>
            </w:r>
          </w:p>
        </w:tc>
        <w:tc>
          <w:tcPr>
            <w:tcW w:type="dxa" w:w="13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Catastrophic</w:t>
            </w:r>
          </w:p>
        </w:tc>
        <w:tc>
          <w:tcPr>
            <w:tcW w:type="dxa" w:w="42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every commit to GitHub nightly; weekly Drive backup of .npz results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Weekly Operating Rhythm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65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</w:tr>
      <w:tr>
        <w:tc>
          <w:tcPr>
            <w:tcW w:type="dxa" w:w="1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09:00–10:30</w:t>
            </w:r>
          </w:p>
        </w:tc>
        <w:tc>
          <w:tcPr>
            <w:tcW w:type="dxa" w:w="65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 theory (Evans / LeVeque / Myers &amp; Font)</w:t>
            </w:r>
          </w:p>
        </w:tc>
      </w:tr>
      <w:tr>
        <w:tc>
          <w:tcPr>
            <w:tcW w:type="dxa" w:w="1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Tue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14:00–15:00</w:t>
            </w:r>
          </w:p>
        </w:tc>
        <w:tc>
          <w:tcPr>
            <w:tcW w:type="dxa" w:w="65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Physical-chemistry reading (Ruthven / one anchor paper)</w:t>
            </w:r>
          </w:p>
        </w:tc>
      </w:tr>
      <w:tr>
        <w:tc>
          <w:tcPr>
            <w:tcW w:type="dxa" w:w="1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Wed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10:00–12:00</w:t>
            </w:r>
          </w:p>
        </w:tc>
        <w:tc>
          <w:tcPr>
            <w:tcW w:type="dxa" w:w="65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Coding sprint — one feature or validation gate per session</w:t>
            </w:r>
          </w:p>
        </w:tc>
      </w:tr>
      <w:tr>
        <w:tc>
          <w:tcPr>
            <w:tcW w:type="dxa" w:w="1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Thu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14:00–15:00</w:t>
            </w:r>
          </w:p>
        </w:tc>
        <w:tc>
          <w:tcPr>
            <w:tcW w:type="dxa" w:w="65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Literature: read one source end-to-end; add 3 lines to the annotated bibliography</w:t>
            </w:r>
          </w:p>
        </w:tc>
      </w:tr>
      <w:tr>
        <w:tc>
          <w:tcPr>
            <w:tcW w:type="dxa" w:w="1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Fri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14:00–15:00</w:t>
            </w:r>
          </w:p>
        </w:tc>
        <w:tc>
          <w:tcPr>
            <w:tcW w:type="dxa" w:w="65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note — 400–600 words connecting the week's math to the week's code</w:t>
            </w:r>
          </w:p>
        </w:tc>
      </w:tr>
      <w:tr>
        <w:tc>
          <w:tcPr>
            <w:tcW w:type="dxa" w:w="1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 h</w:t>
            </w:r>
          </w:p>
        </w:tc>
        <w:tc>
          <w:tcPr>
            <w:tcW w:type="dxa" w:w="65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Extended coding/analysis (optional; skip without guilt during term break)</w:t>
            </w:r>
          </w:p>
        </w:tc>
      </w:tr>
      <w:tr>
        <w:tc>
          <w:tcPr>
            <w:tcW w:type="dxa" w:w="1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Sun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min</w:t>
            </w:r>
          </w:p>
        </w:tc>
        <w:tc>
          <w:tcPr>
            <w:tcW w:type="dxa" w:w="65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next week's timeline row; draft Monday's journal opening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F66"/>
          <w:sz w:val="19"/>
          <w:szCs w:val="19"/>
        </w:rPr>
        <w:t xml:space="preserve">Daily non-negotiables: 09:00 — read one page of the week's math anchor (15 min). End of day — commit code to GitHub with a meaningful message, even on non-coding days.</w:t>
      </w:r>
    </w:p>
    <w:p>
      <w:r>
        <w:br w:type="page"/>
      </w:r>
    </w:p>
    <w:p>
      <w:pPr>
        <w:pStyle w:val="Heading1"/>
      </w:pPr>
      <w:r>
        <w:t xml:space="preserve">Working Notes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Blank derivation / reading-session space for anything that doesn't fit neatly under a single paper or math-track week.</w:t>
      </w:r>
    </w:p>
    <w:p>
      <w:pPr>
        <w:pStyle w:val="Heading2"/>
      </w:pPr>
      <w:r>
        <w:t xml:space="preserve">Session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 / topic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Notes / derivation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Session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 / topic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Notes / derivation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Session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 / topic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Notes / derivation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Session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 / topic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EDF1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Notes / derivation</w:t>
            </w:r>
          </w:p>
        </w:tc>
        <w:tc>
          <w:tcPr>
            <w:tcW w:type="dxa" w:w="71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6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80"/>
            </w:tblGrid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6880"/>
                  <w:tcBorders>
                    <w:top w:val="none" w:color="FFFFFF" w:sz="0"/>
                    <w:left w:val="none" w:color="FFFFFF" w:sz="0"/>
                    <w:bottom w:val="single" w:color="B7BC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A5F66"/>
        <w:sz w:val="16"/>
        <w:szCs w:val="16"/>
      </w:rPr>
      <w:t xml:space="preserve">Loh John Ray — ES Design Project</w:t>
    </w:r>
    <w:r>
      <w:rPr>
        <w:rFonts w:ascii="Arial" w:cs="Arial" w:eastAsia="Arial" w:hAnsi="Arial"/>
        <w:color w:val="5A5F66"/>
        <w:sz w:val="16"/>
        <w:szCs w:val="16"/>
      </w:rPr>
      <w:t xml:space="preserve">	Page </w:t>
    </w:r>
    <w:r>
      <w:rPr>
        <w:rFonts w:ascii="Arial" w:cs="Arial" w:eastAsia="Arial" w:hAnsi="Arial"/>
        <w:color w:val="5A5F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 w:space="4"/>
      </w:pBdr>
      <w:jc w:val="right"/>
    </w:pPr>
    <w:r>
      <w:rPr>
        <w:rFonts w:ascii="Arial" w:cs="Arial" w:eastAsia="Arial" w:hAnsi="Arial"/>
        <w:color w:val="5A5F66"/>
        <w:sz w:val="16"/>
        <w:szCs w:val="16"/>
      </w:rPr>
      <w:t xml:space="preserve">CO₂ Adsorption Breakthrough — Research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2B" w:sz="8" w:space="6"/>
      </w:pBdr>
      <w:spacing w:after="220" w:before="28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B2A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2026-07-01T08:15:21.687Z</dcterms:created>
  <dcterms:modified xsi:type="dcterms:W3CDTF">2026-07-01T08:15:21.687Z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