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whk3atd5401o" w:id="0"/>
      <w:bookmarkEnd w:id="0"/>
      <w:r w:rsidDel="00000000" w:rsidR="00000000" w:rsidRPr="00000000">
        <w:rPr>
          <w:sz w:val="24"/>
          <w:szCs w:val="24"/>
          <w:rtl w:val="0"/>
        </w:rPr>
        <w:t xml:space="preserve">Groupe 2</w:t>
        <w:tab/>
        <w:tab/>
        <w:tab/>
        <w:tab/>
        <w:tab/>
        <w:tab/>
        <w:tab/>
        <w:tab/>
        <w:tab/>
        <w:t xml:space="preserve">23/01/2026</w:t>
      </w:r>
    </w:p>
    <w:p w:rsidR="00000000" w:rsidDel="00000000" w:rsidP="00000000" w:rsidRDefault="00000000" w:rsidRPr="00000000" w14:paraId="00000002">
      <w:pPr>
        <w:rPr/>
      </w:pPr>
      <w:r w:rsidDel="00000000" w:rsidR="00000000" w:rsidRPr="00000000">
        <w:rPr>
          <w:rtl w:val="0"/>
        </w:rPr>
        <w:t xml:space="preserve">RAHMANI Ibrahim</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VINCENT-VACLE Léon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COTTE Loïc</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b w:val="1"/>
          <w:bCs w:val="1"/>
          <w:sz w:val="46"/>
          <w:szCs w:val="46"/>
        </w:rPr>
      </w:pPr>
      <w:bookmarkStart w:colFirst="0" w:colLast="0" w:name="_vouwaifbphe0" w:id="1"/>
      <w:bookmarkEnd w:id="1"/>
      <w:r w:rsidDel="00000000" w:rsidR="00000000" w:rsidRPr="00000000">
        <w:rPr>
          <w:b w:val="1"/>
          <w:bCs w:val="1"/>
          <w:sz w:val="46"/>
          <w:szCs w:val="46"/>
          <w:rtl w:val="0"/>
        </w:rPr>
        <w:t xml:space="preserve">Note de Synthèse : Développement de la WebApp MES4.0 pour T'ÉLÉFAN</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Pr>
        <w:drawing>
          <wp:inline distB="114300" distT="114300" distL="114300" distR="114300">
            <wp:extent cx="1543050" cy="1609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43050" cy="1609725"/>
                    </a:xfrm>
                    <a:prstGeom prst="rect"/>
                    <a:ln/>
                  </pic:spPr>
                </pic:pic>
              </a:graphicData>
            </a:graphic>
          </wp:inline>
        </w:drawing>
      </w:r>
      <w:r w:rsidDel="00000000" w:rsidR="00000000" w:rsidRPr="00000000">
        <w:rPr>
          <w:b w:val="1"/>
          <w:bCs w:val="1"/>
        </w:rPr>
        <w:drawing>
          <wp:inline distB="114300" distT="114300" distL="114300" distR="114300">
            <wp:extent cx="1700213" cy="17002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0213"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jc w:val="center"/>
        <w:rPr>
          <w:b w:val="1"/>
          <w:bCs w:val="1"/>
          <w:sz w:val="46"/>
          <w:szCs w:val="46"/>
        </w:rPr>
      </w:pPr>
      <w:r w:rsidDel="00000000" w:rsidR="00000000" w:rsidRPr="00000000">
        <w:rPr>
          <w:b w:val="1"/>
          <w:bCs w:val="1"/>
          <w:sz w:val="46"/>
          <w:szCs w:val="46"/>
          <w:rtl w:val="0"/>
        </w:rPr>
        <w:t xml:space="preserve">Sommaire</w:t>
      </w:r>
    </w:p>
    <w:p w:rsidR="00000000" w:rsidDel="00000000" w:rsidP="00000000" w:rsidRDefault="00000000" w:rsidRPr="00000000" w14:paraId="00000017">
      <w:pPr>
        <w:spacing w:after="240" w:before="240" w:lineRule="auto"/>
        <w:jc w:val="center"/>
        <w:rPr>
          <w:b w:val="1"/>
          <w:bCs w:val="1"/>
          <w:sz w:val="46"/>
          <w:szCs w:val="46"/>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sz w:val="46"/>
          <w:szCs w:val="46"/>
        </w:rPr>
      </w:pPr>
      <w:r w:rsidDel="00000000" w:rsidR="00000000" w:rsidRPr="00000000">
        <w:rPr>
          <w:rtl w:val="0"/>
        </w:rPr>
      </w:r>
    </w:p>
    <w:p w:rsidR="00000000" w:rsidDel="00000000" w:rsidP="00000000" w:rsidRDefault="00000000" w:rsidRPr="00000000" w14:paraId="00000019">
      <w:pPr>
        <w:numPr>
          <w:ilvl w:val="0"/>
          <w:numId w:val="1"/>
        </w:numPr>
        <w:spacing w:after="240" w:before="240" w:lineRule="auto"/>
        <w:ind w:left="720" w:hanging="360"/>
        <w:rPr>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1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B">
      <w:pPr>
        <w:numPr>
          <w:ilvl w:val="0"/>
          <w:numId w:val="1"/>
        </w:numPr>
        <w:spacing w:after="240" w:before="240" w:lineRule="auto"/>
        <w:ind w:left="720" w:hanging="360"/>
        <w:rPr>
          <w:sz w:val="32"/>
          <w:szCs w:val="32"/>
        </w:rPr>
      </w:pPr>
      <w:r w:rsidDel="00000000" w:rsidR="00000000" w:rsidRPr="00000000">
        <w:rPr>
          <w:b w:val="1"/>
          <w:bCs w:val="1"/>
          <w:sz w:val="32"/>
          <w:szCs w:val="32"/>
          <w:rtl w:val="0"/>
        </w:rPr>
        <w:t xml:space="preserve">Architecture et Environnement Logiciel</w:t>
      </w:r>
    </w:p>
    <w:p w:rsidR="00000000" w:rsidDel="00000000" w:rsidP="00000000" w:rsidRDefault="00000000" w:rsidRPr="00000000" w14:paraId="0000001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D">
      <w:pPr>
        <w:numPr>
          <w:ilvl w:val="0"/>
          <w:numId w:val="1"/>
        </w:numPr>
        <w:spacing w:after="240" w:before="240" w:lineRule="auto"/>
        <w:ind w:left="720" w:hanging="360"/>
        <w:rPr>
          <w:sz w:val="32"/>
          <w:szCs w:val="32"/>
        </w:rPr>
      </w:pPr>
      <w:r w:rsidDel="00000000" w:rsidR="00000000" w:rsidRPr="00000000">
        <w:rPr>
          <w:b w:val="1"/>
          <w:bCs w:val="1"/>
          <w:sz w:val="32"/>
          <w:szCs w:val="32"/>
          <w:rtl w:val="0"/>
        </w:rPr>
        <w:t xml:space="preserve">Calcul et Pilotage des Indicateurs (KPI)</w:t>
      </w:r>
    </w:p>
    <w:p w:rsidR="00000000" w:rsidDel="00000000" w:rsidP="00000000" w:rsidRDefault="00000000" w:rsidRPr="00000000" w14:paraId="0000001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rPr>
          <w:sz w:val="32"/>
          <w:szCs w:val="32"/>
        </w:rPr>
      </w:pPr>
      <w:r w:rsidDel="00000000" w:rsidR="00000000" w:rsidRPr="00000000">
        <w:rPr>
          <w:b w:val="1"/>
          <w:bCs w:val="1"/>
          <w:sz w:val="32"/>
          <w:szCs w:val="32"/>
          <w:rtl w:val="0"/>
        </w:rPr>
        <w:t xml:space="preserve">Fonctionnalités et Ergonomie de l’Interface</w:t>
      </w:r>
    </w:p>
    <w:p w:rsidR="00000000" w:rsidDel="00000000" w:rsidP="00000000" w:rsidRDefault="00000000" w:rsidRPr="00000000" w14:paraId="0000002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rPr>
          <w:sz w:val="32"/>
          <w:szCs w:val="32"/>
        </w:rPr>
      </w:pPr>
      <w:r w:rsidDel="00000000" w:rsidR="00000000" w:rsidRPr="00000000">
        <w:rPr>
          <w:b w:val="1"/>
          <w:bCs w:val="1"/>
          <w:sz w:val="32"/>
          <w:szCs w:val="32"/>
          <w:rtl w:val="0"/>
        </w:rPr>
        <w:t xml:space="preserve">Sécurisation et Gestion des Accès</w:t>
      </w:r>
    </w:p>
    <w:p w:rsidR="00000000" w:rsidDel="00000000" w:rsidP="00000000" w:rsidRDefault="00000000" w:rsidRPr="00000000" w14:paraId="0000002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23">
      <w:pPr>
        <w:numPr>
          <w:ilvl w:val="0"/>
          <w:numId w:val="1"/>
        </w:numPr>
        <w:spacing w:after="240" w:before="240" w:lineRule="auto"/>
        <w:ind w:left="720" w:hanging="360"/>
        <w:rPr>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rPr>
      </w:pPr>
      <w:bookmarkStart w:colFirst="0" w:colLast="0" w:name="_o7x139fphn6l" w:id="2"/>
      <w:bookmarkEnd w:id="2"/>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rPr>
      </w:pPr>
      <w:bookmarkStart w:colFirst="0" w:colLast="0" w:name="_kjyccfraguay" w:id="3"/>
      <w:bookmarkEnd w:id="3"/>
      <w:r w:rsidDel="00000000" w:rsidR="00000000" w:rsidRPr="00000000">
        <w:rPr>
          <w:b w:val="1"/>
          <w:bCs w:val="1"/>
          <w:color w:val="000000"/>
          <w:rtl w:val="0"/>
        </w:rPr>
        <w:t xml:space="preserve">1</w:t>
      </w:r>
      <w:r w:rsidDel="00000000" w:rsidR="00000000" w:rsidRPr="00000000">
        <w:rPr>
          <w:b w:val="1"/>
          <w:bCs w:val="1"/>
          <w:color w:val="000000"/>
          <w:rtl w:val="0"/>
        </w:rPr>
        <w:t xml:space="preserve">. Introduction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360" w:lineRule="auto"/>
        <w:rPr>
          <w:color w:val="1f1f1f"/>
          <w:sz w:val="24"/>
          <w:szCs w:val="24"/>
          <w:highlight w:val="white"/>
        </w:rPr>
      </w:pPr>
      <w:r w:rsidDel="00000000" w:rsidR="00000000" w:rsidRPr="00000000">
        <w:rPr>
          <w:color w:val="1f1f1f"/>
          <w:sz w:val="24"/>
          <w:szCs w:val="24"/>
          <w:highlight w:val="white"/>
          <w:rtl w:val="0"/>
        </w:rPr>
        <w:t xml:space="preserve">L’entreprise T’ÉLÉFAN, fabricant français de smartphones durables, a concrétisé son engagement dans l'Industrie 4.0 par l'acquisition d'une ligne de production semi-automatisée FESTO. Dans ce contexte, le projet MES4.0 a été lancé pour répondre à l'objectif principal de concevoir et de développer un </w:t>
      </w:r>
      <w:r w:rsidDel="00000000" w:rsidR="00000000" w:rsidRPr="00000000">
        <w:rPr>
          <w:b w:val="1"/>
          <w:bCs w:val="1"/>
          <w:color w:val="1f1f1f"/>
          <w:sz w:val="24"/>
          <w:szCs w:val="24"/>
          <w:highlight w:val="white"/>
          <w:rtl w:val="0"/>
        </w:rPr>
        <w:t xml:space="preserve">système de supervision et d'analyse de la performance en temps réel</w:t>
      </w:r>
      <w:r w:rsidDel="00000000" w:rsidR="00000000" w:rsidRPr="00000000">
        <w:rPr>
          <w:color w:val="1f1f1f"/>
          <w:sz w:val="24"/>
          <w:szCs w:val="24"/>
          <w:highlight w:val="white"/>
          <w:rtl w:val="0"/>
        </w:rPr>
        <w:t xml:space="preserve">, prenant la forme d'un tableau de bord MES (Manufacturing Execution System). Cet outil stratégique aura pour objectif principal de collecter les données de production, d'en assurer la traçabilité et de fournir des Indicateurs Clés de Performance (KPI) pour le pilotage. Il doit offrir une visualisation claire des performances et de l'état de la production, incluant le suivi de la qualité, de la productivité, de la maintenance et de la logistique interne, afin d'aider les opérateurs et responsables à identifier rapidement les points de blocage et à prendre des décisions fondées sur des données fiables. Ce projet vise également à renforcer la culture d'amélioration continue au sein de l'entreprise, en cohérence avec les référentiels comme ISO 9001:2015.</w:t>
      </w:r>
    </w:p>
    <w:p w:rsidR="00000000" w:rsidDel="00000000" w:rsidP="00000000" w:rsidRDefault="00000000" w:rsidRPr="00000000" w14:paraId="00000033">
      <w:pPr>
        <w:spacing w:after="240" w:before="240" w:line="360" w:lineRule="auto"/>
        <w:rPr>
          <w:color w:val="1f1f1f"/>
          <w:sz w:val="21"/>
          <w:szCs w:val="21"/>
          <w:highlight w:val="white"/>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rPr>
      </w:pPr>
      <w:bookmarkStart w:colFirst="0" w:colLast="0" w:name="_eb37hc1ud7m9" w:id="4"/>
      <w:bookmarkEnd w:id="4"/>
      <w:r w:rsidDel="00000000" w:rsidR="00000000" w:rsidRPr="00000000">
        <w:rPr>
          <w:b w:val="1"/>
          <w:bCs w:val="1"/>
          <w:color w:val="000000"/>
          <w:rtl w:val="0"/>
        </w:rPr>
        <w:t xml:space="preserve">2. Architecture et Environnement Logiciel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Le développement de l'application MES4.0 a été délibérément fondé sur une </w:t>
      </w:r>
      <w:r w:rsidDel="00000000" w:rsidR="00000000" w:rsidRPr="00000000">
        <w:rPr>
          <w:b w:val="1"/>
          <w:bCs w:val="1"/>
          <w:color w:val="1f1f1f"/>
          <w:sz w:val="24"/>
          <w:szCs w:val="24"/>
          <w:highlight w:val="white"/>
          <w:rtl w:val="0"/>
        </w:rPr>
        <w:t xml:space="preserve">architecture simple, ouverte et robuste</w:t>
      </w:r>
      <w:r w:rsidDel="00000000" w:rsidR="00000000" w:rsidRPr="00000000">
        <w:rPr>
          <w:color w:val="1f1f1f"/>
          <w:sz w:val="24"/>
          <w:szCs w:val="24"/>
          <w:highlight w:val="white"/>
          <w:rtl w:val="0"/>
        </w:rPr>
        <w:t xml:space="preserve">, en adéquation avec les exigences techniques définies au sein du Cahier des Charges. Le langage principal retenu est </w:t>
      </w:r>
      <w:r w:rsidDel="00000000" w:rsidR="00000000" w:rsidRPr="00000000">
        <w:rPr>
          <w:b w:val="1"/>
          <w:bCs w:val="1"/>
          <w:color w:val="1f1f1f"/>
          <w:sz w:val="24"/>
          <w:szCs w:val="24"/>
          <w:highlight w:val="white"/>
          <w:rtl w:val="0"/>
        </w:rPr>
        <w:t xml:space="preserve">Python</w:t>
      </w:r>
      <w:r w:rsidDel="00000000" w:rsidR="00000000" w:rsidRPr="00000000">
        <w:rPr>
          <w:color w:val="1f1f1f"/>
          <w:sz w:val="24"/>
          <w:szCs w:val="24"/>
          <w:highlight w:val="white"/>
          <w:rtl w:val="0"/>
        </w:rPr>
        <w:t xml:space="preserve">, dont la souplesse et la richesse de l'écosystème sont idéales pour le traitement des données industrielles, tout en assurant, via le framework </w:t>
      </w:r>
      <w:r w:rsidDel="00000000" w:rsidR="00000000" w:rsidRPr="00000000">
        <w:rPr>
          <w:b w:val="1"/>
          <w:bCs w:val="1"/>
          <w:color w:val="1f1f1f"/>
          <w:sz w:val="24"/>
          <w:szCs w:val="24"/>
          <w:highlight w:val="white"/>
          <w:rtl w:val="0"/>
        </w:rPr>
        <w:t xml:space="preserve">Flask</w:t>
      </w:r>
      <w:r w:rsidDel="00000000" w:rsidR="00000000" w:rsidRPr="00000000">
        <w:rPr>
          <w:color w:val="1f1f1f"/>
          <w:sz w:val="24"/>
          <w:szCs w:val="24"/>
          <w:highlight w:val="white"/>
          <w:rtl w:val="0"/>
        </w:rPr>
        <w:t xml:space="preserve">, la création d'une interface graphique légère et performante. Ce choix technologique permet de répondre à la demande d'une architecture peu complexe, tout en garantissant l'interfaçage aisé avec les outils d'analyse. Pour la gestion des informations, la base de données retenue est </w:t>
      </w:r>
      <w:r w:rsidDel="00000000" w:rsidR="00000000" w:rsidRPr="00000000">
        <w:rPr>
          <w:b w:val="1"/>
          <w:bCs w:val="1"/>
          <w:color w:val="1f1f1f"/>
          <w:sz w:val="24"/>
          <w:szCs w:val="24"/>
          <w:highlight w:val="white"/>
          <w:rtl w:val="0"/>
        </w:rPr>
        <w:t xml:space="preserve">MariaDB</w:t>
      </w:r>
      <w:r w:rsidDel="00000000" w:rsidR="00000000" w:rsidRPr="00000000">
        <w:rPr>
          <w:color w:val="1f1f1f"/>
          <w:sz w:val="24"/>
          <w:szCs w:val="24"/>
          <w:highlight w:val="white"/>
          <w:rtl w:val="0"/>
        </w:rPr>
        <w:t xml:space="preserve">, car c'est la structure de données déjà fournie pour le projet, dont le script SQL initial (</w:t>
      </w:r>
      <w:r w:rsidDel="00000000" w:rsidR="00000000" w:rsidRPr="00000000">
        <w:rPr>
          <w:i w:val="1"/>
          <w:iCs w:val="1"/>
          <w:color w:val="1f1f1f"/>
          <w:sz w:val="24"/>
          <w:szCs w:val="24"/>
          <w:highlight w:val="white"/>
          <w:rtl w:val="0"/>
        </w:rPr>
        <w:t xml:space="preserve">FestoMES-aaaa-mm-jj.sql</w:t>
      </w:r>
      <w:r w:rsidDel="00000000" w:rsidR="00000000" w:rsidRPr="00000000">
        <w:rPr>
          <w:color w:val="1f1f1f"/>
          <w:sz w:val="24"/>
          <w:szCs w:val="24"/>
          <w:highlight w:val="white"/>
          <w:rtl w:val="0"/>
        </w:rPr>
        <w:t xml:space="preserve">) sera utilisé. Pour optimiser le déploiement et la portabilité de l'ensemble, MariaDB sera encapsulée dans un conteneur </w:t>
      </w:r>
      <w:r w:rsidDel="00000000" w:rsidR="00000000" w:rsidRPr="00000000">
        <w:rPr>
          <w:b w:val="1"/>
          <w:bCs w:val="1"/>
          <w:color w:val="1f1f1f"/>
          <w:sz w:val="24"/>
          <w:szCs w:val="24"/>
          <w:highlight w:val="white"/>
          <w:rtl w:val="0"/>
        </w:rPr>
        <w:t xml:space="preserve">Docker</w:t>
      </w:r>
      <w:r w:rsidDel="00000000" w:rsidR="00000000" w:rsidRPr="00000000">
        <w:rPr>
          <w:color w:val="1f1f1f"/>
          <w:sz w:val="24"/>
          <w:szCs w:val="24"/>
          <w:highlight w:val="white"/>
          <w:rtl w:val="0"/>
        </w:rPr>
        <w:t xml:space="preserve">, une exigence claire du projet. Enfin, l'application Web sera explicitement compatible avec les environnements </w:t>
      </w:r>
      <w:r w:rsidDel="00000000" w:rsidR="00000000" w:rsidRPr="00000000">
        <w:rPr>
          <w:b w:val="1"/>
          <w:bCs w:val="1"/>
          <w:color w:val="1f1f1f"/>
          <w:sz w:val="24"/>
          <w:szCs w:val="24"/>
          <w:highlight w:val="white"/>
          <w:rtl w:val="0"/>
        </w:rPr>
        <w:t xml:space="preserve">Windows 11 et supérieurs</w:t>
      </w:r>
      <w:r w:rsidDel="00000000" w:rsidR="00000000" w:rsidRPr="00000000">
        <w:rPr>
          <w:color w:val="1f1f1f"/>
          <w:sz w:val="24"/>
          <w:szCs w:val="24"/>
          <w:highlight w:val="white"/>
          <w:rtl w:val="0"/>
        </w:rPr>
        <w:t xml:space="preserve"> et accessible via les navigateurs de référence tels que </w:t>
      </w:r>
      <w:r w:rsidDel="00000000" w:rsidR="00000000" w:rsidRPr="00000000">
        <w:rPr>
          <w:b w:val="1"/>
          <w:bCs w:val="1"/>
          <w:color w:val="1f1f1f"/>
          <w:sz w:val="24"/>
          <w:szCs w:val="24"/>
          <w:highlight w:val="white"/>
          <w:rtl w:val="0"/>
        </w:rPr>
        <w:t xml:space="preserve">Google Chrome</w:t>
      </w:r>
      <w:r w:rsidDel="00000000" w:rsidR="00000000" w:rsidRPr="00000000">
        <w:rPr>
          <w:color w:val="1f1f1f"/>
          <w:sz w:val="24"/>
          <w:szCs w:val="24"/>
          <w:highlight w:val="white"/>
          <w:rtl w:val="0"/>
        </w:rPr>
        <w:t xml:space="preserve"> et </w:t>
      </w:r>
      <w:r w:rsidDel="00000000" w:rsidR="00000000" w:rsidRPr="00000000">
        <w:rPr>
          <w:b w:val="1"/>
          <w:bCs w:val="1"/>
          <w:color w:val="1f1f1f"/>
          <w:sz w:val="24"/>
          <w:szCs w:val="24"/>
          <w:highlight w:val="white"/>
          <w:rtl w:val="0"/>
        </w:rPr>
        <w:t xml:space="preserve">Microsoft Edge</w:t>
      </w:r>
      <w:r w:rsidDel="00000000" w:rsidR="00000000" w:rsidRPr="00000000">
        <w:rPr>
          <w:color w:val="1f1f1f"/>
          <w:sz w:val="24"/>
          <w:szCs w:val="24"/>
          <w:highlight w:val="white"/>
          <w:rtl w:val="0"/>
        </w:rPr>
        <w:t xml:space="preserve">, conformément aux standards de l'environnement de production T'ÉLÉFAN.</w:t>
      </w:r>
      <w:r w:rsidDel="00000000" w:rsidR="00000000" w:rsidRPr="00000000">
        <w:rPr>
          <w:rtl w:val="0"/>
        </w:rPr>
      </w:r>
    </w:p>
    <w:p w:rsidR="00000000" w:rsidDel="00000000" w:rsidP="00000000" w:rsidRDefault="00000000" w:rsidRPr="00000000" w14:paraId="00000037">
      <w:pPr>
        <w:spacing w:after="240" w:before="240" w:line="36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wd238xv4v80b" w:id="5"/>
      <w:bookmarkEnd w:id="5"/>
      <w:r w:rsidDel="00000000" w:rsidR="00000000" w:rsidRPr="00000000">
        <w:rPr>
          <w:b w:val="1"/>
          <w:bCs w:val="1"/>
          <w:color w:val="000000"/>
          <w:sz w:val="26"/>
          <w:szCs w:val="26"/>
          <w:rtl w:val="0"/>
        </w:rPr>
        <w:t xml:space="preserve">3. Calcul et Pilotage des Indicateurs (KPI)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360" w:lineRule="auto"/>
        <w:rPr>
          <w:color w:val="1f1f1f"/>
          <w:sz w:val="24"/>
          <w:szCs w:val="24"/>
          <w:highlight w:val="white"/>
        </w:rPr>
      </w:pPr>
      <w:r w:rsidDel="00000000" w:rsidR="00000000" w:rsidRPr="00000000">
        <w:rPr>
          <w:color w:val="1f1f1f"/>
          <w:sz w:val="24"/>
          <w:szCs w:val="24"/>
          <w:highlight w:val="white"/>
          <w:rtl w:val="0"/>
        </w:rPr>
        <w:t xml:space="preserve">La finalité du projet réside dans le </w:t>
      </w:r>
      <w:r w:rsidDel="00000000" w:rsidR="00000000" w:rsidRPr="00000000">
        <w:rPr>
          <w:b w:val="1"/>
          <w:bCs w:val="1"/>
          <w:color w:val="1f1f1f"/>
          <w:sz w:val="24"/>
          <w:szCs w:val="24"/>
          <w:highlight w:val="white"/>
          <w:rtl w:val="0"/>
        </w:rPr>
        <w:t xml:space="preserve">Calcul et le Pilotage des Indicateurs Clés de Performance (KPI)</w:t>
      </w:r>
      <w:r w:rsidDel="00000000" w:rsidR="00000000" w:rsidRPr="00000000">
        <w:rPr>
          <w:color w:val="1f1f1f"/>
          <w:sz w:val="24"/>
          <w:szCs w:val="24"/>
          <w:highlight w:val="white"/>
          <w:rtl w:val="0"/>
        </w:rPr>
        <w:t xml:space="preserve">, qui constituent l'axe central du système décisionnel. Le Cahier des Charges impose l'implémentation d'un minimum de </w:t>
      </w:r>
      <w:r w:rsidDel="00000000" w:rsidR="00000000" w:rsidRPr="00000000">
        <w:rPr>
          <w:b w:val="1"/>
          <w:bCs w:val="1"/>
          <w:color w:val="1f1f1f"/>
          <w:sz w:val="24"/>
          <w:szCs w:val="24"/>
          <w:highlight w:val="white"/>
          <w:rtl w:val="0"/>
        </w:rPr>
        <w:t xml:space="preserve">douze indicateurs obligatoires</w:t>
      </w:r>
      <w:r w:rsidDel="00000000" w:rsidR="00000000" w:rsidRPr="00000000">
        <w:rPr>
          <w:color w:val="1f1f1f"/>
          <w:sz w:val="24"/>
          <w:szCs w:val="24"/>
          <w:highlight w:val="white"/>
          <w:rtl w:val="0"/>
        </w:rPr>
        <w:t xml:space="preserve">, répartis rigoureusement en cinq catégories stratégiques : </w:t>
      </w:r>
      <w:r w:rsidDel="00000000" w:rsidR="00000000" w:rsidRPr="00000000">
        <w:rPr>
          <w:b w:val="1"/>
          <w:bCs w:val="1"/>
          <w:color w:val="1f1f1f"/>
          <w:sz w:val="24"/>
          <w:szCs w:val="24"/>
          <w:highlight w:val="white"/>
          <w:rtl w:val="0"/>
        </w:rPr>
        <w:t xml:space="preserve">Performance</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Qualité</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Énergie</w:t>
      </w:r>
      <w:r w:rsidDel="00000000" w:rsidR="00000000" w:rsidRPr="00000000">
        <w:rPr>
          <w:color w:val="1f1f1f"/>
          <w:sz w:val="24"/>
          <w:szCs w:val="24"/>
          <w:highlight w:val="white"/>
          <w:rtl w:val="0"/>
        </w:rPr>
        <w:t xml:space="preserve">, </w:t>
      </w:r>
      <w:r w:rsidDel="00000000" w:rsidR="00000000" w:rsidRPr="00000000">
        <w:rPr>
          <w:b w:val="1"/>
          <w:bCs w:val="1"/>
          <w:color w:val="1f1f1f"/>
          <w:sz w:val="24"/>
          <w:szCs w:val="24"/>
          <w:highlight w:val="white"/>
          <w:rtl w:val="0"/>
        </w:rPr>
        <w:t xml:space="preserve">Stock</w:t>
      </w:r>
      <w:r w:rsidDel="00000000" w:rsidR="00000000" w:rsidRPr="00000000">
        <w:rPr>
          <w:color w:val="1f1f1f"/>
          <w:sz w:val="24"/>
          <w:szCs w:val="24"/>
          <w:highlight w:val="white"/>
          <w:rtl w:val="0"/>
        </w:rPr>
        <w:t xml:space="preserve"> et </w:t>
      </w:r>
      <w:r w:rsidDel="00000000" w:rsidR="00000000" w:rsidRPr="00000000">
        <w:rPr>
          <w:b w:val="1"/>
          <w:bCs w:val="1"/>
          <w:color w:val="1f1f1f"/>
          <w:sz w:val="24"/>
          <w:szCs w:val="24"/>
          <w:highlight w:val="white"/>
          <w:rtl w:val="0"/>
        </w:rPr>
        <w:t xml:space="preserve">Délai</w:t>
      </w:r>
      <w:r w:rsidDel="00000000" w:rsidR="00000000" w:rsidRPr="00000000">
        <w:rPr>
          <w:color w:val="1f1f1f"/>
          <w:sz w:val="24"/>
          <w:szCs w:val="24"/>
          <w:highlight w:val="white"/>
          <w:rtl w:val="0"/>
        </w:rPr>
        <w:t xml:space="preserve">. Cette structure thématique permet une vision complète de l'efficacité de la ligne FESTO.</w:t>
      </w:r>
    </w:p>
    <w:p w:rsidR="00000000" w:rsidDel="00000000" w:rsidP="00000000" w:rsidRDefault="00000000" w:rsidRPr="00000000" w14:paraId="0000003B">
      <w:pPr>
        <w:spacing w:after="240" w:before="240" w:line="360" w:lineRule="auto"/>
        <w:rPr>
          <w:color w:val="1f1f1f"/>
          <w:sz w:val="24"/>
          <w:szCs w:val="24"/>
          <w:highlight w:val="white"/>
        </w:rPr>
      </w:pPr>
      <w:r w:rsidDel="00000000" w:rsidR="00000000" w:rsidRPr="00000000">
        <w:rPr>
          <w:color w:val="1f1f1f"/>
          <w:sz w:val="24"/>
          <w:szCs w:val="24"/>
          <w:highlight w:val="white"/>
          <w:rtl w:val="0"/>
        </w:rPr>
        <w:t xml:space="preserve">Chaque KPI est conçu comme un levier de pilotage pour les responsables, et pour garantir la justesse et la conformité des résultats, son calcul sera fondé sur les tables et champs précis de la base MariaDB (comme </w:t>
      </w:r>
      <w:r w:rsidDel="00000000" w:rsidR="00000000" w:rsidRPr="00000000">
        <w:rPr>
          <w:i w:val="1"/>
          <w:iCs w:val="1"/>
          <w:color w:val="1f1f1f"/>
          <w:sz w:val="24"/>
          <w:szCs w:val="24"/>
          <w:highlight w:val="white"/>
          <w:rtl w:val="0"/>
        </w:rPr>
        <w:t xml:space="preserve">tblmachinereport</w:t>
      </w:r>
      <w:r w:rsidDel="00000000" w:rsidR="00000000" w:rsidRPr="00000000">
        <w:rPr>
          <w:color w:val="1f1f1f"/>
          <w:sz w:val="24"/>
          <w:szCs w:val="24"/>
          <w:highlight w:val="white"/>
          <w:rtl w:val="0"/>
        </w:rPr>
        <w:t xml:space="preserve"> ou </w:t>
      </w:r>
      <w:r w:rsidDel="00000000" w:rsidR="00000000" w:rsidRPr="00000000">
        <w:rPr>
          <w:i w:val="1"/>
          <w:iCs w:val="1"/>
          <w:color w:val="1f1f1f"/>
          <w:sz w:val="24"/>
          <w:szCs w:val="24"/>
          <w:highlight w:val="white"/>
          <w:rtl w:val="0"/>
        </w:rPr>
        <w:t xml:space="preserve">tblfinorderpos</w:t>
      </w:r>
      <w:r w:rsidDel="00000000" w:rsidR="00000000" w:rsidRPr="00000000">
        <w:rPr>
          <w:color w:val="1f1f1f"/>
          <w:sz w:val="24"/>
          <w:szCs w:val="24"/>
          <w:highlight w:val="white"/>
          <w:rtl w:val="0"/>
        </w:rPr>
        <w:t xml:space="preserve">) détaillés dans les spécifications fonctionnelles. Cette obligation de lier le calcul aux tables exactes assure la cohérence des données.</w:t>
      </w:r>
    </w:p>
    <w:p w:rsidR="00000000" w:rsidDel="00000000" w:rsidP="00000000" w:rsidRDefault="00000000" w:rsidRPr="00000000" w14:paraId="0000003C">
      <w:pPr>
        <w:spacing w:after="240" w:before="240" w:line="360" w:lineRule="auto"/>
        <w:rPr>
          <w:color w:val="1f1f1f"/>
          <w:sz w:val="24"/>
          <w:szCs w:val="24"/>
          <w:highlight w:val="white"/>
        </w:rPr>
      </w:pPr>
      <w:r w:rsidDel="00000000" w:rsidR="00000000" w:rsidRPr="00000000">
        <w:rPr>
          <w:color w:val="1f1f1f"/>
          <w:sz w:val="24"/>
          <w:szCs w:val="24"/>
          <w:highlight w:val="white"/>
          <w:rtl w:val="0"/>
        </w:rPr>
        <w:t xml:space="preserve">Enfin, pour garantir une réactivité opérationnelle immédiate, l'application intégrera systématiquement un </w:t>
      </w:r>
      <w:r w:rsidDel="00000000" w:rsidR="00000000" w:rsidRPr="00000000">
        <w:rPr>
          <w:b w:val="1"/>
          <w:bCs w:val="1"/>
          <w:color w:val="1f1f1f"/>
          <w:sz w:val="24"/>
          <w:szCs w:val="24"/>
          <w:highlight w:val="white"/>
          <w:rtl w:val="0"/>
        </w:rPr>
        <w:t xml:space="preserve">système d'alerte visuelle</w:t>
      </w:r>
      <w:r w:rsidDel="00000000" w:rsidR="00000000" w:rsidRPr="00000000">
        <w:rPr>
          <w:color w:val="1f1f1f"/>
          <w:sz w:val="24"/>
          <w:szCs w:val="24"/>
          <w:highlight w:val="white"/>
          <w:rtl w:val="0"/>
        </w:rPr>
        <w:t xml:space="preserve">, comme exigé, qui se déclenche automatiquement dès qu'un indicateur dépassera les seuils ou les dérives pré-définis. Ces alertes, basées par exemple sur un OEE inférieur à 85% ou un Taux de non-conformité excédant 2%, permettent d'identifier sans délai les points de blocage ou les pertes d'efficacité en production.</w:t>
      </w:r>
      <w:r w:rsidDel="00000000" w:rsidR="00000000" w:rsidRPr="00000000">
        <w:rPr>
          <w:rtl w:val="0"/>
        </w:rPr>
      </w:r>
    </w:p>
    <w:p w:rsidR="00000000" w:rsidDel="00000000" w:rsidP="00000000" w:rsidRDefault="00000000" w:rsidRPr="00000000" w14:paraId="0000003D">
      <w:pPr>
        <w:spacing w:after="240" w:before="240" w:line="360" w:lineRule="auto"/>
        <w:rPr>
          <w:color w:val="1f1f1f"/>
          <w:sz w:val="24"/>
          <w:szCs w:val="24"/>
          <w:highlight w:val="white"/>
        </w:rPr>
      </w:pPr>
      <w:r w:rsidDel="00000000" w:rsidR="00000000" w:rsidRPr="00000000">
        <w:rPr>
          <w:rtl w:val="0"/>
        </w:rPr>
      </w:r>
    </w:p>
    <w:p w:rsidR="00000000" w:rsidDel="00000000" w:rsidP="00000000" w:rsidRDefault="00000000" w:rsidRPr="00000000" w14:paraId="0000003E">
      <w:pPr>
        <w:spacing w:after="240" w:before="240" w:line="360" w:lineRule="auto"/>
        <w:rPr>
          <w:color w:val="1f1f1f"/>
          <w:sz w:val="24"/>
          <w:szCs w:val="24"/>
          <w:highlight w:val="white"/>
        </w:rPr>
      </w:pPr>
      <w:r w:rsidDel="00000000" w:rsidR="00000000" w:rsidRPr="00000000">
        <w:rPr>
          <w:rtl w:val="0"/>
        </w:rPr>
      </w:r>
    </w:p>
    <w:p w:rsidR="00000000" w:rsidDel="00000000" w:rsidP="00000000" w:rsidRDefault="00000000" w:rsidRPr="00000000" w14:paraId="0000003F">
      <w:pPr>
        <w:spacing w:after="240" w:before="240" w:line="360" w:lineRule="auto"/>
        <w:rPr>
          <w:color w:val="1f1f1f"/>
          <w:sz w:val="24"/>
          <w:szCs w:val="24"/>
          <w:highlight w:val="white"/>
        </w:rPr>
      </w:pPr>
      <w:r w:rsidDel="00000000" w:rsidR="00000000" w:rsidRPr="00000000">
        <w:rPr>
          <w:rtl w:val="0"/>
        </w:rPr>
      </w:r>
    </w:p>
    <w:p w:rsidR="00000000" w:rsidDel="00000000" w:rsidP="00000000" w:rsidRDefault="00000000" w:rsidRPr="00000000" w14:paraId="00000040">
      <w:pPr>
        <w:spacing w:after="240" w:before="240" w:line="360" w:lineRule="auto"/>
        <w:rPr>
          <w:color w:val="1f1f1f"/>
          <w:sz w:val="24"/>
          <w:szCs w:val="24"/>
          <w:highlight w:val="white"/>
        </w:rPr>
      </w:pPr>
      <w:r w:rsidDel="00000000" w:rsidR="00000000" w:rsidRPr="00000000">
        <w:rPr>
          <w:rtl w:val="0"/>
        </w:rPr>
      </w:r>
    </w:p>
    <w:p w:rsidR="00000000" w:rsidDel="00000000" w:rsidP="00000000" w:rsidRDefault="00000000" w:rsidRPr="00000000" w14:paraId="00000041">
      <w:pPr>
        <w:spacing w:after="240" w:before="240" w:line="360" w:lineRule="auto"/>
        <w:rPr>
          <w:color w:val="1f1f1f"/>
          <w:sz w:val="24"/>
          <w:szCs w:val="24"/>
          <w:highlight w:val="white"/>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vxfbzkgtvvk" w:id="6"/>
      <w:bookmarkEnd w:id="6"/>
      <w:r w:rsidDel="00000000" w:rsidR="00000000" w:rsidRPr="00000000">
        <w:rPr>
          <w:b w:val="1"/>
          <w:bCs w:val="1"/>
          <w:color w:val="000000"/>
          <w:sz w:val="26"/>
          <w:szCs w:val="26"/>
          <w:rtl w:val="0"/>
        </w:rPr>
        <w:t xml:space="preserve">4. Fonctionnalités et Ergonomie de l’Interface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360" w:lineRule="auto"/>
        <w:rPr>
          <w:color w:val="1f1f1f"/>
          <w:sz w:val="24"/>
          <w:szCs w:val="24"/>
          <w:highlight w:val="white"/>
        </w:rPr>
      </w:pPr>
      <w:r w:rsidDel="00000000" w:rsidR="00000000" w:rsidRPr="00000000">
        <w:rPr>
          <w:color w:val="1f1f1f"/>
          <w:sz w:val="24"/>
          <w:szCs w:val="24"/>
          <w:highlight w:val="white"/>
          <w:rtl w:val="0"/>
        </w:rPr>
        <w:t xml:space="preserve">L'ergonomie de l'interface est pensée pour l'utilisateur de production, privilégiant une lecture rapide, claire et intuitive afin d'optimiser l'efficacité opérationnelle. Le design est strictement encadré par une charte graphique précise, qui utilise des codes couleurs spécifiques — par exemple, le Rouge pour la catégorie Performance et le Vert pour l'Énergie — et impose des formes modernisées, notamment des angles arrondis de 15 degrés pour les blocs de KPI, assurant ainsi une cohérence visuelle forte. Pour faciliter la compréhension immédiate des données, l'application intégrera une variété de visualisations dynamiques, allant des jauges semi-circulaires pour des indicateurs clés comme l'OEE, aux histogrammes pour le temps de détection des défauts, et aux courbes d'évolution pour suivre la consommation énergétique. De plus, pour permettre une analyse approfondie et ciblée des performances, l'interface intègre un sélecteur de </w:t>
      </w:r>
      <w:r w:rsidDel="00000000" w:rsidR="00000000" w:rsidRPr="00000000">
        <w:rPr>
          <w:b w:val="1"/>
          <w:bCs w:val="1"/>
          <w:color w:val="1f1f1f"/>
          <w:sz w:val="24"/>
          <w:szCs w:val="24"/>
          <w:highlight w:val="white"/>
          <w:rtl w:val="0"/>
        </w:rPr>
        <w:t xml:space="preserve">filtres temporels</w:t>
      </w:r>
      <w:r w:rsidDel="00000000" w:rsidR="00000000" w:rsidRPr="00000000">
        <w:rPr>
          <w:color w:val="1f1f1f"/>
          <w:sz w:val="24"/>
          <w:szCs w:val="24"/>
          <w:highlight w:val="white"/>
          <w:rtl w:val="0"/>
        </w:rPr>
        <w:t xml:space="preserve"> (Année, Mois, Jour, Heure) permettant d'impacter l'ensemble des indicateurs affichés. Enfin, pour l'accessibilité, une attention particulière est portée au daltonisme en évitant les associations de couleurs problématiques comme le rouge et le vert, en faveur de contrastes élevés. Les utilisateurs autorisés pourront également extraire les données et rapports d'analyse aux formats </w:t>
      </w:r>
      <w:r w:rsidDel="00000000" w:rsidR="00000000" w:rsidRPr="00000000">
        <w:rPr>
          <w:b w:val="1"/>
          <w:bCs w:val="1"/>
          <w:color w:val="1f1f1f"/>
          <w:sz w:val="24"/>
          <w:szCs w:val="24"/>
          <w:highlight w:val="white"/>
          <w:rtl w:val="0"/>
        </w:rPr>
        <w:t xml:space="preserve">PDF</w:t>
      </w:r>
      <w:r w:rsidDel="00000000" w:rsidR="00000000" w:rsidRPr="00000000">
        <w:rPr>
          <w:color w:val="1f1f1f"/>
          <w:sz w:val="24"/>
          <w:szCs w:val="24"/>
          <w:highlight w:val="white"/>
          <w:rtl w:val="0"/>
        </w:rPr>
        <w:t xml:space="preserve"> et </w:t>
      </w:r>
      <w:r w:rsidDel="00000000" w:rsidR="00000000" w:rsidRPr="00000000">
        <w:rPr>
          <w:b w:val="1"/>
          <w:bCs w:val="1"/>
          <w:color w:val="1f1f1f"/>
          <w:sz w:val="24"/>
          <w:szCs w:val="24"/>
          <w:highlight w:val="white"/>
          <w:rtl w:val="0"/>
        </w:rPr>
        <w:t xml:space="preserve">Excel</w:t>
      </w:r>
      <w:r w:rsidDel="00000000" w:rsidR="00000000" w:rsidRPr="00000000">
        <w:rPr>
          <w:color w:val="1f1f1f"/>
          <w:sz w:val="24"/>
          <w:szCs w:val="24"/>
          <w:highlight w:val="white"/>
          <w:rtl w:val="0"/>
        </w:rPr>
        <w:t xml:space="preserve"> via un bouton "Export" dédié, une fonctionnalité requise pour le partage et l'archivage des bilans de performance.</w:t>
      </w:r>
    </w:p>
    <w:p w:rsidR="00000000" w:rsidDel="00000000" w:rsidP="00000000" w:rsidRDefault="00000000" w:rsidRPr="00000000" w14:paraId="00000045">
      <w:pPr>
        <w:spacing w:after="240" w:before="240" w:line="36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8baq6nx0eb70" w:id="7"/>
      <w:bookmarkEnd w:id="7"/>
      <w:r w:rsidDel="00000000" w:rsidR="00000000" w:rsidRPr="00000000">
        <w:rPr>
          <w:b w:val="1"/>
          <w:bCs w:val="1"/>
          <w:color w:val="000000"/>
          <w:sz w:val="26"/>
          <w:szCs w:val="26"/>
          <w:rtl w:val="0"/>
        </w:rPr>
        <w:t xml:space="preserve">5. Sécurisation et Gestion des Accès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La </w:t>
      </w:r>
      <w:r w:rsidDel="00000000" w:rsidR="00000000" w:rsidRPr="00000000">
        <w:rPr>
          <w:b w:val="1"/>
          <w:bCs w:val="1"/>
          <w:color w:val="1f1f1f"/>
          <w:sz w:val="24"/>
          <w:szCs w:val="24"/>
          <w:highlight w:val="white"/>
          <w:rtl w:val="0"/>
        </w:rPr>
        <w:t xml:space="preserve">Sécurisation et la Gestion des Accès</w:t>
      </w:r>
      <w:r w:rsidDel="00000000" w:rsidR="00000000" w:rsidRPr="00000000">
        <w:rPr>
          <w:color w:val="1f1f1f"/>
          <w:sz w:val="24"/>
          <w:szCs w:val="24"/>
          <w:highlight w:val="white"/>
          <w:rtl w:val="0"/>
        </w:rPr>
        <w:t xml:space="preserve"> constituent un axe primordial du projet, dont l'objectif est de protéger l'intégrité et la confidentialité des données industrielles sensibles. L'accès à l'outil décisionnel sera rigoureusement contrôlé par un portail de login sécurisé, nécessitant une </w:t>
      </w:r>
      <w:r w:rsidDel="00000000" w:rsidR="00000000" w:rsidRPr="00000000">
        <w:rPr>
          <w:b w:val="1"/>
          <w:bCs w:val="1"/>
          <w:color w:val="1f1f1f"/>
          <w:sz w:val="24"/>
          <w:szCs w:val="24"/>
          <w:highlight w:val="white"/>
          <w:rtl w:val="0"/>
        </w:rPr>
        <w:t xml:space="preserve">authentification</w:t>
      </w:r>
      <w:r w:rsidDel="00000000" w:rsidR="00000000" w:rsidRPr="00000000">
        <w:rPr>
          <w:color w:val="1f1f1f"/>
          <w:sz w:val="24"/>
          <w:szCs w:val="24"/>
          <w:highlight w:val="white"/>
          <w:rtl w:val="0"/>
        </w:rPr>
        <w:t xml:space="preserve"> par nom d'utilisateur et des mots de passe qui seront impérativement </w:t>
      </w:r>
      <w:r w:rsidDel="00000000" w:rsidR="00000000" w:rsidRPr="00000000">
        <w:rPr>
          <w:b w:val="1"/>
          <w:bCs w:val="1"/>
          <w:color w:val="1f1f1f"/>
          <w:sz w:val="24"/>
          <w:szCs w:val="24"/>
          <w:highlight w:val="white"/>
          <w:rtl w:val="0"/>
        </w:rPr>
        <w:t xml:space="preserve">hachés</w:t>
      </w:r>
      <w:r w:rsidDel="00000000" w:rsidR="00000000" w:rsidRPr="00000000">
        <w:rPr>
          <w:color w:val="1f1f1f"/>
          <w:sz w:val="24"/>
          <w:szCs w:val="24"/>
          <w:highlight w:val="white"/>
          <w:rtl w:val="0"/>
        </w:rPr>
        <w:t xml:space="preserve"> avant stockage pour garantir un niveau de sécurité optimal contre les fuites de données. Cette fondation est complétée par un système de </w:t>
      </w:r>
      <w:r w:rsidDel="00000000" w:rsidR="00000000" w:rsidRPr="00000000">
        <w:rPr>
          <w:b w:val="1"/>
          <w:bCs w:val="1"/>
          <w:color w:val="1f1f1f"/>
          <w:sz w:val="24"/>
          <w:szCs w:val="24"/>
          <w:highlight w:val="white"/>
          <w:rtl w:val="0"/>
        </w:rPr>
        <w:t xml:space="preserve">Gestion des rôles (RBAC)</w:t>
      </w:r>
      <w:r w:rsidDel="00000000" w:rsidR="00000000" w:rsidRPr="00000000">
        <w:rPr>
          <w:color w:val="1f1f1f"/>
          <w:sz w:val="24"/>
          <w:szCs w:val="24"/>
          <w:highlight w:val="white"/>
          <w:rtl w:val="0"/>
        </w:rPr>
        <w:t xml:space="preserve">, définissant très clairement trois niveaux d'autorisation : l'</w:t>
      </w:r>
      <w:r w:rsidDel="00000000" w:rsidR="00000000" w:rsidRPr="00000000">
        <w:rPr>
          <w:b w:val="1"/>
          <w:bCs w:val="1"/>
          <w:color w:val="1f1f1f"/>
          <w:sz w:val="24"/>
          <w:szCs w:val="24"/>
          <w:highlight w:val="white"/>
          <w:rtl w:val="0"/>
        </w:rPr>
        <w:t xml:space="preserve">Admin</w:t>
      </w:r>
      <w:r w:rsidDel="00000000" w:rsidR="00000000" w:rsidRPr="00000000">
        <w:rPr>
          <w:color w:val="1f1f1f"/>
          <w:sz w:val="24"/>
          <w:szCs w:val="24"/>
          <w:highlight w:val="white"/>
          <w:rtl w:val="0"/>
        </w:rPr>
        <w:t xml:space="preserve">, qui dispose d'un accès total (visualisation, modification des seuils, et extraction de rapports), le </w:t>
      </w:r>
      <w:r w:rsidDel="00000000" w:rsidR="00000000" w:rsidRPr="00000000">
        <w:rPr>
          <w:b w:val="1"/>
          <w:bCs w:val="1"/>
          <w:color w:val="1f1f1f"/>
          <w:sz w:val="24"/>
          <w:szCs w:val="24"/>
          <w:highlight w:val="white"/>
          <w:rtl w:val="0"/>
        </w:rPr>
        <w:t xml:space="preserve">Responsable</w:t>
      </w:r>
      <w:r w:rsidDel="00000000" w:rsidR="00000000" w:rsidRPr="00000000">
        <w:rPr>
          <w:color w:val="1f1f1f"/>
          <w:sz w:val="24"/>
          <w:szCs w:val="24"/>
          <w:highlight w:val="white"/>
          <w:rtl w:val="0"/>
        </w:rPr>
        <w:t xml:space="preserve">, dont les droits sont limités à la visualisation et à l'extraction des rapports, et l'</w:t>
      </w:r>
      <w:r w:rsidDel="00000000" w:rsidR="00000000" w:rsidRPr="00000000">
        <w:rPr>
          <w:b w:val="1"/>
          <w:bCs w:val="1"/>
          <w:color w:val="1f1f1f"/>
          <w:sz w:val="24"/>
          <w:szCs w:val="24"/>
          <w:highlight w:val="white"/>
          <w:rtl w:val="0"/>
        </w:rPr>
        <w:t xml:space="preserve">Employé</w:t>
      </w:r>
      <w:r w:rsidDel="00000000" w:rsidR="00000000" w:rsidRPr="00000000">
        <w:rPr>
          <w:color w:val="1f1f1f"/>
          <w:sz w:val="24"/>
          <w:szCs w:val="24"/>
          <w:highlight w:val="white"/>
          <w:rtl w:val="0"/>
        </w:rPr>
        <w:t xml:space="preserve">, dont l'accès se restreint à la simple consultation des données. Ce contrôle granulaire des droits assure que chaque utilisateur interagit uniquement avec les fonctionnalités nécessaires à sa mission. Enfin, pour garantir une gestion de session sécurisée et répondre à l'exigence de traçabilité, un bouton "LOGOUT" sera systématiquement intégré au tableau de bord pour permettre aux utilisateurs de fermer leur session à tout moment.</w:t>
      </w:r>
      <w:r w:rsidDel="00000000" w:rsidR="00000000" w:rsidRPr="00000000">
        <w:rPr>
          <w:rtl w:val="0"/>
        </w:rPr>
      </w:r>
    </w:p>
    <w:p w:rsidR="00000000" w:rsidDel="00000000" w:rsidP="00000000" w:rsidRDefault="00000000" w:rsidRPr="00000000" w14:paraId="00000049">
      <w:pPr>
        <w:spacing w:after="240" w:before="240" w:line="36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1askerrb3ga" w:id="8"/>
      <w:bookmarkEnd w:id="8"/>
      <w:r w:rsidDel="00000000" w:rsidR="00000000" w:rsidRPr="00000000">
        <w:rPr>
          <w:b w:val="1"/>
          <w:bCs w:val="1"/>
          <w:color w:val="000000"/>
          <w:sz w:val="26"/>
          <w:szCs w:val="26"/>
          <w:rtl w:val="0"/>
        </w:rPr>
        <w:t xml:space="preserve">6. Conclusion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360" w:lineRule="auto"/>
        <w:rPr>
          <w:sz w:val="24"/>
          <w:szCs w:val="24"/>
        </w:rPr>
      </w:pPr>
      <w:r w:rsidDel="00000000" w:rsidR="00000000" w:rsidRPr="00000000">
        <w:rPr>
          <w:color w:val="1f1f1f"/>
          <w:sz w:val="24"/>
          <w:szCs w:val="24"/>
          <w:highlight w:val="white"/>
          <w:rtl w:val="0"/>
        </w:rPr>
        <w:t xml:space="preserve">La WebApp MES4.0 pour T'ÉLÉFAN s'établit comme un véritable levier de </w:t>
      </w:r>
      <w:r w:rsidDel="00000000" w:rsidR="00000000" w:rsidRPr="00000000">
        <w:rPr>
          <w:b w:val="1"/>
          <w:bCs w:val="1"/>
          <w:color w:val="1f1f1f"/>
          <w:sz w:val="24"/>
          <w:szCs w:val="24"/>
          <w:highlight w:val="white"/>
          <w:rtl w:val="0"/>
        </w:rPr>
        <w:t xml:space="preserve">pilotage stratégique</w:t>
      </w:r>
      <w:r w:rsidDel="00000000" w:rsidR="00000000" w:rsidRPr="00000000">
        <w:rPr>
          <w:color w:val="1f1f1f"/>
          <w:sz w:val="24"/>
          <w:szCs w:val="24"/>
          <w:highlight w:val="white"/>
          <w:rtl w:val="0"/>
        </w:rPr>
        <w:t xml:space="preserve"> pour l'entreprise, allant au-delà de la simple fonction technique. Sa robustesse est assurée par l'architecture retenue, combinant Python et le framework Flask avec une base de données MariaDB conteneurisée via Docker, garantissant une solution technique stable et facilement déployable. Ce tableau de bord répond de manière exhaustive aux exigences fonctionnelles du CDC en offrant une solution sécurisée et ergonomique, centralisant les données pour calculer en temps réel les douze KPI obligatoires. Cette approche concrète améliore significativement la traçabilité des produits et renforce la culture d'amélioration continue au sein de l'usine. Enfin, l'organisation du projet en approche itérative et l'intégration de phases de validation et de tests unitaires garantissent une livraison finale conforme aux attentes métier et technique d'ici mars 2026.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