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DD13D" w14:textId="77777777" w:rsidR="000756B8" w:rsidRPr="00DE34A5" w:rsidRDefault="00000000">
      <w:pPr>
        <w:spacing w:after="40"/>
        <w:jc w:val="center"/>
        <w:rPr>
          <w:rFonts w:ascii="Times New Roman" w:hAnsi="Times New Roman" w:cs="Times New Roman"/>
          <w:color w:val="C00000"/>
          <w:sz w:val="22"/>
          <w:szCs w:val="22"/>
        </w:rPr>
      </w:pPr>
      <w:r w:rsidRPr="00DE34A5">
        <w:rPr>
          <w:rFonts w:ascii="Times New Roman" w:hAnsi="Times New Roman" w:cs="Times New Roman"/>
          <w:b/>
          <w:bCs/>
          <w:color w:val="C00000"/>
          <w:sz w:val="28"/>
          <w:szCs w:val="28"/>
        </w:rPr>
        <w:t>AFRILAND FIRST BANK</w:t>
      </w:r>
    </w:p>
    <w:p w14:paraId="0DF0DDBE" w14:textId="77777777" w:rsidR="000756B8" w:rsidRPr="00DE34A5" w:rsidRDefault="00000000">
      <w:pPr>
        <w:spacing w:after="400"/>
        <w:jc w:val="center"/>
        <w:rPr>
          <w:rFonts w:ascii="Times New Roman" w:hAnsi="Times New Roman" w:cs="Times New Roman"/>
          <w:sz w:val="22"/>
          <w:szCs w:val="22"/>
        </w:rPr>
      </w:pPr>
      <w:r w:rsidRPr="00DE34A5">
        <w:rPr>
          <w:rFonts w:ascii="Times New Roman" w:hAnsi="Times New Roman" w:cs="Times New Roman"/>
          <w:color w:val="555555"/>
          <w:sz w:val="22"/>
          <w:szCs w:val="22"/>
        </w:rPr>
        <w:t>Direction des Systèmes d'Information</w:t>
      </w:r>
    </w:p>
    <w:p w14:paraId="6C77678F" w14:textId="77777777" w:rsidR="000756B8" w:rsidRPr="00DE34A5" w:rsidRDefault="00000000">
      <w:pPr>
        <w:spacing w:after="100"/>
        <w:jc w:val="center"/>
        <w:rPr>
          <w:rFonts w:ascii="Times New Roman" w:hAnsi="Times New Roman" w:cs="Times New Roman"/>
          <w:color w:val="C00000"/>
          <w:sz w:val="22"/>
          <w:szCs w:val="22"/>
        </w:rPr>
      </w:pPr>
      <w:r w:rsidRPr="00DE34A5">
        <w:rPr>
          <w:rFonts w:ascii="Times New Roman" w:hAnsi="Times New Roman" w:cs="Times New Roman"/>
          <w:b/>
          <w:bCs/>
          <w:color w:val="C00000"/>
          <w:sz w:val="36"/>
          <w:szCs w:val="36"/>
        </w:rPr>
        <w:t>NOTE DE PRÉSENTATION</w:t>
      </w:r>
    </w:p>
    <w:p w14:paraId="3BCCD93A" w14:textId="77777777" w:rsidR="000756B8" w:rsidRPr="00DE34A5" w:rsidRDefault="00000000">
      <w:pPr>
        <w:spacing w:after="400"/>
        <w:jc w:val="center"/>
        <w:rPr>
          <w:rFonts w:ascii="Times New Roman" w:hAnsi="Times New Roman" w:cs="Times New Roman"/>
          <w:sz w:val="22"/>
          <w:szCs w:val="22"/>
        </w:rPr>
      </w:pPr>
      <w:r w:rsidRPr="00DE34A5">
        <w:rPr>
          <w:rFonts w:ascii="Times New Roman" w:hAnsi="Times New Roman" w:cs="Times New Roman"/>
          <w:b/>
          <w:bCs/>
          <w:color w:val="555555"/>
          <w:sz w:val="28"/>
          <w:szCs w:val="28"/>
        </w:rPr>
        <w:t>Mémoire de fin d'études</w:t>
      </w:r>
    </w:p>
    <w:p w14:paraId="3CB65EB6" w14:textId="77777777" w:rsidR="000756B8" w:rsidRPr="00DE34A5" w:rsidRDefault="00000000">
      <w:pPr>
        <w:spacing w:after="200"/>
        <w:jc w:val="center"/>
        <w:rPr>
          <w:rFonts w:ascii="Times New Roman" w:hAnsi="Times New Roman" w:cs="Times New Roman"/>
          <w:sz w:val="22"/>
          <w:szCs w:val="22"/>
        </w:rPr>
      </w:pPr>
      <w:r w:rsidRPr="00DE34A5">
        <w:rPr>
          <w:rFonts w:ascii="Times New Roman" w:hAnsi="Times New Roman" w:cs="Times New Roman"/>
          <w:b/>
          <w:bCs/>
          <w:color w:val="1A1A1A"/>
          <w:sz w:val="28"/>
          <w:szCs w:val="28"/>
        </w:rPr>
        <w:t>Du risque crédit non maîtrisé en contentieux à un pilotage unifié : conception et développement d'une plateforme de suivi des audiences et délibérés judiciaires</w:t>
      </w:r>
    </w:p>
    <w:p w14:paraId="3B5C4163" w14:textId="77777777" w:rsidR="000756B8" w:rsidRPr="00DE34A5" w:rsidRDefault="00000000">
      <w:pPr>
        <w:spacing w:after="500"/>
        <w:jc w:val="center"/>
        <w:rPr>
          <w:rFonts w:ascii="Times New Roman" w:hAnsi="Times New Roman" w:cs="Times New Roman"/>
          <w:sz w:val="22"/>
          <w:szCs w:val="22"/>
        </w:rPr>
      </w:pPr>
      <w:r w:rsidRPr="00DE34A5">
        <w:rPr>
          <w:rFonts w:ascii="Times New Roman" w:hAnsi="Times New Roman" w:cs="Times New Roman"/>
          <w:b/>
          <w:bCs/>
          <w:color w:val="555555"/>
          <w:sz w:val="24"/>
          <w:szCs w:val="24"/>
        </w:rPr>
        <w:t xml:space="preserve">Cas d'Afriland First Bank </w:t>
      </w:r>
      <w:r w:rsidR="00CA1D23" w:rsidRPr="00DE34A5">
        <w:rPr>
          <w:rFonts w:ascii="Times New Roman" w:hAnsi="Times New Roman" w:cs="Times New Roman"/>
          <w:b/>
          <w:bCs/>
          <w:color w:val="555555"/>
          <w:sz w:val="24"/>
          <w:szCs w:val="24"/>
        </w:rPr>
        <w:t>-</w:t>
      </w:r>
      <w:r w:rsidRPr="00DE34A5">
        <w:rPr>
          <w:rFonts w:ascii="Times New Roman" w:hAnsi="Times New Roman" w:cs="Times New Roman"/>
          <w:b/>
          <w:bCs/>
          <w:color w:val="555555"/>
          <w:sz w:val="24"/>
          <w:szCs w:val="24"/>
        </w:rPr>
        <w:t xml:space="preserve"> V1 : Direction Juridique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6"/>
        <w:gridCol w:w="6940"/>
      </w:tblGrid>
      <w:tr w:rsidR="000756B8" w:rsidRPr="00DE34A5" w14:paraId="7161E504" w14:textId="77777777" w:rsidTr="00882A11">
        <w:tc>
          <w:tcPr>
            <w:tcW w:w="3266"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5D454190" w14:textId="77777777" w:rsidR="000756B8" w:rsidRPr="00DE34A5" w:rsidRDefault="000756B8">
            <w:pPr>
              <w:rPr>
                <w:rFonts w:ascii="Times New Roman" w:hAnsi="Times New Roman" w:cs="Times New Roman"/>
                <w:sz w:val="22"/>
                <w:szCs w:val="22"/>
              </w:rPr>
            </w:pPr>
          </w:p>
        </w:tc>
        <w:tc>
          <w:tcPr>
            <w:tcW w:w="6940"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44F11FE8" w14:textId="77777777" w:rsidR="000756B8" w:rsidRPr="00DE34A5" w:rsidRDefault="000756B8">
            <w:pPr>
              <w:rPr>
                <w:rFonts w:ascii="Times New Roman" w:hAnsi="Times New Roman" w:cs="Times New Roman"/>
                <w:sz w:val="22"/>
                <w:szCs w:val="22"/>
              </w:rPr>
            </w:pPr>
          </w:p>
        </w:tc>
      </w:tr>
      <w:tr w:rsidR="000756B8" w:rsidRPr="00DE34A5" w14:paraId="3109E37E" w14:textId="77777777">
        <w:tc>
          <w:tcPr>
            <w:tcW w:w="3266"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39BAD35"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Type de document</w:t>
            </w:r>
          </w:p>
        </w:tc>
        <w:tc>
          <w:tcPr>
            <w:tcW w:w="694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650B3AE"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Note de présentation - Mémoire de fin d'études</w:t>
            </w:r>
          </w:p>
        </w:tc>
      </w:tr>
      <w:tr w:rsidR="000756B8" w:rsidRPr="00DE34A5" w14:paraId="7BDEEB0A" w14:textId="77777777">
        <w:tc>
          <w:tcPr>
            <w:tcW w:w="3266"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36924F9"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Rédigé par</w:t>
            </w:r>
          </w:p>
        </w:tc>
        <w:tc>
          <w:tcPr>
            <w:tcW w:w="694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3BC5A3E"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KENMOE MBEUKEM Loïc Luc</w:t>
            </w:r>
          </w:p>
        </w:tc>
      </w:tr>
      <w:tr w:rsidR="000756B8" w:rsidRPr="00DE34A5" w14:paraId="71F34B1E" w14:textId="77777777">
        <w:tc>
          <w:tcPr>
            <w:tcW w:w="3266"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1EBDBC4"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Programme</w:t>
            </w:r>
          </w:p>
        </w:tc>
        <w:tc>
          <w:tcPr>
            <w:tcW w:w="694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05AAEDE"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Ingénierie logicielle - K-FOKAM Arts et Métiers (KFOKAM-48)</w:t>
            </w:r>
          </w:p>
        </w:tc>
      </w:tr>
      <w:tr w:rsidR="000756B8" w:rsidRPr="00DE34A5" w14:paraId="0CB64092" w14:textId="77777777">
        <w:tc>
          <w:tcPr>
            <w:tcW w:w="3266"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D95C140"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Structure d'accueil</w:t>
            </w:r>
          </w:p>
        </w:tc>
        <w:tc>
          <w:tcPr>
            <w:tcW w:w="694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52377C3"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Afriland First Bank Cameroun - Direction des Systèmes d'Information (DSI)</w:t>
            </w:r>
          </w:p>
        </w:tc>
      </w:tr>
      <w:tr w:rsidR="000756B8" w:rsidRPr="00DE34A5" w14:paraId="6FABDC83" w14:textId="77777777">
        <w:tc>
          <w:tcPr>
            <w:tcW w:w="3266"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6D7D484"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Commanditaire métier</w:t>
            </w:r>
          </w:p>
        </w:tc>
        <w:tc>
          <w:tcPr>
            <w:tcW w:w="694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1009DA0"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Direction Juridique (DJ)</w:t>
            </w:r>
          </w:p>
        </w:tc>
      </w:tr>
      <w:tr w:rsidR="000756B8" w:rsidRPr="00DE34A5" w14:paraId="68F4A335" w14:textId="77777777">
        <w:tc>
          <w:tcPr>
            <w:tcW w:w="3266"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F37822E"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Encadreur opérationnel</w:t>
            </w:r>
          </w:p>
        </w:tc>
        <w:tc>
          <w:tcPr>
            <w:tcW w:w="694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F89EA76"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DEUMO DEUMO Léonce - Chef de Département Développement, DSI</w:t>
            </w:r>
          </w:p>
        </w:tc>
      </w:tr>
      <w:tr w:rsidR="000756B8" w:rsidRPr="00DE34A5" w14:paraId="51879F38" w14:textId="77777777">
        <w:tc>
          <w:tcPr>
            <w:tcW w:w="3266"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C26094A"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Date</w:t>
            </w:r>
          </w:p>
        </w:tc>
        <w:tc>
          <w:tcPr>
            <w:tcW w:w="694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A3F17FA" w14:textId="576C319C" w:rsidR="000756B8" w:rsidRPr="00DE34A5" w:rsidRDefault="00000000">
            <w:pPr>
              <w:rPr>
                <w:rFonts w:ascii="Times New Roman" w:hAnsi="Times New Roman" w:cs="Times New Roman"/>
                <w:sz w:val="22"/>
                <w:szCs w:val="22"/>
              </w:rPr>
            </w:pPr>
            <w:r w:rsidRPr="00DE34A5">
              <w:rPr>
                <w:rFonts w:ascii="Times New Roman" w:hAnsi="Times New Roman" w:cs="Times New Roman"/>
              </w:rPr>
              <w:t>2</w:t>
            </w:r>
            <w:r w:rsidR="00DE34A5">
              <w:rPr>
                <w:rFonts w:ascii="Times New Roman" w:hAnsi="Times New Roman" w:cs="Times New Roman"/>
              </w:rPr>
              <w:t>8</w:t>
            </w:r>
            <w:r w:rsidRPr="00DE34A5">
              <w:rPr>
                <w:rFonts w:ascii="Times New Roman" w:hAnsi="Times New Roman" w:cs="Times New Roman"/>
              </w:rPr>
              <w:t xml:space="preserve"> juillet 2026</w:t>
            </w:r>
          </w:p>
        </w:tc>
      </w:tr>
    </w:tbl>
    <w:p w14:paraId="5AF41988"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sz w:val="22"/>
          <w:szCs w:val="22"/>
        </w:rPr>
        <w:br w:type="page"/>
      </w:r>
    </w:p>
    <w:p w14:paraId="61846FB7"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lastRenderedPageBreak/>
        <w:t>I. Introduction et contexte du projet</w:t>
      </w:r>
    </w:p>
    <w:p w14:paraId="30BE9C3E" w14:textId="24F707F3"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L'activité de crédit constitue le cœur de métier d'un établissement bancaire comme Afriland First Bank (AFB) : chaque prêt accordé porte en germe un risque de défaillance de l'emprunteur. Lorsque ce risque se matérialise et que les voies de recouvrement amiable sont épuisées, la Banque n'a d'autre option que d'engager une procédure judiciaire pour recouvrer sa créance</w:t>
      </w:r>
      <w:r w:rsidR="003F4931" w:rsidRPr="00DE34A5">
        <w:rPr>
          <w:rFonts w:ascii="Times New Roman" w:hAnsi="Times New Roman" w:cs="Times New Roman"/>
          <w:sz w:val="22"/>
          <w:szCs w:val="22"/>
        </w:rPr>
        <w:t> :</w:t>
      </w:r>
      <w:r w:rsidRPr="00DE34A5">
        <w:rPr>
          <w:rFonts w:ascii="Times New Roman" w:hAnsi="Times New Roman" w:cs="Times New Roman"/>
          <w:sz w:val="22"/>
          <w:szCs w:val="22"/>
        </w:rPr>
        <w:t xml:space="preserve"> saisie immobilière, action en validation d'hypothèque, recouvrement sur leasing, injonction de payer. Le contentieux judiciaire de la Banque est ainsi, pour sa part la plus importante, le prolongement direct de son activité de crédit : il ne s'agit pas d'une fonction juridique isolée, mais du dernier maillon de la chaîne de maîtrise du risque crédit. À ce contentieux lié au recouvrement s'ajoutent, dans une moindre mesure, des procédures civiles et commerciales, pénales, sociales ou arbitrales, dans lesquelles la responsabilité de la Banque ou de son personnel peut être engagée.</w:t>
      </w:r>
    </w:p>
    <w:p w14:paraId="1B7CCB6B" w14:textId="6A56ED44"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Afriland First Bank (AFB) Cameroun, établissement bancaire de référence, s'est engagé dans son ambition stratégique 2026-2030 dans un programme de digitalisation de ses processus internes. Le suivi des audiences et des délibérés judiciaires, actuellement entièrement manuel au sein de la Direction Juridique, s'inscrit dans ce chantier de digitalisation avec un enjeu particulier : lorsque ce suivi défaille, c'est la capacité même de la Banque à recouvrer ses créances, et donc à maîtriser son risque crédit, qui s'en trouve affaiblie.</w:t>
      </w:r>
    </w:p>
    <w:p w14:paraId="1D9499FF"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C'est dans ce cadre institutionnel que s'inscrit le présent mémoire de fin d'études, réalisé dans le cadre du programme KFOKAM-48 (Ingénierie logicielle) à K-FOKAM Arts et Métiers, en immersion professionnelle au sein de la Direction des Systèmes d'Information d'Afriland First Bank.</w:t>
      </w:r>
    </w:p>
    <w:p w14:paraId="68E4821B"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À la différence d'un projet de recherche exploratoire, le présent travail répond à un besoin opérationnel directement exprimé par la Direction Juridique, sous la forme d'un cahier des charges initial, puis affiné et formellement validé au terme d'un cycle de clarification associant la Direction Juridique et la Direction des Systèmes d'Information. La présente note ne formule donc pas d'hypothèses à vérifier par une enquête de terrain : elle documente, de manière honnête et à jour, l'état réel d'avancement du projet à la date de rédaction.</w:t>
      </w:r>
    </w:p>
    <w:p w14:paraId="21604809"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Ce document ne contient pas de spécifications techniques détaillées : celles-ci font l'objet de documents de construction séparés (cahier des charges, spécifications fonctionnelles, user stories, modélisation UML, architecture, dictionnaire de données, contrat d'API). La présente note constitue le cadrage global du projet, destiné à en exposer le contexte, la problématique, les objectifs, la méthodologie et les conditions de réalisation.</w:t>
      </w:r>
    </w:p>
    <w:p w14:paraId="05B84F46"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II. État des lieux</w:t>
      </w:r>
    </w:p>
    <w:p w14:paraId="0AC5E748"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2.1 Analyse de l'existant : processus actuel de suivi des audiences et délibérés</w:t>
      </w:r>
    </w:p>
    <w:p w14:paraId="65466722" w14:textId="6B5B9ADC"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Le point d'entrée du processus est le dossier de crédit d'un client en situation de défaillance : lorsque les voies de recouvrement amiable mises en œuvre par la Direction du Crédit et des Engagements sont épuisées sans succès, le dossier est transféré à la Direction Juridique, qui engage alors une procédure judiciaire pour recouvrer la créance de la Banque</w:t>
      </w:r>
      <w:r w:rsidR="00CA3922" w:rsidRPr="00DE34A5">
        <w:rPr>
          <w:rFonts w:ascii="Times New Roman" w:hAnsi="Times New Roman" w:cs="Times New Roman"/>
          <w:sz w:val="22"/>
          <w:szCs w:val="22"/>
        </w:rPr>
        <w:t xml:space="preserve"> : </w:t>
      </w:r>
      <w:r w:rsidRPr="00DE34A5">
        <w:rPr>
          <w:rFonts w:ascii="Times New Roman" w:hAnsi="Times New Roman" w:cs="Times New Roman"/>
          <w:sz w:val="22"/>
          <w:szCs w:val="22"/>
        </w:rPr>
        <w:t xml:space="preserve"> c'est ce dossier de crédit transféré qui constitue la donnée d'entrée de la plateforme à construire. À ce contentieux lié au recouvrement de crédit s'ajoutent, dans une moindre mesure, des procédures pénales, sociales, civiles et commerciales ou arbitrales, engagées lorsque la responsabilité de la Banque ou de son personnel est en cause, devant des juridictions nationales et, en voie de recours, supranationales (CCJA, CJCEMAC).</w:t>
      </w:r>
    </w:p>
    <w:p w14:paraId="58EF631C"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Le diagnostic établi par la Direction Juridique elle-même fait état d'une absence totale de base de données numérique permettant un suivi en temps réel des procès pendants. Les reportings sont manuels, sources d'erreurs et de disparités entre les réseaux ; le calendrier des audiences et des affaires en délibéré est tenu manuellement ; aucun système d'alerte digitale n'existe pour les dates d'audience ou les délais procéduraux ; le risque de doublons dans l'attribution des dossiers entre coéquipiers est réel ; la charge de travail par agent ou par avocat n'est pas connue en temps réel ; et aucune traçabilité des performances individuelles des équipes n'est disponible.</w:t>
      </w:r>
    </w:p>
    <w:p w14:paraId="72BA0841" w14:textId="77777777" w:rsidR="000756B8" w:rsidRPr="00DE34A5" w:rsidRDefault="00295242">
      <w:pPr>
        <w:spacing w:after="140"/>
        <w:jc w:val="both"/>
        <w:rPr>
          <w:rFonts w:ascii="Times New Roman" w:hAnsi="Times New Roman" w:cs="Times New Roman"/>
          <w:sz w:val="22"/>
          <w:szCs w:val="22"/>
        </w:rPr>
      </w:pPr>
      <w:r w:rsidRPr="00DE34A5">
        <w:rPr>
          <w:rFonts w:ascii="Times New Roman" w:hAnsi="Times New Roman" w:cs="Times New Roman"/>
          <w:sz w:val="22"/>
          <w:szCs w:val="22"/>
        </w:rPr>
        <w:t>Côtés délibérés, la Direction Juridique ne dispose d'aucune vue exhaustive des décisions rendues depuis la création de la Banque, ni de visibilité sur l'ensemble des jugements d'adjudication rendus en sa faveur pour la reprise des niches de provision. Il n'existe pas de veille sur les délais d'exercice des voies de recours, la gestion des expéditions (grosses) des décisions est déficiente, aucune base jurisprudentielle interne annotée n'existe, le sort des immeubles adjugés n'est ni disponible ni accessible, et la visibilité sur les taxations d'émoluments en cas de condamnation aux dépens fait défaut.</w:t>
      </w:r>
    </w:p>
    <w:p w14:paraId="65DB92B5"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2.2 Cartographie des acteurs impliqués</w:t>
      </w:r>
    </w:p>
    <w:p w14:paraId="33981594"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Le processus mobilise un ensemble d'acteurs aux rôles complémentaires :</w:t>
      </w:r>
    </w:p>
    <w:p w14:paraId="6C8090DA"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lastRenderedPageBreak/>
        <w:t xml:space="preserve">Le juriste, </w:t>
      </w:r>
      <w:r w:rsidRPr="00DE34A5">
        <w:rPr>
          <w:rFonts w:ascii="Times New Roman" w:hAnsi="Times New Roman" w:cs="Times New Roman"/>
          <w:sz w:val="22"/>
          <w:szCs w:val="22"/>
        </w:rPr>
        <w:t>en charge de la saisie et du suivi des dossiers qui lui sont affectés.</w:t>
      </w:r>
    </w:p>
    <w:p w14:paraId="1B41DCFB"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Le Directeur Juridique, </w:t>
      </w:r>
      <w:r w:rsidRPr="00DE34A5">
        <w:rPr>
          <w:rFonts w:ascii="Times New Roman" w:hAnsi="Times New Roman" w:cs="Times New Roman"/>
          <w:sz w:val="22"/>
          <w:szCs w:val="22"/>
        </w:rPr>
        <w:t>responsable de l'administration du système et de la validation ultime des décisions structurantes.</w:t>
      </w:r>
    </w:p>
    <w:p w14:paraId="48C73E4F"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Le Directeur Juridique Adjoint, </w:t>
      </w:r>
      <w:r w:rsidRPr="00DE34A5">
        <w:rPr>
          <w:rFonts w:ascii="Times New Roman" w:hAnsi="Times New Roman" w:cs="Times New Roman"/>
          <w:sz w:val="22"/>
          <w:szCs w:val="22"/>
        </w:rPr>
        <w:t>chargé du contrôle d'opportunité des demandes de frais engagées par les avocats et prestataires.</w:t>
      </w:r>
    </w:p>
    <w:p w14:paraId="1EAE2E39"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Le supérieur hiérarchique désigné, </w:t>
      </w:r>
      <w:r w:rsidRPr="00DE34A5">
        <w:rPr>
          <w:rFonts w:ascii="Times New Roman" w:hAnsi="Times New Roman" w:cs="Times New Roman"/>
          <w:sz w:val="22"/>
          <w:szCs w:val="22"/>
        </w:rPr>
        <w:t>second valideur, notamment pour les lettres de constitution de prestataires.</w:t>
      </w:r>
    </w:p>
    <w:p w14:paraId="1B300C2A"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L'Assistante de Direction, </w:t>
      </w:r>
      <w:r w:rsidRPr="00DE34A5">
        <w:rPr>
          <w:rFonts w:ascii="Times New Roman" w:hAnsi="Times New Roman" w:cs="Times New Roman"/>
          <w:sz w:val="22"/>
          <w:szCs w:val="22"/>
        </w:rPr>
        <w:t>en charge du contrôle de conformité des pièces justificatives et du suivi des statuts de paiement.</w:t>
      </w:r>
    </w:p>
    <w:p w14:paraId="1D4F575D"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Les avocats partenaires, </w:t>
      </w:r>
      <w:r w:rsidRPr="00DE34A5">
        <w:rPr>
          <w:rFonts w:ascii="Times New Roman" w:hAnsi="Times New Roman" w:cs="Times New Roman"/>
          <w:sz w:val="22"/>
          <w:szCs w:val="22"/>
        </w:rPr>
        <w:t>intervenants externes à la Banque, chargés de la représentation devant les juridictions.</w:t>
      </w:r>
    </w:p>
    <w:p w14:paraId="07D755CB"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Les autres prestataires </w:t>
      </w:r>
      <w:r w:rsidRPr="00DE34A5">
        <w:rPr>
          <w:rFonts w:ascii="Times New Roman" w:hAnsi="Times New Roman" w:cs="Times New Roman"/>
          <w:sz w:val="22"/>
          <w:szCs w:val="22"/>
        </w:rPr>
        <w:t>(notaires, huissiers, greffiers, conservateurs fonciers), intervenant ponctuellement dans les procédures.</w:t>
      </w:r>
    </w:p>
    <w:p w14:paraId="6B02F967"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Le Gestionnaire de fonds de commerce (GFC), </w:t>
      </w:r>
      <w:r w:rsidRPr="00DE34A5">
        <w:rPr>
          <w:rFonts w:ascii="Times New Roman" w:hAnsi="Times New Roman" w:cs="Times New Roman"/>
          <w:sz w:val="22"/>
          <w:szCs w:val="22"/>
        </w:rPr>
        <w:t>à l'origine de la transmission du dossier de crédit lors de l'ouverture d'un dossier de recouvrement.</w:t>
      </w:r>
    </w:p>
    <w:p w14:paraId="6C26C825"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2.3 Limites et dysfonctionnements identifiés</w:t>
      </w:r>
    </w:p>
    <w:p w14:paraId="26D92AA7"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Ces lacunes engendrent des risques précisément documentés par la Direction Juridique, notamment sur les dossiers de recouvrement de crédit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6930"/>
        <w:gridCol w:w="1301"/>
      </w:tblGrid>
      <w:tr w:rsidR="000756B8" w:rsidRPr="00DE34A5" w14:paraId="627BF711" w14:textId="77777777" w:rsidTr="00DE34A5">
        <w:tc>
          <w:tcPr>
            <w:tcW w:w="1975"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74462234"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b/>
                <w:bCs/>
                <w:color w:val="FFFFFF"/>
              </w:rPr>
              <w:t>Catégorie de risque</w:t>
            </w:r>
          </w:p>
        </w:tc>
        <w:tc>
          <w:tcPr>
            <w:tcW w:w="6930"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419B276A"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b/>
                <w:bCs/>
                <w:color w:val="FFFFFF"/>
              </w:rPr>
              <w:t>Manifestation</w:t>
            </w:r>
          </w:p>
        </w:tc>
        <w:tc>
          <w:tcPr>
            <w:tcW w:w="1301"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7843F787"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b/>
                <w:bCs/>
                <w:color w:val="FFFFFF"/>
              </w:rPr>
              <w:t>Impact</w:t>
            </w:r>
          </w:p>
        </w:tc>
      </w:tr>
      <w:tr w:rsidR="000756B8" w:rsidRPr="00DE34A5" w14:paraId="067D929A"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8C23F49"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Financier</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F02B3E0"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Mauvaise évaluation des provisions sur litiges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5BB88D9"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Élevé</w:t>
            </w:r>
          </w:p>
        </w:tc>
      </w:tr>
      <w:tr w:rsidR="000756B8" w:rsidRPr="00DE34A5" w14:paraId="54CA03BE"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A6DC00A"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Opérationnel</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F6D0BE8"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Délais d'exercice des voies de recours manqués sur les dossiers de recouvrement de crédit, diligences tardives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56EC00A"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Élevé</w:t>
            </w:r>
          </w:p>
        </w:tc>
      </w:tr>
      <w:tr w:rsidR="000756B8" w:rsidRPr="00DE34A5" w14:paraId="6AFED079"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4FE6E22"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Juridique</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FD3ED97"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Pièces manquantes, dossiers de crédit incomplets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04E6829"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Élevé</w:t>
            </w:r>
          </w:p>
        </w:tc>
      </w:tr>
      <w:tr w:rsidR="000756B8" w:rsidRPr="00DE34A5" w14:paraId="2F779027"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C909B28"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Organisationnel</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29D2845"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Doublons d'attribution des dossiers de recouvrement, surcharge des avocats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21EB7A2"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Moyen</w:t>
            </w:r>
          </w:p>
        </w:tc>
      </w:tr>
      <w:tr w:rsidR="000756B8" w:rsidRPr="00DE34A5" w14:paraId="6A7D1260"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8E1FAE4"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Réputationnel</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062C4B0"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Défaillance dans la défense des intérêts de la Banque</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8204ED4"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Moyen</w:t>
            </w:r>
          </w:p>
        </w:tc>
      </w:tr>
      <w:tr w:rsidR="000756B8" w:rsidRPr="00DE34A5" w14:paraId="1B47C9E1" w14:textId="77777777" w:rsidTr="00DE34A5">
        <w:tc>
          <w:tcPr>
            <w:tcW w:w="197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B36D446"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Réglementaire</w:t>
            </w:r>
          </w:p>
        </w:tc>
        <w:tc>
          <w:tcPr>
            <w:tcW w:w="69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17A74BE"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Dépassement du seuil d'adjudicataire (25 % des fonds propres nets)</w:t>
            </w:r>
          </w:p>
        </w:tc>
        <w:tc>
          <w:tcPr>
            <w:tcW w:w="13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1DD8BC5"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Élevé</w:t>
            </w:r>
          </w:p>
        </w:tc>
      </w:tr>
    </w:tbl>
    <w:p w14:paraId="2C1870E4"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III. Problématique</w:t>
      </w:r>
    </w:p>
    <w:p w14:paraId="40AF9E7D"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3.1 Formulation du problème central</w:t>
      </w:r>
    </w:p>
    <w:p w14:paraId="66F4CCFB" w14:textId="77777777" w:rsidR="00A53A4E" w:rsidRPr="00DE34A5" w:rsidRDefault="00A53A4E">
      <w:pPr>
        <w:spacing w:after="140"/>
        <w:jc w:val="both"/>
        <w:rPr>
          <w:rFonts w:ascii="Times New Roman" w:hAnsi="Times New Roman" w:cs="Times New Roman"/>
          <w:sz w:val="22"/>
          <w:szCs w:val="22"/>
        </w:rPr>
      </w:pPr>
      <w:r w:rsidRPr="00DE34A5">
        <w:rPr>
          <w:rFonts w:ascii="Times New Roman" w:hAnsi="Times New Roman" w:cs="Times New Roman"/>
          <w:sz w:val="22"/>
          <w:szCs w:val="22"/>
        </w:rPr>
        <w:t>Avant l'engagement d'une procédure judiciaire, la Direction du Crédit et des Engagements épuise l'ensemble des voies de recouvrement amiable ; ce n'est qu'en cas d'échec de ces démarches que le dossier est transféré à la Direction Juridique, qui engage alors la procédure judiciaire. Concrètement, le problème à résoudre est le suivant : un juriste responsable de plusieurs dizaines de ces dossiers ne peut pas savoir, à un instant donné, quelles échéances arrivent sur chacun d'eux : faute de rappel automatique, il arrive qu'une audience ou un délai de recours soit manqué. Quand une décision défavorable à la Banque devient ainsi définitive faute de recours exercé à temps, la Banque perd la possibilité de la contester, et donc de récupérer par cette voie la créance réclamée. Et quand, à l'inverse, une décision favorable à la Banque (comme une adjudication) n'est pas remontée jusqu'à la comptabilité, la Banque continue d'immobiliser inutilement une provision constituée pour un dossier de crédit pourtant déjà réglé en sa faveur.</w:t>
      </w:r>
    </w:p>
    <w:p w14:paraId="2C5FFC13" w14:textId="0C16EFA9"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Ce problème, documenté par la Direction Juridique elle-même dans le cahier des charges, n'est pas une hypothèse à vérifier mais un constat déjà établi. Il se manifeste concrètement de quatre façons :</w:t>
      </w:r>
    </w:p>
    <w:p w14:paraId="7956367F" w14:textId="79096861"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Rupture de </w:t>
      </w:r>
      <w:r w:rsidR="003F34D8" w:rsidRPr="00DE34A5">
        <w:rPr>
          <w:rFonts w:ascii="Times New Roman" w:hAnsi="Times New Roman" w:cs="Times New Roman"/>
          <w:b/>
          <w:bCs/>
          <w:sz w:val="22"/>
          <w:szCs w:val="22"/>
        </w:rPr>
        <w:t>suivi</w:t>
      </w:r>
      <w:r w:rsidR="003F34D8" w:rsidRPr="00DE34A5">
        <w:rPr>
          <w:rFonts w:ascii="Times New Roman" w:hAnsi="Times New Roman" w:cs="Times New Roman"/>
          <w:sz w:val="22"/>
          <w:szCs w:val="22"/>
        </w:rPr>
        <w:t xml:space="preserve"> :</w:t>
      </w:r>
      <w:r w:rsidRPr="00DE34A5">
        <w:rPr>
          <w:rFonts w:ascii="Times New Roman" w:hAnsi="Times New Roman" w:cs="Times New Roman"/>
          <w:sz w:val="22"/>
          <w:szCs w:val="22"/>
        </w:rPr>
        <w:t xml:space="preserve"> l'absence de base de données centralisée empêche toute vue consolidée des dossiers en cours, et expose à des doublons d'attribution entre juristes.</w:t>
      </w:r>
    </w:p>
    <w:p w14:paraId="7B759EEB" w14:textId="6C16D44F"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Rupture </w:t>
      </w:r>
      <w:r w:rsidR="003F34D8" w:rsidRPr="00DE34A5">
        <w:rPr>
          <w:rFonts w:ascii="Times New Roman" w:hAnsi="Times New Roman" w:cs="Times New Roman"/>
          <w:b/>
          <w:bCs/>
          <w:sz w:val="22"/>
          <w:szCs w:val="22"/>
        </w:rPr>
        <w:t>d’alerte :</w:t>
      </w:r>
      <w:r w:rsidRPr="00DE34A5">
        <w:rPr>
          <w:rFonts w:ascii="Times New Roman" w:hAnsi="Times New Roman" w:cs="Times New Roman"/>
          <w:sz w:val="22"/>
          <w:szCs w:val="22"/>
        </w:rPr>
        <w:t xml:space="preserve"> sans système d'alerte digitale, les échéances critiques</w:t>
      </w:r>
      <w:r w:rsidR="003F4931" w:rsidRPr="00DE34A5">
        <w:rPr>
          <w:rFonts w:ascii="Times New Roman" w:hAnsi="Times New Roman" w:cs="Times New Roman"/>
          <w:sz w:val="22"/>
          <w:szCs w:val="22"/>
        </w:rPr>
        <w:t> :</w:t>
      </w:r>
      <w:r w:rsidRPr="00DE34A5">
        <w:rPr>
          <w:rFonts w:ascii="Times New Roman" w:hAnsi="Times New Roman" w:cs="Times New Roman"/>
          <w:sz w:val="22"/>
          <w:szCs w:val="22"/>
        </w:rPr>
        <w:t xml:space="preserve"> dates d'audience, délais d'exercice des voies de recours reposent sur la seule vigilance individuelle des juristes, avec un risque de dépassement.</w:t>
      </w:r>
    </w:p>
    <w:p w14:paraId="6A5E9614" w14:textId="42DBC339"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Rupture de traçabilité financière</w:t>
      </w:r>
      <w:r w:rsidR="003F34D8">
        <w:rPr>
          <w:rFonts w:ascii="Times New Roman" w:hAnsi="Times New Roman" w:cs="Times New Roman"/>
          <w:b/>
          <w:bCs/>
          <w:sz w:val="22"/>
          <w:szCs w:val="22"/>
        </w:rPr>
        <w:t xml:space="preserve"> </w:t>
      </w:r>
      <w:r w:rsidRPr="00DE34A5">
        <w:rPr>
          <w:rFonts w:ascii="Times New Roman" w:hAnsi="Times New Roman" w:cs="Times New Roman"/>
          <w:sz w:val="22"/>
          <w:szCs w:val="22"/>
        </w:rPr>
        <w:t xml:space="preserve">: l'absence de suivi structuré des adjudications, des provisions et des taxations d'émoluments empêche la Banque de connaître avec fiabilité l'état réel de son risque crédit résiduel </w:t>
      </w:r>
      <w:r w:rsidRPr="00DE34A5">
        <w:rPr>
          <w:rFonts w:ascii="Times New Roman" w:hAnsi="Times New Roman" w:cs="Times New Roman"/>
          <w:sz w:val="22"/>
          <w:szCs w:val="22"/>
        </w:rPr>
        <w:lastRenderedPageBreak/>
        <w:t>sur les dossiers contentieux, ce qui se traduit notamment par une mauvaise évaluation des provisions sur litiges (cf. §2.3).</w:t>
      </w:r>
    </w:p>
    <w:p w14:paraId="49B06F15" w14:textId="03DD4A89"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Rupture de pilotage</w:t>
      </w:r>
      <w:r w:rsidR="003F34D8">
        <w:rPr>
          <w:rFonts w:ascii="Times New Roman" w:hAnsi="Times New Roman" w:cs="Times New Roman"/>
          <w:b/>
          <w:bCs/>
          <w:sz w:val="22"/>
          <w:szCs w:val="22"/>
        </w:rPr>
        <w:t xml:space="preserve"> </w:t>
      </w:r>
      <w:r w:rsidRPr="00DE34A5">
        <w:rPr>
          <w:rFonts w:ascii="Times New Roman" w:hAnsi="Times New Roman" w:cs="Times New Roman"/>
          <w:sz w:val="22"/>
          <w:szCs w:val="22"/>
        </w:rPr>
        <w:t>: aucun reporting consolidé n'existe, privant la Direction Juridique et la Direction Générale de toute vision stratégique sur le portefeuille contentieux.</w:t>
      </w:r>
    </w:p>
    <w:p w14:paraId="10A24F19"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3.2 Impacts et conséquences sur la performance de la Banque</w:t>
      </w:r>
    </w:p>
    <w:p w14:paraId="4A216D89" w14:textId="5A09067B" w:rsidR="00A04900" w:rsidRPr="00DE34A5" w:rsidRDefault="00A04900" w:rsidP="00A04900">
      <w:pPr>
        <w:spacing w:after="140"/>
        <w:jc w:val="both"/>
        <w:rPr>
          <w:rFonts w:ascii="Times New Roman" w:hAnsi="Times New Roman" w:cs="Times New Roman"/>
          <w:bCs/>
          <w:sz w:val="22"/>
          <w:szCs w:val="22"/>
        </w:rPr>
      </w:pPr>
      <w:r w:rsidRPr="00DE34A5">
        <w:rPr>
          <w:rFonts w:ascii="Times New Roman" w:hAnsi="Times New Roman" w:cs="Times New Roman"/>
          <w:b/>
          <w:sz w:val="22"/>
          <w:szCs w:val="22"/>
        </w:rPr>
        <w:t>Impact sur le travail du juriste :</w:t>
      </w:r>
      <w:r w:rsidRPr="00DE34A5">
        <w:rPr>
          <w:rFonts w:ascii="Times New Roman" w:hAnsi="Times New Roman" w:cs="Times New Roman"/>
          <w:bCs/>
          <w:sz w:val="22"/>
          <w:szCs w:val="22"/>
        </w:rPr>
        <w:t xml:space="preserve"> Sans suivi centralisé, un juriste qui gère plusieurs dizaines de dossiers doit reparcourir chacun d'eux manuellement pour savoir ce qui est imminent. Il passe du temps à surveiller ce qu'un système devrait lui rappeler automatiquement, au détriment du traitement réel de ses dossiers.</w:t>
      </w:r>
    </w:p>
    <w:p w14:paraId="7F73F74F" w14:textId="77777777" w:rsidR="00A04900" w:rsidRPr="00DE34A5" w:rsidRDefault="00A04900" w:rsidP="00A04900">
      <w:pPr>
        <w:spacing w:after="140"/>
        <w:jc w:val="both"/>
        <w:rPr>
          <w:rFonts w:ascii="Times New Roman" w:hAnsi="Times New Roman" w:cs="Times New Roman"/>
          <w:bCs/>
          <w:sz w:val="22"/>
          <w:szCs w:val="22"/>
        </w:rPr>
      </w:pPr>
      <w:r w:rsidRPr="00DE34A5">
        <w:rPr>
          <w:rFonts w:ascii="Times New Roman" w:hAnsi="Times New Roman" w:cs="Times New Roman"/>
          <w:b/>
          <w:sz w:val="22"/>
          <w:szCs w:val="22"/>
        </w:rPr>
        <w:t>Impact sur la défense des intérêts de la Banque</w:t>
      </w:r>
      <w:r w:rsidRPr="00DE34A5">
        <w:rPr>
          <w:rFonts w:ascii="Times New Roman" w:hAnsi="Times New Roman" w:cs="Times New Roman"/>
          <w:bCs/>
          <w:sz w:val="22"/>
          <w:szCs w:val="22"/>
        </w:rPr>
        <w:t xml:space="preserve"> : Cette dépendance à la seule vigilance individuelle finit, sur un volume de plusieurs centaines de dossiers actifs, par laisser passer une échéance sans que personne ne s'en aperçoive à temps. Lorsque la décision manquée était défavorable à la Banque, celle-ci devient définitive faute de recours exercé dans les délais, et la Banque perd la possibilité de la contester.</w:t>
      </w:r>
    </w:p>
    <w:p w14:paraId="7E447ED1" w14:textId="274A72EE" w:rsidR="007C69F3" w:rsidRPr="00DE34A5" w:rsidRDefault="00A04900" w:rsidP="00A04900">
      <w:pPr>
        <w:spacing w:after="140"/>
        <w:jc w:val="both"/>
        <w:rPr>
          <w:rFonts w:ascii="Times New Roman" w:hAnsi="Times New Roman" w:cs="Times New Roman"/>
          <w:bCs/>
          <w:sz w:val="22"/>
          <w:szCs w:val="22"/>
        </w:rPr>
      </w:pPr>
      <w:r w:rsidRPr="00DE34A5">
        <w:rPr>
          <w:rFonts w:ascii="Times New Roman" w:hAnsi="Times New Roman" w:cs="Times New Roman"/>
          <w:b/>
          <w:sz w:val="22"/>
          <w:szCs w:val="22"/>
        </w:rPr>
        <w:t>Impact financier :</w:t>
      </w:r>
      <w:r w:rsidRPr="00DE34A5">
        <w:rPr>
          <w:rFonts w:ascii="Times New Roman" w:hAnsi="Times New Roman" w:cs="Times New Roman"/>
          <w:bCs/>
          <w:sz w:val="22"/>
          <w:szCs w:val="22"/>
        </w:rPr>
        <w:t xml:space="preserve"> Lorsqu'une décision défavorable devient ainsi définitive, la Banque perd la créance qu'elle aurait pu recouvrer par cette voie de recours. Et lorsque, à l'inverse, une décision favorable à la Banque (comme une adjudication) n'est pas remontée jusqu'à la comptabilité, la Banque continue d'immobiliser inutilement une provision constituée pour un dossier de crédit pourtant déjà réglé en sa faveur. Dans les deux cas, c'est de l'argent réel de la Banque qui est affecté.</w:t>
      </w:r>
    </w:p>
    <w:p w14:paraId="24C20F10"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3.3 Enjeux stratégiques</w:t>
      </w:r>
    </w:p>
    <w:p w14:paraId="43C8AB75"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Ce projet s'inscrit dans l'ambition stratégique 2026-2030 d'Afriland First Bank en matière de digitalisation de ses processus internes. Pour la Direction Juridique, l'enjeu dépasse la seule efficacité opérationnelle : disposer d'un pilotage fiable du contentieux, c'est directement fiabiliser la mesure du risque crédit résiduel de la Banque sur les dossiers en recouvrement judiciaire, sécuriser la conformité au seuil réglementaire d'adjudication (25 % des fonds propres nets), et donner à la Direction Générale une vision consolidée d'un risque qui, aujourd'hui, échappe largement à tout pilotage centralisé.</w:t>
      </w:r>
    </w:p>
    <w:p w14:paraId="04668EC2"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IV. Question centrale du mémoire</w:t>
      </w:r>
    </w:p>
    <w:p w14:paraId="6D7F677D"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À la différence d'une question de recherche appelant une vérification empirique, la question centrale du présent mémoire oriente directement la conception et la réalisation de la plateforme :</w:t>
      </w:r>
    </w:p>
    <w:p w14:paraId="4BB21D65" w14:textId="5B8121AA" w:rsidR="000756B8" w:rsidRPr="00DE34A5" w:rsidRDefault="00E453B5">
      <w:pPr>
        <w:spacing w:after="140"/>
        <w:jc w:val="both"/>
        <w:rPr>
          <w:rFonts w:ascii="Times New Roman" w:hAnsi="Times New Roman" w:cs="Times New Roman"/>
          <w:sz w:val="22"/>
          <w:szCs w:val="22"/>
        </w:rPr>
      </w:pPr>
      <w:r w:rsidRPr="00DE34A5">
        <w:rPr>
          <w:rFonts w:ascii="Times New Roman" w:hAnsi="Times New Roman" w:cs="Times New Roman"/>
          <w:b/>
          <w:bCs/>
          <w:sz w:val="22"/>
          <w:szCs w:val="22"/>
        </w:rPr>
        <w:t>Comment la Banque peut-elle améliorer le recouvrement judiciaire de ses créances en dotant la Direction Juridique d'une plateforme numérique dédiée, structurée autour de trois piliers</w:t>
      </w:r>
      <w:r w:rsidR="00137E0D" w:rsidRPr="00DE34A5">
        <w:rPr>
          <w:rFonts w:ascii="Times New Roman" w:hAnsi="Times New Roman" w:cs="Times New Roman"/>
          <w:b/>
          <w:bCs/>
          <w:sz w:val="22"/>
          <w:szCs w:val="22"/>
        </w:rPr>
        <w:t> :</w:t>
      </w:r>
      <w:r w:rsidR="00DE34A5">
        <w:rPr>
          <w:rFonts w:ascii="Times New Roman" w:hAnsi="Times New Roman" w:cs="Times New Roman"/>
          <w:b/>
          <w:bCs/>
          <w:sz w:val="22"/>
          <w:szCs w:val="22"/>
        </w:rPr>
        <w:t xml:space="preserve"> </w:t>
      </w:r>
      <w:r w:rsidRPr="00DE34A5">
        <w:rPr>
          <w:rFonts w:ascii="Times New Roman" w:hAnsi="Times New Roman" w:cs="Times New Roman"/>
          <w:b/>
          <w:bCs/>
          <w:sz w:val="22"/>
          <w:szCs w:val="22"/>
        </w:rPr>
        <w:t>le suivi des audiences, le suivi des délibérés et</w:t>
      </w:r>
      <w:r w:rsidR="00137E0D" w:rsidRPr="00DE34A5">
        <w:rPr>
          <w:rFonts w:ascii="Times New Roman" w:hAnsi="Times New Roman" w:cs="Times New Roman"/>
          <w:b/>
          <w:bCs/>
          <w:sz w:val="22"/>
          <w:szCs w:val="22"/>
        </w:rPr>
        <w:t xml:space="preserve"> </w:t>
      </w:r>
      <w:r w:rsidRPr="00DE34A5">
        <w:rPr>
          <w:rFonts w:ascii="Times New Roman" w:hAnsi="Times New Roman" w:cs="Times New Roman"/>
          <w:b/>
          <w:bCs/>
          <w:sz w:val="22"/>
          <w:szCs w:val="22"/>
        </w:rPr>
        <w:t>la gestion des décisions devenues définitives permettant de centraliser le suivi des procédures judiciaires, d'automatiser les alertes sur les échéances critiques, et de disposer d'un pilotage fiable du risque crédit résiduel en matière de contentieux ?</w:t>
      </w:r>
    </w:p>
    <w:p w14:paraId="0B1E969E"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 xml:space="preserve">V. Hypothèses de </w:t>
      </w:r>
      <w:r w:rsidR="00675ED0" w:rsidRPr="00DE34A5">
        <w:rPr>
          <w:rFonts w:ascii="Times New Roman" w:hAnsi="Times New Roman" w:cs="Times New Roman"/>
          <w:b/>
          <w:bCs/>
          <w:color w:val="C00000"/>
          <w:sz w:val="28"/>
          <w:szCs w:val="28"/>
        </w:rPr>
        <w:t>travail retenu</w:t>
      </w:r>
    </w:p>
    <w:p w14:paraId="2F84E698"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Le besoin étant déjà réel et exprimé par le client, cette section ne présente pas des hypothèses à confirmer par une enquête, mais les partis pris de conception retenus au fil des échanges avec la Direction Juridique et la DSI, et déjà validés à la date de rédaction de la présente note.</w:t>
      </w:r>
    </w:p>
    <w:p w14:paraId="188F1BBB"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5.1 Hypothèse structurante retenue</w:t>
      </w:r>
    </w:p>
    <w:p w14:paraId="4527857D"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 xml:space="preserve">La centralisation digitale du suivi des dossiers judiciaires, combinée à un système d'alertes automatiques et à un reporting consolidé, permet de répondre aux risques identifiés au §2.3 et aux ruptures identifiées au §3.1 (suivi, alerte, traçabilité financière, pilotage), sans nécessiter d'intégration technique avec le système d'information existant de la Banque. Une simple saisie manuelle assurant la traçabilité des interactions avec les systèmes tiers (corebanking, comptabilité, système de paiement des prestataires) suffit à répondre au besoin </w:t>
      </w:r>
      <w:proofErr w:type="gramStart"/>
      <w:r w:rsidRPr="00DE34A5">
        <w:rPr>
          <w:rFonts w:ascii="Times New Roman" w:hAnsi="Times New Roman" w:cs="Times New Roman"/>
          <w:sz w:val="22"/>
          <w:szCs w:val="22"/>
        </w:rPr>
        <w:t>exprimé</w:t>
      </w:r>
      <w:proofErr w:type="gramEnd"/>
      <w:r w:rsidRPr="00DE34A5">
        <w:rPr>
          <w:rFonts w:ascii="Times New Roman" w:hAnsi="Times New Roman" w:cs="Times New Roman"/>
          <w:sz w:val="22"/>
          <w:szCs w:val="22"/>
        </w:rPr>
        <w:t>, ces systèmes assurant déjà eux-mêmes leurs fonctions respectives en dehors du périmètre de la présente plateforme.</w:t>
      </w:r>
    </w:p>
    <w:p w14:paraId="1838DADD"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5.2 Hypothèses de conception validées au fil du projet</w:t>
      </w:r>
    </w:p>
    <w:p w14:paraId="58310A94"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lastRenderedPageBreak/>
        <w:t>Les points suivants, initialement ambigus ou non tranchés dans le cahier des charges, ont été validés successivement par la Direction Juridique puis par la DSI, au moyen d'un questionnaire de clarification puis d'échanges techniques ciblés :</w:t>
      </w:r>
    </w:p>
    <w:p w14:paraId="6C6FB5BE"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Le développement est réalisé sur mesure (et non au moyen d'une solution low-code), intégralement conteneurisé (Docker), avec authentification centralisée via Keycloak pour l'ensemble des utilisateurs, y compris les avocats externes.</w:t>
      </w:r>
    </w:p>
    <w:p w14:paraId="149C1C08"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Seuls les avocats partenaires sont considérés comme des utilisateurs externes du système ; les autres prestataires (notaires, huissiers, greffiers, conservateurs fonciers) ne disposent pas de compte.</w:t>
      </w:r>
    </w:p>
    <w:p w14:paraId="43EC28DC"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Le paiement effectif des honoraires, émoluments et débours reste hors périmètre applicatif : la Banque l'exécute déjà par ses circuits existants ; seule la traçabilité du statut de paiement est requise.</w:t>
      </w:r>
    </w:p>
    <w:p w14:paraId="55E8647A"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Les intégrations techniques avec le corebanking, la comptabilité/DCPO et INTRA V2 ne sont pas nécessaires à ce stade : les informations qui en sont issues sont saisies manuellement, à des fins de centralisation et de traçabilité.</w:t>
      </w:r>
    </w:p>
    <w:p w14:paraId="4F636D04"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Le développement et les tests sont conduits intégralement en environnement local, avant transmission à une équipe dédiée de la DSI pour l'intégration au système d'information et le déploiement en production.</w:t>
      </w:r>
    </w:p>
    <w:p w14:paraId="345A2458" w14:textId="13909E6D" w:rsidR="000756B8" w:rsidRPr="00DE34A5" w:rsidRDefault="00A124D5">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Un délai de quatorze semaines, de la finalisation de l'analyse jusqu'aux tests en environnement local, constitue une planification réaliste au regard du périmètre fonctionnel validé, délai substitué à la demande initiale d'un mois formulée par la Direction Juridique.</w:t>
      </w:r>
    </w:p>
    <w:p w14:paraId="01312169"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VI. Objectifs du projet</w:t>
      </w:r>
    </w:p>
    <w:p w14:paraId="54DB59AA"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6.1 Objectif global</w:t>
      </w:r>
    </w:p>
    <w:p w14:paraId="7E0BA227" w14:textId="752C3B08" w:rsidR="000756B8" w:rsidRPr="00DE34A5" w:rsidRDefault="00A124D5">
      <w:pPr>
        <w:spacing w:after="140"/>
        <w:jc w:val="both"/>
        <w:rPr>
          <w:rFonts w:ascii="Times New Roman" w:hAnsi="Times New Roman" w:cs="Times New Roman"/>
          <w:sz w:val="22"/>
          <w:szCs w:val="22"/>
        </w:rPr>
      </w:pPr>
      <w:r w:rsidRPr="00DE34A5">
        <w:rPr>
          <w:rFonts w:ascii="Times New Roman" w:hAnsi="Times New Roman" w:cs="Times New Roman"/>
          <w:sz w:val="22"/>
          <w:szCs w:val="22"/>
        </w:rPr>
        <w:t>L'objectif global du présent mémoire est de concevoir et de développer, pour la Direction Juridique d'Afriland First Bank, une plateforme web de suivi des audiences et délibérés judiciaires, centralisant les dossiers contentieux, automatisant les alertes sur les échéances critiques, et produisant un reporting consolidé, le tout réalisé sous forme conteneurisée et validé en environnement local, préalablement à son intégration au système d'information de la Banque par une équipe dédiée de la DSI.</w:t>
      </w:r>
    </w:p>
    <w:p w14:paraId="1F589DD8"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6.2 Objectifs spécifiques (SMART)</w:t>
      </w:r>
    </w:p>
    <w:p w14:paraId="25AC1BB2"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O1 </w:t>
      </w:r>
      <w:r w:rsidR="00C9029A" w:rsidRPr="00DE34A5">
        <w:rPr>
          <w:rFonts w:ascii="Times New Roman" w:hAnsi="Times New Roman" w:cs="Times New Roman"/>
          <w:b/>
          <w:bCs/>
          <w:sz w:val="22"/>
          <w:szCs w:val="22"/>
        </w:rPr>
        <w:t>-</w:t>
      </w:r>
      <w:r w:rsidRPr="00DE34A5">
        <w:rPr>
          <w:rFonts w:ascii="Times New Roman" w:hAnsi="Times New Roman" w:cs="Times New Roman"/>
          <w:b/>
          <w:bCs/>
          <w:sz w:val="22"/>
          <w:szCs w:val="22"/>
        </w:rPr>
        <w:t xml:space="preserve">Analyser : </w:t>
      </w:r>
      <w:r w:rsidRPr="00DE34A5">
        <w:rPr>
          <w:rFonts w:ascii="Times New Roman" w:hAnsi="Times New Roman" w:cs="Times New Roman"/>
          <w:sz w:val="22"/>
          <w:szCs w:val="22"/>
        </w:rPr>
        <w:t>recueillir et clarifier le besoin exprimé par la Direction Juridique au moyen d'un cahier des charges, d'un questionnaire de clarification et d'échanges techniques avec la DSI, jusqu'à validation formelle du cahier des charges (réalisé, jalon atteint le 22/07/2026).</w:t>
      </w:r>
    </w:p>
    <w:p w14:paraId="56AF464B"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O2 </w:t>
      </w:r>
      <w:r w:rsidR="00C9029A" w:rsidRPr="00DE34A5">
        <w:rPr>
          <w:rFonts w:ascii="Times New Roman" w:hAnsi="Times New Roman" w:cs="Times New Roman"/>
          <w:b/>
          <w:bCs/>
          <w:sz w:val="22"/>
          <w:szCs w:val="22"/>
        </w:rPr>
        <w:t>-</w:t>
      </w:r>
      <w:r w:rsidRPr="00DE34A5">
        <w:rPr>
          <w:rFonts w:ascii="Times New Roman" w:hAnsi="Times New Roman" w:cs="Times New Roman"/>
          <w:b/>
          <w:bCs/>
          <w:sz w:val="22"/>
          <w:szCs w:val="22"/>
        </w:rPr>
        <w:t xml:space="preserve"> Spécifier : </w:t>
      </w:r>
      <w:r w:rsidRPr="00DE34A5">
        <w:rPr>
          <w:rFonts w:ascii="Times New Roman" w:hAnsi="Times New Roman" w:cs="Times New Roman"/>
          <w:sz w:val="22"/>
          <w:szCs w:val="22"/>
        </w:rPr>
        <w:t>traduire le cahier des charges validé en spécifications fonctionnelles détaillées et en user stories exploitables pour la modélisation.</w:t>
      </w:r>
    </w:p>
    <w:p w14:paraId="1D2881CA"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O3 </w:t>
      </w:r>
      <w:r w:rsidR="00C9029A" w:rsidRPr="00DE34A5">
        <w:rPr>
          <w:rFonts w:ascii="Times New Roman" w:hAnsi="Times New Roman" w:cs="Times New Roman"/>
          <w:b/>
          <w:bCs/>
          <w:sz w:val="22"/>
          <w:szCs w:val="22"/>
        </w:rPr>
        <w:t>-</w:t>
      </w:r>
      <w:r w:rsidRPr="00DE34A5">
        <w:rPr>
          <w:rFonts w:ascii="Times New Roman" w:hAnsi="Times New Roman" w:cs="Times New Roman"/>
          <w:b/>
          <w:bCs/>
          <w:sz w:val="22"/>
          <w:szCs w:val="22"/>
        </w:rPr>
        <w:t xml:space="preserve"> Concevoir : </w:t>
      </w:r>
      <w:r w:rsidRPr="00DE34A5">
        <w:rPr>
          <w:rFonts w:ascii="Times New Roman" w:hAnsi="Times New Roman" w:cs="Times New Roman"/>
          <w:sz w:val="22"/>
          <w:szCs w:val="22"/>
        </w:rPr>
        <w:t>modéliser le domaine métier (UML), définir l'architecture logicielle, le dictionnaire de données et le contrat d'API, chaque document étant validé séquentiellement par l'encadreur avant de passer au suivant.</w:t>
      </w:r>
    </w:p>
    <w:p w14:paraId="3607F45B"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O4 </w:t>
      </w:r>
      <w:r w:rsidR="00C9029A" w:rsidRPr="00DE34A5">
        <w:rPr>
          <w:rFonts w:ascii="Times New Roman" w:hAnsi="Times New Roman" w:cs="Times New Roman"/>
          <w:b/>
          <w:bCs/>
          <w:sz w:val="22"/>
          <w:szCs w:val="22"/>
        </w:rPr>
        <w:t>-</w:t>
      </w:r>
      <w:r w:rsidRPr="00DE34A5">
        <w:rPr>
          <w:rFonts w:ascii="Times New Roman" w:hAnsi="Times New Roman" w:cs="Times New Roman"/>
          <w:b/>
          <w:bCs/>
          <w:sz w:val="22"/>
          <w:szCs w:val="22"/>
        </w:rPr>
        <w:t xml:space="preserve"> Réaliser : </w:t>
      </w:r>
      <w:r w:rsidRPr="00DE34A5">
        <w:rPr>
          <w:rFonts w:ascii="Times New Roman" w:hAnsi="Times New Roman" w:cs="Times New Roman"/>
          <w:sz w:val="22"/>
          <w:szCs w:val="22"/>
        </w:rPr>
        <w:t>développer la plateforme (frontend, backend, authentification Keycloak) sous forme conteneurisée, conformément à l'architecture validée.</w:t>
      </w:r>
    </w:p>
    <w:p w14:paraId="6A3615F5"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O5 </w:t>
      </w:r>
      <w:r w:rsidR="00C9029A" w:rsidRPr="00DE34A5">
        <w:rPr>
          <w:rFonts w:ascii="Times New Roman" w:hAnsi="Times New Roman" w:cs="Times New Roman"/>
          <w:b/>
          <w:bCs/>
          <w:sz w:val="22"/>
          <w:szCs w:val="22"/>
        </w:rPr>
        <w:t>-</w:t>
      </w:r>
      <w:r w:rsidRPr="00DE34A5">
        <w:rPr>
          <w:rFonts w:ascii="Times New Roman" w:hAnsi="Times New Roman" w:cs="Times New Roman"/>
          <w:b/>
          <w:bCs/>
          <w:sz w:val="22"/>
          <w:szCs w:val="22"/>
        </w:rPr>
        <w:t xml:space="preserve"> Tester : </w:t>
      </w:r>
      <w:r w:rsidRPr="00DE34A5">
        <w:rPr>
          <w:rFonts w:ascii="Times New Roman" w:hAnsi="Times New Roman" w:cs="Times New Roman"/>
          <w:sz w:val="22"/>
          <w:szCs w:val="22"/>
        </w:rPr>
        <w:t>valider le fonctionnement de la plateforme en environnement local par des tests unitaires et fonctionnels, avant transmission à l'équipe DSI en charge de l'intégration et du déploiement.</w:t>
      </w:r>
    </w:p>
    <w:p w14:paraId="33305C40"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O6 - Déployer : </w:t>
      </w:r>
      <w:r w:rsidRPr="00DE34A5">
        <w:rPr>
          <w:rFonts w:ascii="Times New Roman" w:hAnsi="Times New Roman" w:cs="Times New Roman"/>
          <w:sz w:val="22"/>
          <w:szCs w:val="22"/>
        </w:rPr>
        <w:t>mettre en service la plateforme conteneurisée en environnement local (pilote), en vue de sa transmission à l'équipe DSI pour l'intégration au système d'information de la Banque et le déploiement en production.</w:t>
      </w:r>
    </w:p>
    <w:p w14:paraId="37F53C1C"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VII. Démarche méthodologique</w:t>
      </w:r>
    </w:p>
    <w:p w14:paraId="560FCB6C"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7.1 Démarche de résolution du problème</w:t>
      </w:r>
    </w:p>
    <w:p w14:paraId="36FBD27D" w14:textId="105BDBAF"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La résolution du problème identifié suit une démarche structurée en six étapes, conduites de façon séquentielle :</w:t>
      </w:r>
    </w:p>
    <w:p w14:paraId="614FDB4A" w14:textId="3E6971B1"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Compréhension du cahier des charges</w:t>
      </w:r>
      <w:r w:rsidR="003F34D8" w:rsidRPr="00DE34A5">
        <w:rPr>
          <w:rFonts w:ascii="Times New Roman" w:hAnsi="Times New Roman" w:cs="Times New Roman"/>
          <w:b/>
          <w:bCs/>
          <w:sz w:val="22"/>
          <w:szCs w:val="22"/>
        </w:rPr>
        <w:t xml:space="preserve"> :</w:t>
      </w:r>
      <w:r w:rsidR="003F34D8" w:rsidRPr="00DE34A5">
        <w:rPr>
          <w:rFonts w:ascii="Times New Roman" w:hAnsi="Times New Roman" w:cs="Times New Roman"/>
          <w:sz w:val="22"/>
          <w:szCs w:val="22"/>
        </w:rPr>
        <w:t xml:space="preserve"> lecture</w:t>
      </w:r>
      <w:r w:rsidRPr="00DE34A5">
        <w:rPr>
          <w:rFonts w:ascii="Times New Roman" w:hAnsi="Times New Roman" w:cs="Times New Roman"/>
          <w:sz w:val="22"/>
          <w:szCs w:val="22"/>
        </w:rPr>
        <w:t xml:space="preserve"> intégrale, analyse critique et compréhension du besoin exprimé par la Direction Juridique.</w:t>
      </w:r>
    </w:p>
    <w:p w14:paraId="4F9C9021" w14:textId="75D7524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lastRenderedPageBreak/>
        <w:t>Scoping :</w:t>
      </w:r>
      <w:r w:rsidR="003F34D8">
        <w:rPr>
          <w:rFonts w:ascii="Times New Roman" w:hAnsi="Times New Roman" w:cs="Times New Roman"/>
          <w:b/>
          <w:bCs/>
          <w:sz w:val="22"/>
          <w:szCs w:val="22"/>
        </w:rPr>
        <w:t xml:space="preserve"> </w:t>
      </w:r>
      <w:r w:rsidRPr="00DE34A5">
        <w:rPr>
          <w:rFonts w:ascii="Times New Roman" w:hAnsi="Times New Roman" w:cs="Times New Roman"/>
          <w:sz w:val="22"/>
          <w:szCs w:val="22"/>
        </w:rPr>
        <w:t>échanges ciblés avec la Direction Juridique pour lever les ambiguïtés, clarifier les zones d'ombre et délimiter précisément le périmètre du projet</w:t>
      </w:r>
      <w:r w:rsidR="00B738F2" w:rsidRPr="00DE34A5">
        <w:rPr>
          <w:rFonts w:ascii="Times New Roman" w:hAnsi="Times New Roman" w:cs="Times New Roman"/>
          <w:sz w:val="22"/>
          <w:szCs w:val="22"/>
        </w:rPr>
        <w:t xml:space="preserve"> ; </w:t>
      </w:r>
      <w:r w:rsidRPr="00DE34A5">
        <w:rPr>
          <w:rFonts w:ascii="Times New Roman" w:hAnsi="Times New Roman" w:cs="Times New Roman"/>
          <w:sz w:val="22"/>
          <w:szCs w:val="22"/>
        </w:rPr>
        <w:t>ce qui est inclus, ce qui ne l'est pas.</w:t>
      </w:r>
    </w:p>
    <w:p w14:paraId="4452318E" w14:textId="607C6168"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Production des documents de construction :</w:t>
      </w:r>
      <w:r w:rsidR="003F34D8">
        <w:rPr>
          <w:rFonts w:ascii="Times New Roman" w:hAnsi="Times New Roman" w:cs="Times New Roman"/>
          <w:b/>
          <w:bCs/>
          <w:sz w:val="22"/>
          <w:szCs w:val="22"/>
        </w:rPr>
        <w:t xml:space="preserve"> </w:t>
      </w:r>
      <w:r w:rsidRPr="00DE34A5">
        <w:rPr>
          <w:rFonts w:ascii="Times New Roman" w:hAnsi="Times New Roman" w:cs="Times New Roman"/>
          <w:sz w:val="22"/>
          <w:szCs w:val="22"/>
        </w:rPr>
        <w:t>rédaction séquentielle des spécifications fonctionnelles, des user stories, de la modélisation UML, de l'architecture, du dictionnaire de données et du contrat d'API, chacun validé par l'encadreur avant de passer au suivant.</w:t>
      </w:r>
    </w:p>
    <w:p w14:paraId="2044002F" w14:textId="1EB1B71D"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Développement de la solution :</w:t>
      </w:r>
      <w:r w:rsidR="003F34D8">
        <w:rPr>
          <w:rFonts w:ascii="Times New Roman" w:hAnsi="Times New Roman" w:cs="Times New Roman"/>
          <w:b/>
          <w:bCs/>
          <w:sz w:val="22"/>
          <w:szCs w:val="22"/>
        </w:rPr>
        <w:t xml:space="preserve"> </w:t>
      </w:r>
      <w:r w:rsidRPr="00DE34A5">
        <w:rPr>
          <w:rFonts w:ascii="Times New Roman" w:hAnsi="Times New Roman" w:cs="Times New Roman"/>
          <w:sz w:val="22"/>
          <w:szCs w:val="22"/>
        </w:rPr>
        <w:t>réalisation du frontend et du backend, intégration de l'authentification Keycloak, sous forme conteneurisée.</w:t>
      </w:r>
    </w:p>
    <w:p w14:paraId="6BC7DE9E" w14:textId="22CA8F54"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Test :</w:t>
      </w:r>
      <w:r w:rsidR="003F34D8">
        <w:rPr>
          <w:rFonts w:ascii="Times New Roman" w:hAnsi="Times New Roman" w:cs="Times New Roman"/>
          <w:b/>
          <w:bCs/>
          <w:sz w:val="22"/>
          <w:szCs w:val="22"/>
        </w:rPr>
        <w:t xml:space="preserve"> </w:t>
      </w:r>
      <w:r w:rsidRPr="00DE34A5">
        <w:rPr>
          <w:rFonts w:ascii="Times New Roman" w:hAnsi="Times New Roman" w:cs="Times New Roman"/>
          <w:sz w:val="22"/>
          <w:szCs w:val="22"/>
        </w:rPr>
        <w:t>tests unitaires et fonctionnels de la plateforme en environnement local.</w:t>
      </w:r>
    </w:p>
    <w:p w14:paraId="6DB4418A" w14:textId="4FE96168"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Déploiement :</w:t>
      </w:r>
      <w:r w:rsidR="003F34D8">
        <w:rPr>
          <w:rFonts w:ascii="Times New Roman" w:hAnsi="Times New Roman" w:cs="Times New Roman"/>
          <w:b/>
          <w:bCs/>
          <w:sz w:val="22"/>
          <w:szCs w:val="22"/>
        </w:rPr>
        <w:t xml:space="preserve"> </w:t>
      </w:r>
      <w:r w:rsidRPr="00DE34A5">
        <w:rPr>
          <w:rFonts w:ascii="Times New Roman" w:hAnsi="Times New Roman" w:cs="Times New Roman"/>
          <w:sz w:val="22"/>
          <w:szCs w:val="22"/>
        </w:rPr>
        <w:t>mise en service de la plateforme en environnement local (pilote), avant transmission à l'équipe DSI pour l'intégration au système d'information de la Banque et le déploiement en production.</w:t>
      </w:r>
    </w:p>
    <w:p w14:paraId="75C6E098"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7.2 Approche de réalisation</w:t>
      </w:r>
    </w:p>
    <w:p w14:paraId="69A32997"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La réalisation de la plateforme suit une approche hybride, comparable à celle retenue pour d'autres projets de mémoire conduits au sein de la DSI d'Afriland First Bank : les principes du cycle en V pour la documentation et la validation séquentielle des livrables (cahier des charges, spécifications fonctionnelles, user stories, modélisation UML, architecture, dictionnaire de données, contrat d'API, chacun validé avant le suivant), et les principes agiles pour la réalisation incrémentale de la plateforme elle-même. Cette approche garantit la rigueur documentaire attendue en contexte bancaire tout en conservant la flexibilité nécessaire à l'adaptation aux retours des parties prenantes.</w:t>
      </w:r>
    </w:p>
    <w:p w14:paraId="337F8828"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7.3 Phases du projet</w:t>
      </w:r>
    </w:p>
    <w:p w14:paraId="3E973B80"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Phase d'analyse (réalisée) : </w:t>
      </w:r>
      <w:r w:rsidRPr="00DE34A5">
        <w:rPr>
          <w:rFonts w:ascii="Times New Roman" w:hAnsi="Times New Roman" w:cs="Times New Roman"/>
          <w:sz w:val="22"/>
          <w:szCs w:val="22"/>
        </w:rPr>
        <w:t>recueil du besoin, clarification et validation formelle du cahier des charges par la Direction Juridique.</w:t>
      </w:r>
    </w:p>
    <w:p w14:paraId="4AD27697"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Phase de spécification (en cours) : </w:t>
      </w:r>
      <w:r w:rsidRPr="00DE34A5">
        <w:rPr>
          <w:rFonts w:ascii="Times New Roman" w:hAnsi="Times New Roman" w:cs="Times New Roman"/>
          <w:sz w:val="22"/>
          <w:szCs w:val="22"/>
        </w:rPr>
        <w:t>rédaction des spécifications fonctionnelles détaillées, puis des user stories.</w:t>
      </w:r>
    </w:p>
    <w:p w14:paraId="071C5793"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Phase de conception : </w:t>
      </w:r>
      <w:r w:rsidRPr="00DE34A5">
        <w:rPr>
          <w:rFonts w:ascii="Times New Roman" w:hAnsi="Times New Roman" w:cs="Times New Roman"/>
          <w:sz w:val="22"/>
          <w:szCs w:val="22"/>
        </w:rPr>
        <w:t>modélisation UML, définition de l'architecture logicielle, du dictionnaire de données et du contrat d'API, chacun validé par l'encadreur.</w:t>
      </w:r>
    </w:p>
    <w:p w14:paraId="65585846"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Phase de réalisation : </w:t>
      </w:r>
      <w:r w:rsidRPr="00DE34A5">
        <w:rPr>
          <w:rFonts w:ascii="Times New Roman" w:hAnsi="Times New Roman" w:cs="Times New Roman"/>
          <w:sz w:val="22"/>
          <w:szCs w:val="22"/>
        </w:rPr>
        <w:t>développement conteneurisé du frontend et du backend, intégration de l'authentification Keycloak.</w:t>
      </w:r>
    </w:p>
    <w:p w14:paraId="093F6646"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Phase de test et de déploiement pilote (local) : déploiement de la plateforme conteneurisée en environnement local, tests unitaires et fonctionnels.</w:t>
      </w:r>
    </w:p>
    <w:p w14:paraId="60435409" w14:textId="5E6CEF33"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Phase de transmission : </w:t>
      </w:r>
      <w:r w:rsidRPr="00DE34A5">
        <w:rPr>
          <w:rFonts w:ascii="Times New Roman" w:hAnsi="Times New Roman" w:cs="Times New Roman"/>
          <w:sz w:val="22"/>
          <w:szCs w:val="22"/>
        </w:rPr>
        <w:t xml:space="preserve">remise de la version locale validée à l'équipe DSI en charge de l'intégration au système d'information et du déploiement en </w:t>
      </w:r>
      <w:r w:rsidR="004977C0" w:rsidRPr="00DE34A5">
        <w:rPr>
          <w:rFonts w:ascii="Times New Roman" w:hAnsi="Times New Roman" w:cs="Times New Roman"/>
          <w:sz w:val="22"/>
          <w:szCs w:val="22"/>
        </w:rPr>
        <w:t>production, phase</w:t>
      </w:r>
      <w:r w:rsidRPr="00DE34A5">
        <w:rPr>
          <w:rFonts w:ascii="Times New Roman" w:hAnsi="Times New Roman" w:cs="Times New Roman"/>
          <w:sz w:val="22"/>
          <w:szCs w:val="22"/>
        </w:rPr>
        <w:t xml:space="preserve"> qui excède le périmètre du présent mémoire.</w:t>
      </w:r>
    </w:p>
    <w:p w14:paraId="11FBB77D"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VIII. Planning prévisionnel</w:t>
      </w:r>
    </w:p>
    <w:p w14:paraId="00BADE34"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8.1 Chronogramme des activités</w:t>
      </w:r>
    </w:p>
    <w:p w14:paraId="1BEB0F50"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Le déroulement du projet s'articule sur une durée totale de quatorze semaines, de la finalisation de l'analyse jusqu'aux tests en environnement local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2737"/>
        <w:gridCol w:w="6124"/>
      </w:tblGrid>
      <w:tr w:rsidR="000756B8" w:rsidRPr="00DE34A5" w14:paraId="6A5AE901" w14:textId="77777777" w:rsidTr="00DE34A5">
        <w:tc>
          <w:tcPr>
            <w:tcW w:w="1345"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23B7402A"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b/>
                <w:bCs/>
                <w:color w:val="FFFFFF"/>
              </w:rPr>
              <w:t>Période</w:t>
            </w:r>
          </w:p>
        </w:tc>
        <w:tc>
          <w:tcPr>
            <w:tcW w:w="2737"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482550E7"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b/>
                <w:bCs/>
                <w:color w:val="FFFFFF"/>
              </w:rPr>
              <w:t>Phase</w:t>
            </w:r>
          </w:p>
        </w:tc>
        <w:tc>
          <w:tcPr>
            <w:tcW w:w="6124"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5A9D949B"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b/>
                <w:bCs/>
                <w:color w:val="FFFFFF"/>
              </w:rPr>
              <w:t>Activités principales</w:t>
            </w:r>
          </w:p>
        </w:tc>
      </w:tr>
      <w:tr w:rsidR="000756B8" w:rsidRPr="00DE34A5" w14:paraId="7C9359BE"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CA9BE61"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 1</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6F9621C"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Analyse</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835A1F7"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Finalisation du cahier des charges et validation des exigences.</w:t>
            </w:r>
          </w:p>
        </w:tc>
      </w:tr>
      <w:tr w:rsidR="000756B8" w:rsidRPr="00DE34A5" w14:paraId="0EAF26BA"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BE6C622"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 2</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F4BE6C9"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Spécification</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DE17E18"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Rédaction des spécifications fonctionnelles détaillées et du backlog de user stories.</w:t>
            </w:r>
          </w:p>
        </w:tc>
      </w:tr>
      <w:tr w:rsidR="000756B8" w:rsidRPr="00DE34A5" w14:paraId="34FDAA7F"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06D7666"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 3</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264162D"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Conception (UML)</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4B37E36"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Modélisation UML : cas d'utilisation, classes, séquence.</w:t>
            </w:r>
          </w:p>
        </w:tc>
      </w:tr>
      <w:tr w:rsidR="000756B8" w:rsidRPr="00DE34A5" w14:paraId="1EB5B463"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2828B8E"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 4</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53069A7"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Conception (architecture)</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D5205D0"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Conception de l'architecture logicielle.</w:t>
            </w:r>
          </w:p>
        </w:tc>
      </w:tr>
      <w:tr w:rsidR="000756B8" w:rsidRPr="00DE34A5" w14:paraId="432DD844"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BD5F9CE"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 5</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ADD2463"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Conception (données)</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0C9A78F"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Conception de la base de données et rédaction du dictionnaire de données.</w:t>
            </w:r>
          </w:p>
        </w:tc>
      </w:tr>
      <w:tr w:rsidR="000756B8" w:rsidRPr="00DE34A5" w14:paraId="795CFAFC"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0CE6ED6"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 6</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A7EE22F"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Conception (API)</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0B7E1C5"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Conception du contrat d'API.</w:t>
            </w:r>
          </w:p>
        </w:tc>
      </w:tr>
      <w:tr w:rsidR="000756B8" w:rsidRPr="00DE34A5" w14:paraId="209200FB"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F158D21"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lastRenderedPageBreak/>
              <w:t>Semaine 7</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8D4274B"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Planification &amp; environnement</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DF44F45"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Plan de développement (sprints) ; mise en place de l'environnement conteneurisé (Docker, Keycloak).</w:t>
            </w:r>
          </w:p>
        </w:tc>
      </w:tr>
      <w:tr w:rsidR="000756B8" w:rsidRPr="00DE34A5" w14:paraId="2A34727B"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C3C5ADA"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Semaines 8 - 11</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276237A"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Réalisation</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93BE7B3"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Développement backend et frontend ; intégration de l'authentification Keycloak.</w:t>
            </w:r>
          </w:p>
        </w:tc>
      </w:tr>
      <w:tr w:rsidR="000756B8" w:rsidRPr="00DE34A5" w14:paraId="0D9ACFE4"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91891DB"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 12</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EA048BC"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Intégration applicative</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6134DC1"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Intégration backend/frontend, alertes, reporting et tableaux de bord.</w:t>
            </w:r>
          </w:p>
        </w:tc>
      </w:tr>
      <w:tr w:rsidR="000756B8" w:rsidRPr="00DE34A5" w14:paraId="10FC814C"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7260B17"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 13</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98419BE"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Tests</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BDC6431"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Tests unitaires, fonctionnels et recette interne en environnement local.</w:t>
            </w:r>
          </w:p>
        </w:tc>
      </w:tr>
      <w:tr w:rsidR="000756B8" w:rsidRPr="00DE34A5" w14:paraId="7E519A2F" w14:textId="77777777" w:rsidTr="00DE34A5">
        <w:tc>
          <w:tcPr>
            <w:tcW w:w="134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1F8FDC0"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Semaine 14</w:t>
            </w:r>
          </w:p>
        </w:tc>
        <w:tc>
          <w:tcPr>
            <w:tcW w:w="273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82B90FC"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Stabilisation &amp; documentation</w:t>
            </w:r>
          </w:p>
        </w:tc>
        <w:tc>
          <w:tcPr>
            <w:tcW w:w="6124"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A65CC0C"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Corrections, documentation technique et utilisateur, remise de la version locale validée.</w:t>
            </w:r>
          </w:p>
        </w:tc>
      </w:tr>
    </w:tbl>
    <w:p w14:paraId="1B94F543"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8.2 Jalons majeurs et délais</w:t>
      </w:r>
    </w:p>
    <w:p w14:paraId="3C91CC4E"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Jalon 1 : </w:t>
      </w:r>
      <w:r w:rsidRPr="00DE34A5">
        <w:rPr>
          <w:rFonts w:ascii="Times New Roman" w:hAnsi="Times New Roman" w:cs="Times New Roman"/>
          <w:sz w:val="22"/>
          <w:szCs w:val="22"/>
        </w:rPr>
        <w:t xml:space="preserve">Validation du cahier des charges par la Direction Juridique </w:t>
      </w:r>
      <w:r w:rsidR="00C9029A" w:rsidRPr="00DE34A5">
        <w:rPr>
          <w:rFonts w:ascii="Times New Roman" w:hAnsi="Times New Roman" w:cs="Times New Roman"/>
          <w:sz w:val="22"/>
          <w:szCs w:val="22"/>
        </w:rPr>
        <w:t>-</w:t>
      </w:r>
      <w:r w:rsidRPr="00DE34A5">
        <w:rPr>
          <w:rFonts w:ascii="Times New Roman" w:hAnsi="Times New Roman" w:cs="Times New Roman"/>
          <w:sz w:val="22"/>
          <w:szCs w:val="22"/>
        </w:rPr>
        <w:t xml:space="preserve"> atteint le 22 juillet 2026 (semaine 1).</w:t>
      </w:r>
    </w:p>
    <w:p w14:paraId="40579252" w14:textId="172BFD2B"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Jalon 2 : </w:t>
      </w:r>
      <w:r w:rsidRPr="00DE34A5">
        <w:rPr>
          <w:rFonts w:ascii="Times New Roman" w:hAnsi="Times New Roman" w:cs="Times New Roman"/>
          <w:sz w:val="22"/>
          <w:szCs w:val="22"/>
        </w:rPr>
        <w:t>Validation de l'ensemble des documents de construction (</w:t>
      </w:r>
      <w:r w:rsidR="00E46690" w:rsidRPr="00DE34A5">
        <w:rPr>
          <w:rFonts w:ascii="Times New Roman" w:hAnsi="Times New Roman" w:cs="Times New Roman"/>
          <w:sz w:val="22"/>
          <w:szCs w:val="22"/>
        </w:rPr>
        <w:t xml:space="preserve">Note de </w:t>
      </w:r>
      <w:r w:rsidR="003F34D8" w:rsidRPr="00DE34A5">
        <w:rPr>
          <w:rFonts w:ascii="Times New Roman" w:hAnsi="Times New Roman" w:cs="Times New Roman"/>
          <w:sz w:val="22"/>
          <w:szCs w:val="22"/>
        </w:rPr>
        <w:t>présentation</w:t>
      </w:r>
      <w:r w:rsidR="00E46690" w:rsidRPr="00DE34A5">
        <w:rPr>
          <w:rFonts w:ascii="Times New Roman" w:hAnsi="Times New Roman" w:cs="Times New Roman"/>
          <w:sz w:val="22"/>
          <w:szCs w:val="22"/>
        </w:rPr>
        <w:t xml:space="preserve"> du projet, </w:t>
      </w:r>
      <w:r w:rsidRPr="00DE34A5">
        <w:rPr>
          <w:rFonts w:ascii="Times New Roman" w:hAnsi="Times New Roman" w:cs="Times New Roman"/>
          <w:sz w:val="22"/>
          <w:szCs w:val="22"/>
        </w:rPr>
        <w:t xml:space="preserve">spécifications, user stories, UML, architecture, dictionnaire de données, contrat d'API) </w:t>
      </w:r>
      <w:r w:rsidR="00C9029A" w:rsidRPr="00DE34A5">
        <w:rPr>
          <w:rFonts w:ascii="Times New Roman" w:hAnsi="Times New Roman" w:cs="Times New Roman"/>
          <w:sz w:val="22"/>
          <w:szCs w:val="22"/>
        </w:rPr>
        <w:t>-</w:t>
      </w:r>
      <w:r w:rsidRPr="00DE34A5">
        <w:rPr>
          <w:rFonts w:ascii="Times New Roman" w:hAnsi="Times New Roman" w:cs="Times New Roman"/>
          <w:sz w:val="22"/>
          <w:szCs w:val="22"/>
        </w:rPr>
        <w:t xml:space="preserve"> fin de semaine 7.</w:t>
      </w:r>
    </w:p>
    <w:p w14:paraId="7A95204A"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Jalon 3 : </w:t>
      </w:r>
      <w:r w:rsidRPr="00DE34A5">
        <w:rPr>
          <w:rFonts w:ascii="Times New Roman" w:hAnsi="Times New Roman" w:cs="Times New Roman"/>
          <w:sz w:val="22"/>
          <w:szCs w:val="22"/>
        </w:rPr>
        <w:t xml:space="preserve">Livraison de la plateforme fonctionnelle en environnement local </w:t>
      </w:r>
      <w:r w:rsidR="00C9029A" w:rsidRPr="00DE34A5">
        <w:rPr>
          <w:rFonts w:ascii="Times New Roman" w:hAnsi="Times New Roman" w:cs="Times New Roman"/>
          <w:sz w:val="22"/>
          <w:szCs w:val="22"/>
        </w:rPr>
        <w:t>-</w:t>
      </w:r>
      <w:r w:rsidRPr="00DE34A5">
        <w:rPr>
          <w:rFonts w:ascii="Times New Roman" w:hAnsi="Times New Roman" w:cs="Times New Roman"/>
          <w:sz w:val="22"/>
          <w:szCs w:val="22"/>
        </w:rPr>
        <w:t xml:space="preserve"> fin de semaine 12.</w:t>
      </w:r>
    </w:p>
    <w:p w14:paraId="4604A22E"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Jalon 4 : </w:t>
      </w:r>
      <w:r w:rsidRPr="00DE34A5">
        <w:rPr>
          <w:rFonts w:ascii="Times New Roman" w:hAnsi="Times New Roman" w:cs="Times New Roman"/>
          <w:sz w:val="22"/>
          <w:szCs w:val="22"/>
        </w:rPr>
        <w:t xml:space="preserve">Clôture des tests locaux et remise à l'équipe DSI d'intégration </w:t>
      </w:r>
      <w:r w:rsidR="00C9029A" w:rsidRPr="00DE34A5">
        <w:rPr>
          <w:rFonts w:ascii="Times New Roman" w:hAnsi="Times New Roman" w:cs="Times New Roman"/>
          <w:sz w:val="22"/>
          <w:szCs w:val="22"/>
        </w:rPr>
        <w:t>-</w:t>
      </w:r>
      <w:r w:rsidRPr="00DE34A5">
        <w:rPr>
          <w:rFonts w:ascii="Times New Roman" w:hAnsi="Times New Roman" w:cs="Times New Roman"/>
          <w:sz w:val="22"/>
          <w:szCs w:val="22"/>
        </w:rPr>
        <w:t xml:space="preserve"> fin de semaine 14.</w:t>
      </w:r>
    </w:p>
    <w:p w14:paraId="3ACE9CBF"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IX. Cadre d'accompagnement et ressources</w:t>
      </w:r>
    </w:p>
    <w:p w14:paraId="236023A8"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9.1 Ressources humaines</w:t>
      </w:r>
    </w:p>
    <w:p w14:paraId="3A449675"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Le projet est conduit par KENMOE MBEUKEM Loïc Luc, apprenant à K-FOKAM Arts et Métiers (programme KFOKAM-48), qui assure seul la conduite du recueil du besoin, la rédaction des documents de construction, le développement de la plateforme et la rédaction du mémoire.</w:t>
      </w:r>
    </w:p>
    <w:p w14:paraId="744CE9B5" w14:textId="05DAF8B0"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 xml:space="preserve">Les parties prenantes métier </w:t>
      </w:r>
      <w:r w:rsidR="00B738F2" w:rsidRPr="00DE34A5">
        <w:rPr>
          <w:rFonts w:ascii="Times New Roman" w:hAnsi="Times New Roman" w:cs="Times New Roman"/>
          <w:sz w:val="22"/>
          <w:szCs w:val="22"/>
        </w:rPr>
        <w:t>-</w:t>
      </w:r>
      <w:r w:rsidRPr="00DE34A5">
        <w:rPr>
          <w:rFonts w:ascii="Times New Roman" w:hAnsi="Times New Roman" w:cs="Times New Roman"/>
          <w:sz w:val="22"/>
          <w:szCs w:val="22"/>
        </w:rPr>
        <w:t xml:space="preserve"> la Direction Juridique, commanditaire du </w:t>
      </w:r>
      <w:r w:rsidR="003F34D8" w:rsidRPr="00DE34A5">
        <w:rPr>
          <w:rFonts w:ascii="Times New Roman" w:hAnsi="Times New Roman" w:cs="Times New Roman"/>
          <w:sz w:val="22"/>
          <w:szCs w:val="22"/>
        </w:rPr>
        <w:t>projet sont</w:t>
      </w:r>
      <w:r w:rsidRPr="00DE34A5">
        <w:rPr>
          <w:rFonts w:ascii="Times New Roman" w:hAnsi="Times New Roman" w:cs="Times New Roman"/>
          <w:sz w:val="22"/>
          <w:szCs w:val="22"/>
        </w:rPr>
        <w:t xml:space="preserve"> sollicitées pour l'expression et la clarification du besoin, ainsi que pour la validation des livrables fonctionnels. La Direction des Systèmes d'Information est sollicitée pour la clarification des aspects techniques (infrastructure, sécurité, authentification) et prendra en charge, dans un second temps et par une équipe dédiée, l'intégration de la plateforme au système d'information de la Banque ainsi que son déploiement en production.</w:t>
      </w:r>
    </w:p>
    <w:p w14:paraId="45AEB17A"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DEUMO DEUMO Léonce, Chef de Département Développement à la DSI d'Afriland First Bank, assure l'encadrement opérationnel du projet. À ce titre, il est responsable de la validation séquentielle de chaque document de construction, de la cohérence technique et fonctionnelle des orientations proposées avec les standards du Système d'Information d'AFB, et du suivi global de l'avancement du projet tout au long de la période de stage.</w:t>
      </w:r>
    </w:p>
    <w:p w14:paraId="59DB5E60"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9.2 Infrastructure et outils techniques</w:t>
      </w:r>
    </w:p>
    <w:p w14:paraId="4FC06689"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Environnement de développement : </w:t>
      </w:r>
      <w:r w:rsidRPr="00DE34A5">
        <w:rPr>
          <w:rFonts w:ascii="Times New Roman" w:hAnsi="Times New Roman" w:cs="Times New Roman"/>
          <w:sz w:val="22"/>
          <w:szCs w:val="22"/>
        </w:rPr>
        <w:t>poste de développement local, application intégralement conteneurisée (Docker / Docker Compose).</w:t>
      </w:r>
    </w:p>
    <w:p w14:paraId="232A718F"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Stack technique envisagée : </w:t>
      </w:r>
      <w:r w:rsidRPr="00DE34A5">
        <w:rPr>
          <w:rFonts w:ascii="Times New Roman" w:hAnsi="Times New Roman" w:cs="Times New Roman"/>
          <w:sz w:val="22"/>
          <w:szCs w:val="22"/>
        </w:rPr>
        <w:t xml:space="preserve">frontend (React.js), backend (Spring Boot </w:t>
      </w:r>
      <w:r w:rsidR="00CC14BF" w:rsidRPr="00DE34A5">
        <w:rPr>
          <w:rFonts w:ascii="Times New Roman" w:hAnsi="Times New Roman" w:cs="Times New Roman"/>
          <w:sz w:val="22"/>
          <w:szCs w:val="22"/>
        </w:rPr>
        <w:t>-</w:t>
      </w:r>
      <w:r w:rsidRPr="00DE34A5">
        <w:rPr>
          <w:rFonts w:ascii="Times New Roman" w:hAnsi="Times New Roman" w:cs="Times New Roman"/>
          <w:sz w:val="22"/>
          <w:szCs w:val="22"/>
        </w:rPr>
        <w:t xml:space="preserve"> arbitrage lors de la phase d'architecture), base de données relationnelle (</w:t>
      </w:r>
      <w:r w:rsidR="00CC14BF" w:rsidRPr="00DE34A5">
        <w:rPr>
          <w:rFonts w:ascii="Times New Roman" w:hAnsi="Times New Roman" w:cs="Times New Roman"/>
          <w:sz w:val="22"/>
          <w:szCs w:val="22"/>
        </w:rPr>
        <w:t>PostgreSQL)</w:t>
      </w:r>
      <w:r w:rsidRPr="00DE34A5">
        <w:rPr>
          <w:rFonts w:ascii="Times New Roman" w:hAnsi="Times New Roman" w:cs="Times New Roman"/>
          <w:sz w:val="22"/>
          <w:szCs w:val="22"/>
        </w:rPr>
        <w:t>, authentification centralisée via Keycloak.</w:t>
      </w:r>
    </w:p>
    <w:p w14:paraId="2E5341FC"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Environnement de déploiement pilote : </w:t>
      </w:r>
      <w:r w:rsidRPr="00DE34A5">
        <w:rPr>
          <w:rFonts w:ascii="Times New Roman" w:hAnsi="Times New Roman" w:cs="Times New Roman"/>
          <w:sz w:val="22"/>
          <w:szCs w:val="22"/>
        </w:rPr>
        <w:t>hors périmètre direct du présent mémoire ; pris en charge ultérieurement par l'équipe DSI en charge de l'intégration, sur l'infrastructure interne de la Banque.</w:t>
      </w:r>
    </w:p>
    <w:p w14:paraId="4B171B84"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X. Plus-value et indicateurs de succès</w:t>
      </w:r>
    </w:p>
    <w:p w14:paraId="50876EEB"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10.1 Gains qualitatifs et quantitatifs</w:t>
      </w:r>
    </w:p>
    <w:p w14:paraId="76B710A6"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Gains opérationnels : </w:t>
      </w:r>
      <w:r w:rsidRPr="00DE34A5">
        <w:rPr>
          <w:rFonts w:ascii="Times New Roman" w:hAnsi="Times New Roman" w:cs="Times New Roman"/>
          <w:sz w:val="22"/>
          <w:szCs w:val="22"/>
        </w:rPr>
        <w:t>réduction des délais de recours manqués, suppression du calendrier manuel, élimination des risques de doublons d'attribution de dossiers.</w:t>
      </w:r>
    </w:p>
    <w:p w14:paraId="6806A3FE"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Gains organisationnels : </w:t>
      </w:r>
      <w:r w:rsidRPr="00DE34A5">
        <w:rPr>
          <w:rFonts w:ascii="Times New Roman" w:hAnsi="Times New Roman" w:cs="Times New Roman"/>
          <w:sz w:val="22"/>
          <w:szCs w:val="22"/>
        </w:rPr>
        <w:t>centralisation et traçabilité complète du suivi des procédures judiciaires, meilleure coordination entre juristes et avocats partenaires, constitution progressive d'une base jurisprudentielle interne.</w:t>
      </w:r>
    </w:p>
    <w:p w14:paraId="61CE327E"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lastRenderedPageBreak/>
        <w:t xml:space="preserve">Gains stratégiques : </w:t>
      </w:r>
      <w:r w:rsidRPr="00DE34A5">
        <w:rPr>
          <w:rFonts w:ascii="Times New Roman" w:hAnsi="Times New Roman" w:cs="Times New Roman"/>
          <w:sz w:val="22"/>
          <w:szCs w:val="22"/>
        </w:rPr>
        <w:t>fiabilisation des provisions sur litiges, maîtrise du seuil réglementaire d'adjudication, disponibilité d'un reporting consolidé pour la Direction, contribution à l'ambition de digitalisation 2026-2030 de la Banque.</w:t>
      </w:r>
    </w:p>
    <w:p w14:paraId="3E740934"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10.2 Indicateurs de performance (KPI)</w:t>
      </w:r>
    </w:p>
    <w:p w14:paraId="0491EC48"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Indicateurs pour les juristes :</w:t>
      </w:r>
    </w:p>
    <w:p w14:paraId="6D223835"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Nombre d'alertes traitées dans le délai imparti (audiences, délais de recours).</w:t>
      </w:r>
    </w:p>
    <w:p w14:paraId="54D32FFB"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Taux de dossiers sans doublon d'attribution.</w:t>
      </w:r>
    </w:p>
    <w:p w14:paraId="44E48B39"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Indicateurs pour la Direction Juridique :</w:t>
      </w:r>
    </w:p>
    <w:p w14:paraId="0EBDD7C9"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Taux de couverture des tests fonctionnels (cible : &gt; 80 %).</w:t>
      </w:r>
    </w:p>
    <w:p w14:paraId="240BF7D6"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Taux de dossiers avec historique et pièces complètes (indicateur de traçabilité).</w:t>
      </w:r>
    </w:p>
    <w:p w14:paraId="7A2FA0F5"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Répartition des dossiers par nature de procédure et par statut.</w:t>
      </w:r>
    </w:p>
    <w:p w14:paraId="103EDD81" w14:textId="77777777" w:rsidR="007C69F3"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Délai moyen entre une adjudication en faveur de la Banque et la reprise de la provision correspondante en comptabilité.</w:t>
      </w:r>
    </w:p>
    <w:p w14:paraId="56C45323" w14:textId="77777777"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Indicateurs pour la Direction Générale :</w:t>
      </w:r>
    </w:p>
    <w:p w14:paraId="44B6452C"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Disponibilité de la plateforme (cible : &gt; 99,5 %).</w:t>
      </w:r>
    </w:p>
    <w:p w14:paraId="1F889290" w14:textId="75937460"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Disponibilité d'un tableau de bord consolidé de pilotage du risque</w:t>
      </w:r>
      <w:r w:rsidR="007303D1" w:rsidRPr="00DE34A5">
        <w:rPr>
          <w:rFonts w:ascii="Times New Roman" w:hAnsi="Times New Roman" w:cs="Times New Roman"/>
          <w:sz w:val="22"/>
          <w:szCs w:val="22"/>
        </w:rPr>
        <w:t xml:space="preserve"> crédit résiduel en matière de</w:t>
      </w:r>
      <w:r w:rsidRPr="00DE34A5">
        <w:rPr>
          <w:rFonts w:ascii="Times New Roman" w:hAnsi="Times New Roman" w:cs="Times New Roman"/>
          <w:sz w:val="22"/>
          <w:szCs w:val="22"/>
        </w:rPr>
        <w:t xml:space="preserve"> contentieux.</w:t>
      </w:r>
    </w:p>
    <w:p w14:paraId="556B4F2A"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sz w:val="22"/>
          <w:szCs w:val="22"/>
        </w:rPr>
        <w:t>Conformité au seuil réglementaire d'adjudication, suivie via la plateforme.</w:t>
      </w:r>
    </w:p>
    <w:p w14:paraId="10C8E896"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XI. Limites et risques anticipés</w:t>
      </w:r>
    </w:p>
    <w:p w14:paraId="068F6C4E" w14:textId="77777777" w:rsidR="000756B8" w:rsidRPr="00DE34A5" w:rsidRDefault="00000000">
      <w:pPr>
        <w:pStyle w:val="Titre2"/>
        <w:spacing w:before="220" w:after="100"/>
        <w:rPr>
          <w:rFonts w:ascii="Times New Roman" w:hAnsi="Times New Roman" w:cs="Times New Roman"/>
          <w:color w:val="C00000"/>
          <w:sz w:val="28"/>
          <w:szCs w:val="28"/>
        </w:rPr>
      </w:pPr>
      <w:r w:rsidRPr="00DE34A5">
        <w:rPr>
          <w:rFonts w:ascii="Times New Roman" w:hAnsi="Times New Roman" w:cs="Times New Roman"/>
          <w:b/>
          <w:bCs/>
          <w:color w:val="C00000"/>
          <w:sz w:val="24"/>
          <w:szCs w:val="24"/>
        </w:rPr>
        <w:t>11.1 Limites de l'étude</w:t>
      </w:r>
    </w:p>
    <w:p w14:paraId="473AAD73"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Périmètre de la V1 : </w:t>
      </w:r>
      <w:r w:rsidRPr="00DE34A5">
        <w:rPr>
          <w:rFonts w:ascii="Times New Roman" w:hAnsi="Times New Roman" w:cs="Times New Roman"/>
          <w:sz w:val="22"/>
          <w:szCs w:val="22"/>
        </w:rPr>
        <w:t>la plateforme couvre le suivi des audiences, des délibérés et des décisions devenues définitives, avec une traçabilité manuelle des interactions avec les systèmes tiers (corebanking, comptabilité, paiement). Elle n'intègre pas techniquement ces systèmes, et le « portail client » évoqué comme évolution future (Version 2.0) est explicitement hors périmètre.</w:t>
      </w:r>
    </w:p>
    <w:p w14:paraId="311CE8B3"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Limites de déploiement : </w:t>
      </w:r>
      <w:r w:rsidRPr="00DE34A5">
        <w:rPr>
          <w:rFonts w:ascii="Times New Roman" w:hAnsi="Times New Roman" w:cs="Times New Roman"/>
          <w:sz w:val="22"/>
          <w:szCs w:val="22"/>
        </w:rPr>
        <w:t>le présent mémoire couvre le développement et les tests en environnement local ; l'intégration au système d'information de la Banque et le déploiement en production sont pris en charge par une équipe dédiée de la DSI, dans un second temps.</w:t>
      </w:r>
    </w:p>
    <w:p w14:paraId="57DDDF91" w14:textId="6D08FC10" w:rsidR="000E3D4B" w:rsidRPr="00DE34A5" w:rsidRDefault="00000000" w:rsidP="009A67A3">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Limites de généralisation : </w:t>
      </w:r>
      <w:r w:rsidRPr="00DE34A5">
        <w:rPr>
          <w:rFonts w:ascii="Times New Roman" w:hAnsi="Times New Roman" w:cs="Times New Roman"/>
          <w:sz w:val="22"/>
          <w:szCs w:val="22"/>
        </w:rPr>
        <w:t>les conclusions de ce travail restent ancrées dans le contexte spécifique de la Direction Juridique d'Afriland First Bank ; leur transposition à d'autres directions ou d'autres organisations devra être envisagée avec prudence.</w:t>
      </w:r>
    </w:p>
    <w:p w14:paraId="75D694AA" w14:textId="77777777" w:rsidR="000756B8" w:rsidRPr="00DE34A5" w:rsidRDefault="00000000">
      <w:pPr>
        <w:pStyle w:val="Titre2"/>
        <w:spacing w:before="220" w:after="100"/>
        <w:rPr>
          <w:rFonts w:ascii="Times New Roman" w:hAnsi="Times New Roman" w:cs="Times New Roman"/>
          <w:sz w:val="28"/>
          <w:szCs w:val="28"/>
        </w:rPr>
      </w:pPr>
      <w:r w:rsidRPr="00DE34A5">
        <w:rPr>
          <w:rFonts w:ascii="Times New Roman" w:hAnsi="Times New Roman" w:cs="Times New Roman"/>
          <w:b/>
          <w:bCs/>
          <w:color w:val="2C3E50"/>
          <w:sz w:val="24"/>
          <w:szCs w:val="24"/>
        </w:rPr>
        <w:t>11.2 Risques organisationnels et mesures de maîtrise</w:t>
      </w:r>
    </w:p>
    <w:tbl>
      <w:tblPr>
        <w:tblW w:w="1089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4353"/>
        <w:gridCol w:w="4107"/>
      </w:tblGrid>
      <w:tr w:rsidR="000756B8" w:rsidRPr="00DE34A5" w14:paraId="421C2571" w14:textId="77777777" w:rsidTr="00DE34A5">
        <w:tc>
          <w:tcPr>
            <w:tcW w:w="2430"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4412398A"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b/>
                <w:bCs/>
                <w:color w:val="FFFFFF"/>
              </w:rPr>
              <w:t>Risque</w:t>
            </w:r>
          </w:p>
        </w:tc>
        <w:tc>
          <w:tcPr>
            <w:tcW w:w="4353"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0A363FAC"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b/>
                <w:bCs/>
                <w:color w:val="FFFFFF"/>
              </w:rPr>
              <w:t>Impact potentiel</w:t>
            </w:r>
          </w:p>
        </w:tc>
        <w:tc>
          <w:tcPr>
            <w:tcW w:w="4107"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5E356979"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b/>
                <w:bCs/>
                <w:color w:val="FFFFFF"/>
              </w:rPr>
              <w:t>Mesure de maîtrise</w:t>
            </w:r>
          </w:p>
        </w:tc>
      </w:tr>
      <w:tr w:rsidR="000756B8" w:rsidRPr="00DE34A5" w14:paraId="24F15220"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CD53BC3"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Dérive du périmètre</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B628E45"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Réintégration progressive de fonctionnalités hors scope (ex. intégrations techniques SI, portail client).</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EF8AC27"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Périmètre V1 formalisé et validé dans le cahier des charges avant tout développement.</w:t>
            </w:r>
          </w:p>
        </w:tc>
      </w:tr>
      <w:tr w:rsidR="000756B8" w:rsidRPr="00DE34A5" w14:paraId="421F7C64"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8E85623"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Délai contraint</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643D659D"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Écart entre le délai initialement souhaité (un mois) et la réalité du périmètre fonctionnel.</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2701D44"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Planning de 14 semaines établi et partagé avec les parties prenantes avant le démarrage du développement.</w:t>
            </w:r>
          </w:p>
        </w:tc>
      </w:tr>
      <w:tr w:rsidR="000756B8" w:rsidRPr="00DE34A5" w14:paraId="0F34BB29"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CF3D521"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Qualité des données saisies</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14433CC"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Reporting peu fiable si les champs de traçabilité manuelle (corebanking, comptabilité) sont mal renseignés.</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083E6A8"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Formulaires guidés, champs obligatoires et listes normalisées (taxonomie des natures de dossiers).</w:t>
            </w:r>
          </w:p>
        </w:tc>
      </w:tr>
      <w:tr w:rsidR="000756B8" w:rsidRPr="00DE34A5" w14:paraId="6733D775"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4FCDEBF"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Disponibilité des parties prenantes</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3FA30D6"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Retard dans la validation des livrables séquentiels.</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0304780"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Validation séquentielle planifiée à chaque jalon, avec points de clarification ciblés.</w:t>
            </w:r>
          </w:p>
        </w:tc>
      </w:tr>
      <w:tr w:rsidR="000756B8" w:rsidRPr="00DE34A5" w14:paraId="669A1F05" w14:textId="77777777" w:rsidTr="00DE34A5">
        <w:tc>
          <w:tcPr>
            <w:tcW w:w="243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4ADD9B2A"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lastRenderedPageBreak/>
              <w:t>Résistance au changement</w:t>
            </w:r>
          </w:p>
        </w:tc>
        <w:tc>
          <w:tcPr>
            <w:tcW w:w="4353"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296772C"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Maintien de pratiques manuelles (calendrier papier, reporting Excel) malgré la plateforme.</w:t>
            </w:r>
          </w:p>
        </w:tc>
        <w:tc>
          <w:tcPr>
            <w:tcW w:w="4107"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51668F73"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Documentation utilisateur, formation des juristes, appui institutionnel de la Direction Juridique.</w:t>
            </w:r>
          </w:p>
        </w:tc>
      </w:tr>
    </w:tbl>
    <w:p w14:paraId="41A4E067" w14:textId="77777777" w:rsidR="000756B8" w:rsidRPr="00DE34A5" w:rsidRDefault="00000000">
      <w:pPr>
        <w:pStyle w:val="Titre1"/>
        <w:spacing w:before="380" w:after="160"/>
        <w:rPr>
          <w:rFonts w:ascii="Times New Roman" w:hAnsi="Times New Roman" w:cs="Times New Roman"/>
          <w:color w:val="C00000"/>
          <w:sz w:val="36"/>
          <w:szCs w:val="36"/>
        </w:rPr>
      </w:pPr>
      <w:r w:rsidRPr="00DE34A5">
        <w:rPr>
          <w:rFonts w:ascii="Times New Roman" w:hAnsi="Times New Roman" w:cs="Times New Roman"/>
          <w:b/>
          <w:bCs/>
          <w:color w:val="C00000"/>
          <w:sz w:val="28"/>
          <w:szCs w:val="28"/>
        </w:rPr>
        <w:t>XII. Conclusion et recommandations</w:t>
      </w:r>
    </w:p>
    <w:p w14:paraId="39D6BC4E" w14:textId="4B104EB3" w:rsidR="007303D1" w:rsidRPr="00DE34A5" w:rsidRDefault="007303D1">
      <w:pPr>
        <w:spacing w:after="140"/>
        <w:jc w:val="both"/>
        <w:rPr>
          <w:rFonts w:ascii="Times New Roman" w:hAnsi="Times New Roman" w:cs="Times New Roman"/>
          <w:sz w:val="22"/>
          <w:szCs w:val="22"/>
        </w:rPr>
      </w:pPr>
      <w:r w:rsidRPr="00DE34A5">
        <w:rPr>
          <w:rFonts w:ascii="Times New Roman" w:hAnsi="Times New Roman" w:cs="Times New Roman"/>
          <w:sz w:val="22"/>
          <w:szCs w:val="22"/>
        </w:rPr>
        <w:t>Le présent mémoire s'inscrit dans une problématique opérationnelle avérée : un juriste responsable de plusieurs dizaines de dossiers ne peut pas savoir, à un instant donné, quelles échéances arrivent sur ses dossiers, faute de rappel automatique. Lorsqu'une décision défavorable à la Banque devient ainsi définitive faute de recours exercé à temps, la Banque perd la créance qu'elle aurait pu recouvrer par cette voie ; et lorsqu'une décision favorable (comme une adjudication) n'est pas remontée jusqu'à la comptabilité, la Banque continue d'immobiliser inutilement une provision pourtant déjà réglée en sa faveur</w:t>
      </w:r>
      <w:r w:rsidR="00B738F2" w:rsidRPr="00DE34A5">
        <w:rPr>
          <w:rFonts w:ascii="Times New Roman" w:hAnsi="Times New Roman" w:cs="Times New Roman"/>
          <w:sz w:val="22"/>
          <w:szCs w:val="22"/>
        </w:rPr>
        <w:t> ;</w:t>
      </w:r>
      <w:r w:rsidRPr="00DE34A5">
        <w:rPr>
          <w:rFonts w:ascii="Times New Roman" w:hAnsi="Times New Roman" w:cs="Times New Roman"/>
          <w:sz w:val="22"/>
          <w:szCs w:val="22"/>
        </w:rPr>
        <w:t xml:space="preserve"> dans les deux cas, de l'argent réel de la Banque est affecté, comme documenté par la Direction Juridique dans le cahier des charges. En s'appuyant sur ce cahier des charges, clarifié et validé formellement, ce travail vise à concevoir et développer une plateforme centralisée, automatisant les alertes sur les échéances critiques et produisant un reporting consolidé, sans imposer au projet la charge d'une intégration technique prématurée avec le système d'information de la Banque.</w:t>
      </w:r>
    </w:p>
    <w:p w14:paraId="0A468351" w14:textId="0C808764" w:rsidR="000756B8" w:rsidRPr="00DE34A5" w:rsidRDefault="00000000">
      <w:pPr>
        <w:spacing w:after="140"/>
        <w:jc w:val="both"/>
        <w:rPr>
          <w:rFonts w:ascii="Times New Roman" w:hAnsi="Times New Roman" w:cs="Times New Roman"/>
          <w:sz w:val="22"/>
          <w:szCs w:val="22"/>
        </w:rPr>
      </w:pPr>
      <w:r w:rsidRPr="00DE34A5">
        <w:rPr>
          <w:rFonts w:ascii="Times New Roman" w:hAnsi="Times New Roman" w:cs="Times New Roman"/>
          <w:sz w:val="22"/>
          <w:szCs w:val="22"/>
        </w:rPr>
        <w:t>Pour la suite du projet, les recommandations suivantes sont formulées :</w:t>
      </w:r>
    </w:p>
    <w:p w14:paraId="4E287518"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Poursuivre la validation séquentielle de chaque document de construction : </w:t>
      </w:r>
      <w:r w:rsidRPr="00DE34A5">
        <w:rPr>
          <w:rFonts w:ascii="Times New Roman" w:hAnsi="Times New Roman" w:cs="Times New Roman"/>
          <w:sz w:val="22"/>
          <w:szCs w:val="22"/>
        </w:rPr>
        <w:t>avant de passer à l'étape suivante, afin de garantir la rigueur et d'éviter toute dérive fonctionnelle.</w:t>
      </w:r>
    </w:p>
    <w:p w14:paraId="0120FC2E"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Maintenir l'implication de la Direction Juridique et de la DSI : </w:t>
      </w:r>
      <w:r w:rsidRPr="00DE34A5">
        <w:rPr>
          <w:rFonts w:ascii="Times New Roman" w:hAnsi="Times New Roman" w:cs="Times New Roman"/>
          <w:sz w:val="22"/>
          <w:szCs w:val="22"/>
        </w:rPr>
        <w:t>à chaque étape clé, comme cela a été le cas depuis la phase d'analyse.</w:t>
      </w:r>
    </w:p>
    <w:p w14:paraId="697717BF"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Conserver un périmètre V1 maîtrisé : </w:t>
      </w:r>
      <w:r w:rsidRPr="00DE34A5">
        <w:rPr>
          <w:rFonts w:ascii="Times New Roman" w:hAnsi="Times New Roman" w:cs="Times New Roman"/>
          <w:sz w:val="22"/>
          <w:szCs w:val="22"/>
        </w:rPr>
        <w:t>limiter strictement la première version à la traçabilité et au pilotage du contentieux, sans intégration technique avec les systèmes existants, afin de garantir un développement local rapide et mesurable.</w:t>
      </w:r>
    </w:p>
    <w:p w14:paraId="18D6EC95" w14:textId="77777777" w:rsidR="000756B8" w:rsidRPr="00DE34A5" w:rsidRDefault="00000000">
      <w:pPr>
        <w:pStyle w:val="Paragraphedeliste"/>
        <w:numPr>
          <w:ilvl w:val="0"/>
          <w:numId w:val="2"/>
        </w:numPr>
        <w:spacing w:after="80"/>
        <w:jc w:val="both"/>
        <w:rPr>
          <w:rFonts w:ascii="Times New Roman" w:hAnsi="Times New Roman" w:cs="Times New Roman"/>
          <w:sz w:val="22"/>
          <w:szCs w:val="22"/>
        </w:rPr>
      </w:pPr>
      <w:r w:rsidRPr="00DE34A5">
        <w:rPr>
          <w:rFonts w:ascii="Times New Roman" w:hAnsi="Times New Roman" w:cs="Times New Roman"/>
          <w:b/>
          <w:bCs/>
          <w:sz w:val="22"/>
          <w:szCs w:val="22"/>
        </w:rPr>
        <w:t xml:space="preserve">Anticiper la phase de transmission à la DSI : </w:t>
      </w:r>
      <w:r w:rsidRPr="00DE34A5">
        <w:rPr>
          <w:rFonts w:ascii="Times New Roman" w:hAnsi="Times New Roman" w:cs="Times New Roman"/>
          <w:sz w:val="22"/>
          <w:szCs w:val="22"/>
        </w:rPr>
        <w:t>documenter précisément, dès la phase de conception, les points d'intégration futurs (INTRA V2, corebanking, comptabilité) afin de faciliter le travail de l'équipe qui en aura la charge.</w:t>
      </w:r>
    </w:p>
    <w:p w14:paraId="083EC82E" w14:textId="7DCDD573" w:rsidR="000756B8" w:rsidRPr="00DE34A5" w:rsidRDefault="00000000" w:rsidP="001E5DDE">
      <w:pPr>
        <w:spacing w:after="140"/>
        <w:jc w:val="both"/>
        <w:rPr>
          <w:rFonts w:ascii="Times New Roman" w:hAnsi="Times New Roman" w:cs="Times New Roman"/>
          <w:sz w:val="22"/>
          <w:szCs w:val="22"/>
        </w:rPr>
      </w:pPr>
      <w:r w:rsidRPr="00DE34A5">
        <w:rPr>
          <w:rFonts w:ascii="Times New Roman" w:hAnsi="Times New Roman" w:cs="Times New Roman"/>
          <w:sz w:val="22"/>
          <w:szCs w:val="22"/>
        </w:rPr>
        <w:t>La présente note de présentation documente l'état d'avancement réel du projet à la date du 2</w:t>
      </w:r>
      <w:r w:rsidR="009A67A3" w:rsidRPr="00DE34A5">
        <w:rPr>
          <w:rFonts w:ascii="Times New Roman" w:hAnsi="Times New Roman" w:cs="Times New Roman"/>
          <w:sz w:val="22"/>
          <w:szCs w:val="22"/>
        </w:rPr>
        <w:t>7</w:t>
      </w:r>
      <w:r w:rsidRPr="00DE34A5">
        <w:rPr>
          <w:rFonts w:ascii="Times New Roman" w:hAnsi="Times New Roman" w:cs="Times New Roman"/>
          <w:sz w:val="22"/>
          <w:szCs w:val="22"/>
        </w:rPr>
        <w:t xml:space="preserve"> juillet 2026 et sert de cadrage pour la poursuite des travaux de conception et de réalisation décrits ci-dessus.</w:t>
      </w:r>
    </w:p>
    <w:p w14:paraId="6B923B17" w14:textId="77777777" w:rsidR="001E5DDE" w:rsidRPr="00DE34A5" w:rsidRDefault="001E5DDE" w:rsidP="001E5DDE">
      <w:pPr>
        <w:spacing w:after="140"/>
        <w:jc w:val="both"/>
        <w:rPr>
          <w:rFonts w:ascii="Times New Roman" w:hAnsi="Times New Roman" w:cs="Times New Roman"/>
          <w:sz w:val="22"/>
          <w:szCs w:val="22"/>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8051"/>
      </w:tblGrid>
      <w:tr w:rsidR="000756B8" w:rsidRPr="00DE34A5" w14:paraId="797E6E7D" w14:textId="77777777" w:rsidTr="003F34D8">
        <w:tc>
          <w:tcPr>
            <w:tcW w:w="2155"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63F1CBE7" w14:textId="77777777" w:rsidR="000756B8" w:rsidRPr="00DE34A5" w:rsidRDefault="000756B8">
            <w:pPr>
              <w:rPr>
                <w:rFonts w:ascii="Times New Roman" w:hAnsi="Times New Roman" w:cs="Times New Roman"/>
                <w:sz w:val="22"/>
                <w:szCs w:val="22"/>
              </w:rPr>
            </w:pPr>
          </w:p>
        </w:tc>
        <w:tc>
          <w:tcPr>
            <w:tcW w:w="8051" w:type="dxa"/>
            <w:tcBorders>
              <w:top w:val="single" w:sz="4" w:space="0" w:color="BFBFBF"/>
              <w:left w:val="single" w:sz="4" w:space="0" w:color="BFBFBF"/>
              <w:bottom w:val="single" w:sz="4" w:space="0" w:color="BFBFBF"/>
              <w:right w:val="single" w:sz="4" w:space="0" w:color="BFBFBF"/>
            </w:tcBorders>
            <w:shd w:val="clear" w:color="auto" w:fill="C00000"/>
            <w:tcMar>
              <w:top w:w="90" w:type="dxa"/>
              <w:left w:w="100" w:type="dxa"/>
              <w:bottom w:w="90" w:type="dxa"/>
              <w:right w:w="100" w:type="dxa"/>
            </w:tcMar>
            <w:vAlign w:val="center"/>
          </w:tcPr>
          <w:p w14:paraId="4E284225" w14:textId="77777777" w:rsidR="000756B8" w:rsidRPr="00DE34A5" w:rsidRDefault="000756B8">
            <w:pPr>
              <w:rPr>
                <w:rFonts w:ascii="Times New Roman" w:hAnsi="Times New Roman" w:cs="Times New Roman"/>
                <w:sz w:val="22"/>
                <w:szCs w:val="22"/>
              </w:rPr>
            </w:pPr>
          </w:p>
        </w:tc>
      </w:tr>
      <w:tr w:rsidR="000756B8" w:rsidRPr="00DE34A5" w14:paraId="75F3D10A" w14:textId="77777777" w:rsidTr="003F34D8">
        <w:tc>
          <w:tcPr>
            <w:tcW w:w="215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261A494"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Rédigé par</w:t>
            </w:r>
          </w:p>
        </w:tc>
        <w:tc>
          <w:tcPr>
            <w:tcW w:w="805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76F37C48"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 xml:space="preserve">KENMOE MBEUKEM Loïc Luc | Apprenant à </w:t>
            </w:r>
            <w:proofErr w:type="spellStart"/>
            <w:r w:rsidRPr="00DE34A5">
              <w:rPr>
                <w:rFonts w:ascii="Times New Roman" w:hAnsi="Times New Roman" w:cs="Times New Roman"/>
              </w:rPr>
              <w:t>KFokam</w:t>
            </w:r>
            <w:proofErr w:type="spellEnd"/>
            <w:r w:rsidRPr="00DE34A5">
              <w:rPr>
                <w:rFonts w:ascii="Times New Roman" w:hAnsi="Times New Roman" w:cs="Times New Roman"/>
              </w:rPr>
              <w:t xml:space="preserve"> 48 | Stagiaire</w:t>
            </w:r>
            <w:r w:rsidR="00CC14BF" w:rsidRPr="00DE34A5">
              <w:rPr>
                <w:rFonts w:ascii="Times New Roman" w:hAnsi="Times New Roman" w:cs="Times New Roman"/>
              </w:rPr>
              <w:t xml:space="preserve"> professionnelle</w:t>
            </w:r>
            <w:r w:rsidRPr="00DE34A5">
              <w:rPr>
                <w:rFonts w:ascii="Times New Roman" w:hAnsi="Times New Roman" w:cs="Times New Roman"/>
              </w:rPr>
              <w:t xml:space="preserve"> - DSI</w:t>
            </w:r>
          </w:p>
        </w:tc>
      </w:tr>
      <w:tr w:rsidR="000756B8" w:rsidRPr="00DE34A5" w14:paraId="63CC5332" w14:textId="77777777" w:rsidTr="003F34D8">
        <w:tc>
          <w:tcPr>
            <w:tcW w:w="215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5A7595B"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Validé par</w:t>
            </w:r>
          </w:p>
        </w:tc>
        <w:tc>
          <w:tcPr>
            <w:tcW w:w="805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201BC11E" w14:textId="77777777" w:rsidR="000756B8" w:rsidRPr="00DE34A5" w:rsidRDefault="00000000">
            <w:pPr>
              <w:rPr>
                <w:rFonts w:ascii="Times New Roman" w:hAnsi="Times New Roman" w:cs="Times New Roman"/>
                <w:sz w:val="22"/>
                <w:szCs w:val="22"/>
              </w:rPr>
            </w:pPr>
            <w:r w:rsidRPr="00DE34A5">
              <w:rPr>
                <w:rFonts w:ascii="Times New Roman" w:hAnsi="Times New Roman" w:cs="Times New Roman"/>
              </w:rPr>
              <w:t xml:space="preserve">DEUMO </w:t>
            </w:r>
            <w:proofErr w:type="spellStart"/>
            <w:r w:rsidRPr="00DE34A5">
              <w:rPr>
                <w:rFonts w:ascii="Times New Roman" w:hAnsi="Times New Roman" w:cs="Times New Roman"/>
              </w:rPr>
              <w:t>DEUMO</w:t>
            </w:r>
            <w:proofErr w:type="spellEnd"/>
            <w:r w:rsidRPr="00DE34A5">
              <w:rPr>
                <w:rFonts w:ascii="Times New Roman" w:hAnsi="Times New Roman" w:cs="Times New Roman"/>
              </w:rPr>
              <w:t xml:space="preserve"> Léonce | Chef de Département Développement - DSI</w:t>
            </w:r>
          </w:p>
        </w:tc>
      </w:tr>
      <w:tr w:rsidR="003F34D8" w:rsidRPr="00DE34A5" w14:paraId="670D02FB" w14:textId="77777777" w:rsidTr="003F34D8">
        <w:tc>
          <w:tcPr>
            <w:tcW w:w="215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6695ECE" w14:textId="27CD1E7A" w:rsidR="003F34D8" w:rsidRPr="00DE34A5" w:rsidRDefault="003F34D8" w:rsidP="003F34D8">
            <w:pPr>
              <w:rPr>
                <w:rFonts w:ascii="Times New Roman" w:hAnsi="Times New Roman" w:cs="Times New Roman"/>
              </w:rPr>
            </w:pPr>
            <w:r w:rsidRPr="00DE34A5">
              <w:rPr>
                <w:rFonts w:ascii="Times New Roman" w:hAnsi="Times New Roman" w:cs="Times New Roman"/>
              </w:rPr>
              <w:t>Date</w:t>
            </w:r>
            <w:r>
              <w:rPr>
                <w:rFonts w:ascii="Times New Roman" w:hAnsi="Times New Roman" w:cs="Times New Roman"/>
              </w:rPr>
              <w:t xml:space="preserve"> de validation</w:t>
            </w:r>
          </w:p>
        </w:tc>
        <w:tc>
          <w:tcPr>
            <w:tcW w:w="805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1366BA7D" w14:textId="2208AF28" w:rsidR="003F34D8" w:rsidRPr="00DE34A5" w:rsidRDefault="003F34D8" w:rsidP="003F34D8">
            <w:pPr>
              <w:rPr>
                <w:rFonts w:ascii="Times New Roman" w:hAnsi="Times New Roman" w:cs="Times New Roman"/>
              </w:rPr>
            </w:pPr>
            <w:r w:rsidRPr="00DE34A5">
              <w:rPr>
                <w:rFonts w:ascii="Times New Roman" w:hAnsi="Times New Roman" w:cs="Times New Roman"/>
              </w:rPr>
              <w:t>2</w:t>
            </w:r>
            <w:r>
              <w:rPr>
                <w:rFonts w:ascii="Times New Roman" w:hAnsi="Times New Roman" w:cs="Times New Roman"/>
              </w:rPr>
              <w:t>8</w:t>
            </w:r>
            <w:r w:rsidRPr="00DE34A5">
              <w:rPr>
                <w:rFonts w:ascii="Times New Roman" w:hAnsi="Times New Roman" w:cs="Times New Roman"/>
              </w:rPr>
              <w:t xml:space="preserve"> juillet 2026</w:t>
            </w:r>
          </w:p>
        </w:tc>
      </w:tr>
    </w:tbl>
    <w:p w14:paraId="30A080F4" w14:textId="77777777" w:rsidR="00325A99" w:rsidRPr="00DE34A5" w:rsidRDefault="00325A99">
      <w:pPr>
        <w:rPr>
          <w:rFonts w:ascii="Times New Roman" w:hAnsi="Times New Roman" w:cs="Times New Roman"/>
          <w:sz w:val="22"/>
          <w:szCs w:val="22"/>
        </w:rPr>
      </w:pPr>
    </w:p>
    <w:sectPr w:rsidR="00325A99" w:rsidRPr="00DE34A5">
      <w:headerReference w:type="default" r:id="rId7"/>
      <w:footerReference w:type="default" r:id="rId8"/>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7461A" w14:textId="77777777" w:rsidR="005B4CFC" w:rsidRDefault="005B4CFC">
      <w:r>
        <w:separator/>
      </w:r>
    </w:p>
  </w:endnote>
  <w:endnote w:type="continuationSeparator" w:id="0">
    <w:p w14:paraId="33FB3626" w14:textId="77777777" w:rsidR="005B4CFC" w:rsidRDefault="005B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97917" w14:textId="77777777" w:rsidR="000756B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A1D23">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CA1D2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F653D" w14:textId="77777777" w:rsidR="005B4CFC" w:rsidRDefault="005B4CFC">
      <w:r>
        <w:separator/>
      </w:r>
    </w:p>
  </w:footnote>
  <w:footnote w:type="continuationSeparator" w:id="0">
    <w:p w14:paraId="7CB03803" w14:textId="77777777" w:rsidR="005B4CFC" w:rsidRDefault="005B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F3A56" w14:textId="77777777" w:rsidR="000756B8" w:rsidRPr="00675ED0" w:rsidRDefault="00000000">
    <w:pPr>
      <w:spacing w:after="20"/>
      <w:jc w:val="center"/>
      <w:rPr>
        <w:rFonts w:ascii="Helvetica" w:hAnsi="Helvetica" w:cs="Helvetica"/>
        <w:color w:val="808080" w:themeColor="background1" w:themeShade="80"/>
        <w:sz w:val="14"/>
        <w:szCs w:val="14"/>
      </w:rPr>
    </w:pPr>
    <w:r w:rsidRPr="00675ED0">
      <w:rPr>
        <w:rFonts w:ascii="Helvetica" w:hAnsi="Helvetica" w:cs="Helvetica"/>
        <w:color w:val="808080" w:themeColor="background1" w:themeShade="80"/>
        <w:sz w:val="14"/>
        <w:szCs w:val="14"/>
      </w:rPr>
      <w:t xml:space="preserve">NOTE DE PRÉSENTATION - MÉMOIRE DE FIN D'ÉTUDES </w:t>
    </w:r>
    <w:r w:rsidR="00CA1D23" w:rsidRPr="00675ED0">
      <w:rPr>
        <w:rFonts w:ascii="Helvetica" w:hAnsi="Helvetica" w:cs="Helvetica"/>
        <w:color w:val="808080" w:themeColor="background1" w:themeShade="80"/>
        <w:sz w:val="14"/>
        <w:szCs w:val="14"/>
      </w:rPr>
      <w:t>-</w:t>
    </w:r>
    <w:r w:rsidRPr="00675ED0">
      <w:rPr>
        <w:rFonts w:ascii="Helvetica" w:hAnsi="Helvetica" w:cs="Helvetica"/>
        <w:color w:val="808080" w:themeColor="background1" w:themeShade="80"/>
        <w:sz w:val="14"/>
        <w:szCs w:val="14"/>
      </w:rPr>
      <w:t xml:space="preserve"> AFRILAND FIRST BANK - DSI</w:t>
    </w:r>
  </w:p>
  <w:p w14:paraId="37FDDFB7" w14:textId="77777777" w:rsidR="000756B8" w:rsidRPr="00675ED0" w:rsidRDefault="00000000">
    <w:pPr>
      <w:pBdr>
        <w:bottom w:val="single" w:sz="4" w:space="0" w:color="CCCCCC"/>
      </w:pBdr>
      <w:jc w:val="center"/>
      <w:rPr>
        <w:rFonts w:ascii="Helvetica" w:hAnsi="Helvetica" w:cs="Helvetica"/>
        <w:color w:val="808080" w:themeColor="background1" w:themeShade="80"/>
        <w:sz w:val="14"/>
        <w:szCs w:val="14"/>
      </w:rPr>
    </w:pPr>
    <w:r w:rsidRPr="00675ED0">
      <w:rPr>
        <w:rFonts w:ascii="Helvetica" w:hAnsi="Helvetica" w:cs="Helvetica"/>
        <w:color w:val="808080" w:themeColor="background1" w:themeShade="80"/>
        <w:sz w:val="14"/>
        <w:szCs w:val="14"/>
      </w:rPr>
      <w:t>Afriland First Bank | Mémoire de fin d'études | DSI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37EEA"/>
    <w:multiLevelType w:val="hybridMultilevel"/>
    <w:tmpl w:val="7CB821D6"/>
    <w:lvl w:ilvl="0" w:tplc="6C80C506">
      <w:start w:val="1"/>
      <w:numFmt w:val="bullet"/>
      <w:lvlText w:val="●"/>
      <w:lvlJc w:val="left"/>
      <w:pPr>
        <w:ind w:left="720" w:hanging="360"/>
      </w:pPr>
    </w:lvl>
    <w:lvl w:ilvl="1" w:tplc="0E6CA866">
      <w:start w:val="1"/>
      <w:numFmt w:val="bullet"/>
      <w:lvlText w:val="○"/>
      <w:lvlJc w:val="left"/>
      <w:pPr>
        <w:ind w:left="1440" w:hanging="360"/>
      </w:pPr>
    </w:lvl>
    <w:lvl w:ilvl="2" w:tplc="CFE87522">
      <w:start w:val="1"/>
      <w:numFmt w:val="bullet"/>
      <w:lvlText w:val="■"/>
      <w:lvlJc w:val="left"/>
      <w:pPr>
        <w:ind w:left="2160" w:hanging="360"/>
      </w:pPr>
    </w:lvl>
    <w:lvl w:ilvl="3" w:tplc="01BCCE06">
      <w:start w:val="1"/>
      <w:numFmt w:val="bullet"/>
      <w:lvlText w:val="●"/>
      <w:lvlJc w:val="left"/>
      <w:pPr>
        <w:ind w:left="2880" w:hanging="360"/>
      </w:pPr>
    </w:lvl>
    <w:lvl w:ilvl="4" w:tplc="7116C490">
      <w:start w:val="1"/>
      <w:numFmt w:val="bullet"/>
      <w:lvlText w:val="○"/>
      <w:lvlJc w:val="left"/>
      <w:pPr>
        <w:ind w:left="3600" w:hanging="360"/>
      </w:pPr>
    </w:lvl>
    <w:lvl w:ilvl="5" w:tplc="6DA26480">
      <w:start w:val="1"/>
      <w:numFmt w:val="bullet"/>
      <w:lvlText w:val="■"/>
      <w:lvlJc w:val="left"/>
      <w:pPr>
        <w:ind w:left="4320" w:hanging="360"/>
      </w:pPr>
    </w:lvl>
    <w:lvl w:ilvl="6" w:tplc="1E5E5BCE">
      <w:start w:val="1"/>
      <w:numFmt w:val="bullet"/>
      <w:lvlText w:val="●"/>
      <w:lvlJc w:val="left"/>
      <w:pPr>
        <w:ind w:left="5040" w:hanging="360"/>
      </w:pPr>
    </w:lvl>
    <w:lvl w:ilvl="7" w:tplc="3FCA8814">
      <w:start w:val="1"/>
      <w:numFmt w:val="bullet"/>
      <w:lvlText w:val="●"/>
      <w:lvlJc w:val="left"/>
      <w:pPr>
        <w:ind w:left="5760" w:hanging="360"/>
      </w:pPr>
    </w:lvl>
    <w:lvl w:ilvl="8" w:tplc="D7321B0C">
      <w:start w:val="1"/>
      <w:numFmt w:val="bullet"/>
      <w:lvlText w:val="●"/>
      <w:lvlJc w:val="left"/>
      <w:pPr>
        <w:ind w:left="6480" w:hanging="360"/>
      </w:pPr>
    </w:lvl>
  </w:abstractNum>
  <w:abstractNum w:abstractNumId="1" w15:restartNumberingAfterBreak="0">
    <w:nsid w:val="3E1E383A"/>
    <w:multiLevelType w:val="hybridMultilevel"/>
    <w:tmpl w:val="9E1E8DB2"/>
    <w:lvl w:ilvl="0" w:tplc="60344968">
      <w:start w:val="1"/>
      <w:numFmt w:val="bullet"/>
      <w:lvlText w:val="•"/>
      <w:lvlJc w:val="left"/>
      <w:pPr>
        <w:ind w:left="420" w:hanging="260"/>
      </w:pPr>
    </w:lvl>
    <w:lvl w:ilvl="1" w:tplc="67849358">
      <w:numFmt w:val="decimal"/>
      <w:lvlText w:val=""/>
      <w:lvlJc w:val="left"/>
    </w:lvl>
    <w:lvl w:ilvl="2" w:tplc="16307B0C">
      <w:numFmt w:val="decimal"/>
      <w:lvlText w:val=""/>
      <w:lvlJc w:val="left"/>
    </w:lvl>
    <w:lvl w:ilvl="3" w:tplc="EDF8E950">
      <w:numFmt w:val="decimal"/>
      <w:lvlText w:val=""/>
      <w:lvlJc w:val="left"/>
    </w:lvl>
    <w:lvl w:ilvl="4" w:tplc="38986D22">
      <w:numFmt w:val="decimal"/>
      <w:lvlText w:val=""/>
      <w:lvlJc w:val="left"/>
    </w:lvl>
    <w:lvl w:ilvl="5" w:tplc="16CE49B4">
      <w:numFmt w:val="decimal"/>
      <w:lvlText w:val=""/>
      <w:lvlJc w:val="left"/>
    </w:lvl>
    <w:lvl w:ilvl="6" w:tplc="EDE2BAB4">
      <w:numFmt w:val="decimal"/>
      <w:lvlText w:val=""/>
      <w:lvlJc w:val="left"/>
    </w:lvl>
    <w:lvl w:ilvl="7" w:tplc="3F8A17D2">
      <w:numFmt w:val="decimal"/>
      <w:lvlText w:val=""/>
      <w:lvlJc w:val="left"/>
    </w:lvl>
    <w:lvl w:ilvl="8" w:tplc="36C6AC28">
      <w:numFmt w:val="decimal"/>
      <w:lvlText w:val=""/>
      <w:lvlJc w:val="left"/>
    </w:lvl>
  </w:abstractNum>
  <w:num w:numId="1" w16cid:durableId="581068095">
    <w:abstractNumId w:val="0"/>
    <w:lvlOverride w:ilvl="0">
      <w:startOverride w:val="1"/>
    </w:lvlOverride>
  </w:num>
  <w:num w:numId="2" w16cid:durableId="17776007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6B8"/>
    <w:rsid w:val="000756B8"/>
    <w:rsid w:val="000E3D4B"/>
    <w:rsid w:val="00137E0D"/>
    <w:rsid w:val="00183957"/>
    <w:rsid w:val="001D07A1"/>
    <w:rsid w:val="001E5DDE"/>
    <w:rsid w:val="00215ED1"/>
    <w:rsid w:val="00270C80"/>
    <w:rsid w:val="00295242"/>
    <w:rsid w:val="00310362"/>
    <w:rsid w:val="00325A99"/>
    <w:rsid w:val="00360858"/>
    <w:rsid w:val="00384CD2"/>
    <w:rsid w:val="003F34D8"/>
    <w:rsid w:val="003F4931"/>
    <w:rsid w:val="004977C0"/>
    <w:rsid w:val="005629A4"/>
    <w:rsid w:val="005A25D9"/>
    <w:rsid w:val="005B4CFC"/>
    <w:rsid w:val="005F7B43"/>
    <w:rsid w:val="00675ED0"/>
    <w:rsid w:val="00690A9F"/>
    <w:rsid w:val="007175C3"/>
    <w:rsid w:val="007303D1"/>
    <w:rsid w:val="00737538"/>
    <w:rsid w:val="007C69F3"/>
    <w:rsid w:val="00882A11"/>
    <w:rsid w:val="0088773A"/>
    <w:rsid w:val="00914E47"/>
    <w:rsid w:val="009462E2"/>
    <w:rsid w:val="00963A25"/>
    <w:rsid w:val="009A67A3"/>
    <w:rsid w:val="009F0615"/>
    <w:rsid w:val="00A04900"/>
    <w:rsid w:val="00A124D5"/>
    <w:rsid w:val="00A53A4E"/>
    <w:rsid w:val="00A70FFC"/>
    <w:rsid w:val="00AD5E41"/>
    <w:rsid w:val="00B04A19"/>
    <w:rsid w:val="00B738F2"/>
    <w:rsid w:val="00C36DD7"/>
    <w:rsid w:val="00C57BCB"/>
    <w:rsid w:val="00C9029A"/>
    <w:rsid w:val="00CA1063"/>
    <w:rsid w:val="00CA1D23"/>
    <w:rsid w:val="00CA3922"/>
    <w:rsid w:val="00CC14BF"/>
    <w:rsid w:val="00D72C54"/>
    <w:rsid w:val="00DE34A5"/>
    <w:rsid w:val="00E453B5"/>
    <w:rsid w:val="00E46690"/>
    <w:rsid w:val="00F13077"/>
    <w:rsid w:val="00F24154"/>
    <w:rsid w:val="00F425EF"/>
    <w:rsid w:val="00FB64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4F395"/>
  <w15:docId w15:val="{B6591CDD-0C1D-4F13-86E4-526AD599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A1D23"/>
    <w:pPr>
      <w:tabs>
        <w:tab w:val="center" w:pos="4513"/>
        <w:tab w:val="right" w:pos="9026"/>
      </w:tabs>
    </w:pPr>
  </w:style>
  <w:style w:type="character" w:customStyle="1" w:styleId="En-tteCar">
    <w:name w:val="En-tête Car"/>
    <w:basedOn w:val="Policepardfaut"/>
    <w:link w:val="En-tte"/>
    <w:uiPriority w:val="99"/>
    <w:rsid w:val="00CA1D23"/>
  </w:style>
  <w:style w:type="paragraph" w:styleId="Pieddepage">
    <w:name w:val="footer"/>
    <w:basedOn w:val="Normal"/>
    <w:link w:val="PieddepageCar"/>
    <w:uiPriority w:val="99"/>
    <w:unhideWhenUsed/>
    <w:rsid w:val="00CA1D23"/>
    <w:pPr>
      <w:tabs>
        <w:tab w:val="center" w:pos="4513"/>
        <w:tab w:val="right" w:pos="9026"/>
      </w:tabs>
    </w:pPr>
  </w:style>
  <w:style w:type="character" w:customStyle="1" w:styleId="PieddepageCar">
    <w:name w:val="Pied de page Car"/>
    <w:basedOn w:val="Policepardfaut"/>
    <w:link w:val="Pieddepage"/>
    <w:uiPriority w:val="99"/>
    <w:rsid w:val="00CA1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19465">
      <w:bodyDiv w:val="1"/>
      <w:marLeft w:val="0"/>
      <w:marRight w:val="0"/>
      <w:marTop w:val="0"/>
      <w:marBottom w:val="0"/>
      <w:divBdr>
        <w:top w:val="none" w:sz="0" w:space="0" w:color="auto"/>
        <w:left w:val="none" w:sz="0" w:space="0" w:color="auto"/>
        <w:bottom w:val="none" w:sz="0" w:space="0" w:color="auto"/>
        <w:right w:val="none" w:sz="0" w:space="0" w:color="auto"/>
      </w:divBdr>
    </w:div>
    <w:div w:id="928078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9</Pages>
  <Words>4543</Words>
  <Characters>24988</Characters>
  <Application>Microsoft Office Word</Application>
  <DocSecurity>0</DocSecurity>
  <Lines>208</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loickenmoe1@gmail.com</cp:lastModifiedBy>
  <cp:revision>71</cp:revision>
  <cp:lastPrinted>2026-07-27T10:21:00Z</cp:lastPrinted>
  <dcterms:created xsi:type="dcterms:W3CDTF">2026-07-23T21:10:00Z</dcterms:created>
  <dcterms:modified xsi:type="dcterms:W3CDTF">2026-07-28T15:03:00Z</dcterms:modified>
</cp:coreProperties>
</file>