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b/>
          <w:color w:val="0A0A0A"/>
          <w:sz w:val="96"/>
        </w:rPr>
        <w:t>NEXUS</w:t>
      </w:r>
    </w:p>
    <w:p>
      <w:pPr>
        <w:jc w:val="left"/>
      </w:pPr>
      <w:r>
        <w:rPr>
          <w:color w:val="3B82F6"/>
          <w:sz w:val="28"/>
        </w:rPr>
        <w:t>Cahier des charges — Application financière</w:t>
      </w:r>
    </w:p>
    <w:p>
      <w:pPr>
        <w:spacing w:after="600"/>
      </w:pPr>
      <w:r>
        <w:rPr>
          <w:color w:val="BBBBBB"/>
          <w:sz w:val="20"/>
        </w:rPr>
        <w:t>Version 1.0  ·  Confidentiel  ·  2025</w:t>
      </w:r>
    </w:p>
    <w:p>
      <w:pPr>
        <w:spacing w:before="80" w:after="80"/>
        <w:pBdr>
          <w:bottom w:val="single" w:sz="4" w:space="1" w:color="DDDDDD"/>
        </w:pBdr>
      </w:pPr>
    </w:p>
    <w:p>
      <w:pPr>
        <w:spacing w:after="60"/>
      </w:pPr>
      <w:r>
        <w:rPr>
          <w:color w:val="222222"/>
          <w:sz w:val="20"/>
        </w:rPr>
        <w:t>Nexus est un moteur d'analyse financière complet, alimenté par l'intelligence artificielle, agrégeant des données de marché en temps réel depuis une dizaine de sources officielles. L'application couvre l'ensemble des classes d'actifs (actions, ETFs, crypto, obligations, matières premières) sur tous les horizons temporels, avec une interface futuriste inspirée de la direction artistique Apple.</w:t>
      </w:r>
    </w:p>
    <w:p>
      <w:r>
        <w:br w:type="page"/>
      </w:r>
    </w:p>
    <w:p>
      <w:pPr>
        <w:spacing w:before="400" w:after="160"/>
        <w:jc w:val="left"/>
      </w:pPr>
      <w:r>
        <w:rPr>
          <w:b/>
          <w:color w:val="0A0A0A"/>
          <w:sz w:val="44"/>
        </w:rPr>
        <w:t>1. Vision &amp; Objectifs</w:t>
      </w:r>
    </w:p>
    <w:p>
      <w:pPr>
        <w:spacing w:before="80" w:after="80"/>
        <w:pBdr>
          <w:bottom w:val="single" w:sz="4" w:space="1" w:color="DDDDDD"/>
        </w:pBdr>
      </w:pPr>
    </w:p>
    <w:p>
      <w:pPr>
        <w:spacing w:before="280" w:after="80"/>
        <w:jc w:val="left"/>
      </w:pPr>
      <w:r>
        <w:rPr>
          <w:b/>
          <w:color w:val="3B82F6"/>
          <w:sz w:val="30"/>
        </w:rPr>
        <w:t>1.1 Concept</w:t>
      </w:r>
    </w:p>
    <w:p>
      <w:pPr>
        <w:spacing w:after="60"/>
      </w:pPr>
      <w:r>
        <w:rPr>
          <w:color w:val="555555"/>
          <w:sz w:val="20"/>
        </w:rPr>
        <w:t>Nexus est le point de convergence de toutes les données financières mondiales — prix, macro-économie, sentiment, analyse technique et fondamentale — synthétisées par Claude AI en analyses lisibles et actionnables. L'application dépasse TradingView en intégrant des indicateurs avancés (MOVE Index, Put/Call Ratio, CAPE Shiller, Yield Curve) rarement accessibles au grand public, et se distingue par un moteur IA capable de contextualiser chaque donnée en langage naturel.</w:t>
      </w:r>
    </w:p>
    <w:p>
      <w:pPr>
        <w:spacing w:before="280" w:after="80"/>
        <w:jc w:val="left"/>
      </w:pPr>
      <w:r>
        <w:rPr>
          <w:b/>
          <w:color w:val="3B82F6"/>
          <w:sz w:val="30"/>
        </w:rPr>
        <w:t>1.2 Objectifs principaux</w:t>
      </w:r>
    </w:p>
    <w:p>
      <w:pPr>
        <w:pStyle w:val="ListBullet"/>
        <w:spacing w:after="40"/>
        <w:ind w:left="283"/>
      </w:pPr>
      <w:r>
        <w:rPr>
          <w:b/>
          <w:color w:val="0A0A0A"/>
          <w:sz w:val="20"/>
        </w:rPr>
        <w:t xml:space="preserve">Performance — </w:t>
      </w:r>
      <w:r>
        <w:rPr>
          <w:color w:val="555555"/>
          <w:sz w:val="20"/>
        </w:rPr>
        <w:t>Offrir un dashboard modulaire personnalisable avec données live sur toutes les classes d'actifs</w:t>
      </w:r>
    </w:p>
    <w:p>
      <w:pPr>
        <w:pStyle w:val="ListBullet"/>
        <w:spacing w:after="40"/>
        <w:ind w:left="283"/>
      </w:pPr>
      <w:r>
        <w:rPr>
          <w:b/>
          <w:color w:val="0A0A0A"/>
          <w:sz w:val="20"/>
        </w:rPr>
        <w:t xml:space="preserve">Analyse complète — </w:t>
      </w:r>
      <w:r>
        <w:rPr>
          <w:color w:val="555555"/>
          <w:sz w:val="20"/>
        </w:rPr>
        <w:t>Analyser actions, ETFs, crypto, obligations et matières premières en combinant technique, fondamental, sentiment et macro</w:t>
      </w:r>
    </w:p>
    <w:p>
      <w:pPr>
        <w:pStyle w:val="ListBullet"/>
        <w:spacing w:after="40"/>
        <w:ind w:left="283"/>
      </w:pPr>
      <w:r>
        <w:rPr>
          <w:b/>
          <w:color w:val="0A0A0A"/>
          <w:sz w:val="20"/>
        </w:rPr>
        <w:t xml:space="preserve">Intelligence artificielle — </w:t>
      </w:r>
      <w:r>
        <w:rPr>
          <w:color w:val="555555"/>
          <w:sz w:val="20"/>
        </w:rPr>
        <w:t>Fournir un Trading Coach IA (Claude) avec accès à l'historique de l'utilisateur pour conseils personnalisés et soutien psychologique</w:t>
      </w:r>
    </w:p>
    <w:p>
      <w:pPr>
        <w:pStyle w:val="ListBullet"/>
        <w:spacing w:after="40"/>
        <w:ind w:left="283"/>
      </w:pPr>
      <w:r>
        <w:rPr>
          <w:b/>
          <w:color w:val="0A0A0A"/>
          <w:sz w:val="20"/>
        </w:rPr>
        <w:t xml:space="preserve">Paper trading — </w:t>
      </w:r>
      <w:r>
        <w:rPr>
          <w:color w:val="555555"/>
          <w:sz w:val="20"/>
        </w:rPr>
        <w:t>Permettre le paper trading avec 100'000 CHF fictifs aux prix réels, avec suivi de performance vs benchmark</w:t>
      </w:r>
    </w:p>
    <w:p>
      <w:pPr>
        <w:pStyle w:val="ListBullet"/>
        <w:spacing w:after="40"/>
        <w:ind w:left="283"/>
      </w:pPr>
      <w:r>
        <w:rPr>
          <w:b/>
          <w:color w:val="0A0A0A"/>
          <w:sz w:val="20"/>
        </w:rPr>
        <w:t xml:space="preserve">Portfolio professionnel — </w:t>
      </w:r>
      <w:r>
        <w:rPr>
          <w:color w:val="555555"/>
          <w:sz w:val="20"/>
        </w:rPr>
        <w:t>Démontrer une maîtrise concrète des marchés financiers et des outils technologiques modernes — projet LinkedIn sérieux</w:t>
      </w:r>
    </w:p>
    <w:p>
      <w:pPr>
        <w:spacing w:before="280" w:after="80"/>
        <w:jc w:val="left"/>
      </w:pPr>
      <w:r>
        <w:rPr>
          <w:b/>
          <w:color w:val="3B82F6"/>
          <w:sz w:val="30"/>
        </w:rPr>
        <w:t>1.3 Positionnement</w:t>
      </w:r>
    </w:p>
    <w:p>
      <w:pPr>
        <w:spacing w:after="60"/>
      </w:pPr>
      <w:r>
        <w:rPr>
          <w:color w:val="555555"/>
          <w:sz w:val="20"/>
        </w:rPr>
        <w:t>Nexus se positionne entre Bloomberg Terminal (trop cher, trop complexe) et TradingView (limité sur le macro et l'IA). Il s'adresse aux investisseurs autonomes, aux étudiants en finance et aux professionnels souhaitant un outil complet et personnel.</w:t>
      </w:r>
    </w:p>
    <w:p>
      <w:r>
        <w:br w:type="page"/>
      </w:r>
    </w:p>
    <w:p>
      <w:pPr>
        <w:spacing w:before="400" w:after="160"/>
        <w:jc w:val="left"/>
      </w:pPr>
      <w:r>
        <w:rPr>
          <w:b/>
          <w:color w:val="0A0A0A"/>
          <w:sz w:val="44"/>
        </w:rPr>
        <w:t>2. Stack Technique</w:t>
      </w:r>
    </w:p>
    <w:p>
      <w:pPr>
        <w:spacing w:before="80" w:after="80"/>
        <w:pBdr>
          <w:bottom w:val="single" w:sz="4" w:space="1" w:color="DDDDDD"/>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0A0A"/>
          </w:tcPr>
          <w:p>
            <w:r>
              <w:rPr>
                <w:b/>
                <w:color w:val="FFFFFF"/>
                <w:sz w:val="20"/>
              </w:rPr>
              <w:t>Couche</w:t>
            </w:r>
          </w:p>
        </w:tc>
        <w:tc>
          <w:tcPr>
            <w:tcW w:type="dxa" w:w="3135"/>
            <w:shd w:val="clear" w:color="auto" w:fill="0A0A0A"/>
          </w:tcPr>
          <w:p>
            <w:r>
              <w:rPr>
                <w:b/>
                <w:color w:val="FFFFFF"/>
                <w:sz w:val="20"/>
              </w:rPr>
              <w:t>Technologie</w:t>
            </w:r>
          </w:p>
        </w:tc>
        <w:tc>
          <w:tcPr>
            <w:tcW w:type="dxa" w:w="3135"/>
            <w:shd w:val="clear" w:color="auto" w:fill="0A0A0A"/>
          </w:tcPr>
          <w:p>
            <w:r>
              <w:rPr>
                <w:b/>
                <w:color w:val="FFFFFF"/>
                <w:sz w:val="20"/>
              </w:rPr>
              <w:t>Rôle</w:t>
            </w:r>
          </w:p>
        </w:tc>
      </w:tr>
      <w:tr>
        <w:tc>
          <w:tcPr>
            <w:tcW w:type="dxa" w:w="3135"/>
            <w:shd w:val="clear" w:color="auto" w:fill="F8F8F8"/>
          </w:tcPr>
          <w:p>
            <w:r>
              <w:rPr>
                <w:sz w:val="19"/>
              </w:rPr>
              <w:t>Frontend</w:t>
            </w:r>
          </w:p>
        </w:tc>
        <w:tc>
          <w:tcPr>
            <w:tcW w:type="dxa" w:w="3135"/>
            <w:shd w:val="clear" w:color="auto" w:fill="F8F8F8"/>
          </w:tcPr>
          <w:p>
            <w:r>
              <w:rPr>
                <w:sz w:val="19"/>
              </w:rPr>
              <w:t>React + Tailwind CSS</w:t>
            </w:r>
          </w:p>
        </w:tc>
        <w:tc>
          <w:tcPr>
            <w:tcW w:type="dxa" w:w="3135"/>
            <w:shd w:val="clear" w:color="auto" w:fill="F8F8F8"/>
          </w:tcPr>
          <w:p>
            <w:r>
              <w:rPr>
                <w:sz w:val="19"/>
              </w:rPr>
              <w:t>Interface utilisateur responsive</w:t>
            </w:r>
          </w:p>
        </w:tc>
      </w:tr>
      <w:tr>
        <w:tc>
          <w:tcPr>
            <w:tcW w:type="dxa" w:w="3135"/>
          </w:tcPr>
          <w:p>
            <w:r>
              <w:rPr>
                <w:sz w:val="19"/>
              </w:rPr>
              <w:t>Animations</w:t>
            </w:r>
          </w:p>
        </w:tc>
        <w:tc>
          <w:tcPr>
            <w:tcW w:type="dxa" w:w="3135"/>
          </w:tcPr>
          <w:p>
            <w:r>
              <w:rPr>
                <w:sz w:val="19"/>
              </w:rPr>
              <w:t>Framer Motion</w:t>
            </w:r>
          </w:p>
        </w:tc>
        <w:tc>
          <w:tcPr>
            <w:tcW w:type="dxa" w:w="3135"/>
          </w:tcPr>
          <w:p>
            <w:r>
              <w:rPr>
                <w:sz w:val="19"/>
              </w:rPr>
              <w:t>Transitions slide entre onglets</w:t>
            </w:r>
          </w:p>
        </w:tc>
      </w:tr>
      <w:tr>
        <w:tc>
          <w:tcPr>
            <w:tcW w:type="dxa" w:w="3135"/>
            <w:shd w:val="clear" w:color="auto" w:fill="F8F8F8"/>
          </w:tcPr>
          <w:p>
            <w:r>
              <w:rPr>
                <w:sz w:val="19"/>
              </w:rPr>
              <w:t>Dashboard modulaire</w:t>
            </w:r>
          </w:p>
        </w:tc>
        <w:tc>
          <w:tcPr>
            <w:tcW w:type="dxa" w:w="3135"/>
            <w:shd w:val="clear" w:color="auto" w:fill="F8F8F8"/>
          </w:tcPr>
          <w:p>
            <w:r>
              <w:rPr>
                <w:sz w:val="19"/>
              </w:rPr>
              <w:t>React Grid Layout</w:t>
            </w:r>
          </w:p>
        </w:tc>
        <w:tc>
          <w:tcPr>
            <w:tcW w:type="dxa" w:w="3135"/>
            <w:shd w:val="clear" w:color="auto" w:fill="F8F8F8"/>
          </w:tcPr>
          <w:p>
            <w:r>
              <w:rPr>
                <w:sz w:val="19"/>
              </w:rPr>
              <w:t>Drag &amp; drop des widgets</w:t>
            </w:r>
          </w:p>
        </w:tc>
      </w:tr>
      <w:tr>
        <w:tc>
          <w:tcPr>
            <w:tcW w:type="dxa" w:w="3135"/>
          </w:tcPr>
          <w:p>
            <w:r>
              <w:rPr>
                <w:sz w:val="19"/>
              </w:rPr>
              <w:t>Globe 3D</w:t>
            </w:r>
          </w:p>
        </w:tc>
        <w:tc>
          <w:tcPr>
            <w:tcW w:type="dxa" w:w="3135"/>
          </w:tcPr>
          <w:p>
            <w:r>
              <w:rPr>
                <w:sz w:val="19"/>
              </w:rPr>
              <w:t>Three.js / Globe.gl</w:t>
            </w:r>
          </w:p>
        </w:tc>
        <w:tc>
          <w:tcPr>
            <w:tcW w:type="dxa" w:w="3135"/>
          </w:tcPr>
          <w:p>
            <w:r>
              <w:rPr>
                <w:sz w:val="19"/>
              </w:rPr>
              <w:t>Heatmap mondiale interactive</w:t>
            </w:r>
          </w:p>
        </w:tc>
      </w:tr>
      <w:tr>
        <w:tc>
          <w:tcPr>
            <w:tcW w:type="dxa" w:w="3135"/>
            <w:shd w:val="clear" w:color="auto" w:fill="F8F8F8"/>
          </w:tcPr>
          <w:p>
            <w:r>
              <w:rPr>
                <w:sz w:val="19"/>
              </w:rPr>
              <w:t>Auth + Base de données</w:t>
            </w:r>
          </w:p>
        </w:tc>
        <w:tc>
          <w:tcPr>
            <w:tcW w:type="dxa" w:w="3135"/>
            <w:shd w:val="clear" w:color="auto" w:fill="F8F8F8"/>
          </w:tcPr>
          <w:p>
            <w:r>
              <w:rPr>
                <w:sz w:val="19"/>
              </w:rPr>
              <w:t>Supabase</w:t>
            </w:r>
          </w:p>
        </w:tc>
        <w:tc>
          <w:tcPr>
            <w:tcW w:type="dxa" w:w="3135"/>
            <w:shd w:val="clear" w:color="auto" w:fill="F8F8F8"/>
          </w:tcPr>
          <w:p>
            <w:r>
              <w:rPr>
                <w:sz w:val="19"/>
              </w:rPr>
              <w:t>Comptes utilisateurs, données persistantes</w:t>
            </w:r>
          </w:p>
        </w:tc>
      </w:tr>
      <w:tr>
        <w:tc>
          <w:tcPr>
            <w:tcW w:type="dxa" w:w="3135"/>
          </w:tcPr>
          <w:p>
            <w:r>
              <w:rPr>
                <w:sz w:val="19"/>
              </w:rPr>
              <w:t>Hébergement</w:t>
            </w:r>
          </w:p>
        </w:tc>
        <w:tc>
          <w:tcPr>
            <w:tcW w:type="dxa" w:w="3135"/>
          </w:tcPr>
          <w:p>
            <w:r>
              <w:rPr>
                <w:sz w:val="19"/>
              </w:rPr>
              <w:t>Vercel</w:t>
            </w:r>
          </w:p>
        </w:tc>
        <w:tc>
          <w:tcPr>
            <w:tcW w:type="dxa" w:w="3135"/>
          </w:tcPr>
          <w:p>
            <w:r>
              <w:rPr>
                <w:sz w:val="19"/>
              </w:rPr>
              <w:t>Déploiement gratuit, lien public</w:t>
            </w:r>
          </w:p>
        </w:tc>
      </w:tr>
      <w:tr>
        <w:tc>
          <w:tcPr>
            <w:tcW w:type="dxa" w:w="3135"/>
            <w:shd w:val="clear" w:color="auto" w:fill="F8F8F8"/>
          </w:tcPr>
          <w:p>
            <w:r>
              <w:rPr>
                <w:sz w:val="19"/>
              </w:rPr>
              <w:t>Intelligence artificielle</w:t>
            </w:r>
          </w:p>
        </w:tc>
        <w:tc>
          <w:tcPr>
            <w:tcW w:type="dxa" w:w="3135"/>
            <w:shd w:val="clear" w:color="auto" w:fill="F8F8F8"/>
          </w:tcPr>
          <w:p>
            <w:r>
              <w:rPr>
                <w:sz w:val="19"/>
              </w:rPr>
              <w:t>Claude API (Sonnet 4)</w:t>
            </w:r>
          </w:p>
        </w:tc>
        <w:tc>
          <w:tcPr>
            <w:tcW w:type="dxa" w:w="3135"/>
            <w:shd w:val="clear" w:color="auto" w:fill="F8F8F8"/>
          </w:tcPr>
          <w:p>
            <w:r>
              <w:rPr>
                <w:sz w:val="19"/>
              </w:rPr>
              <w:t>Analyses, Nexus Coach, scoring</w:t>
            </w:r>
          </w:p>
        </w:tc>
      </w:tr>
    </w:tbl>
    <w:p/>
    <w:p>
      <w:pPr>
        <w:spacing w:before="280" w:after="80"/>
        <w:jc w:val="left"/>
      </w:pPr>
      <w:r>
        <w:rPr>
          <w:b/>
          <w:color w:val="3B82F6"/>
          <w:sz w:val="30"/>
        </w:rPr>
        <w:t>2.1 Variables d'environnement (.env)</w:t>
      </w:r>
    </w:p>
    <w:p>
      <w:pPr>
        <w:spacing w:after="60"/>
      </w:pPr>
      <w:r>
        <w:rPr>
          <w:color w:val="555555"/>
          <w:sz w:val="20"/>
        </w:rPr>
        <w:t>Toutes les clés API sont stockées dans un fichier .env privé, jamais versionné sur GitHub :</w:t>
      </w:r>
    </w:p>
    <w:p>
      <w:pPr>
        <w:pStyle w:val="ListBullet"/>
        <w:spacing w:after="40"/>
        <w:ind w:left="283"/>
      </w:pPr>
      <w:r>
        <w:rPr>
          <w:color w:val="555555"/>
          <w:sz w:val="20"/>
        </w:rPr>
        <w:t>VITE_FRED_API_KEY</w:t>
      </w:r>
    </w:p>
    <w:p>
      <w:pPr>
        <w:pStyle w:val="ListBullet"/>
        <w:spacing w:after="40"/>
        <w:ind w:left="283"/>
      </w:pPr>
      <w:r>
        <w:rPr>
          <w:color w:val="555555"/>
          <w:sz w:val="20"/>
        </w:rPr>
        <w:t>VITE_ALPHA_VANTAGE_KEY</w:t>
      </w:r>
    </w:p>
    <w:p>
      <w:pPr>
        <w:pStyle w:val="ListBullet"/>
        <w:spacing w:after="40"/>
        <w:ind w:left="283"/>
      </w:pPr>
      <w:r>
        <w:rPr>
          <w:color w:val="555555"/>
          <w:sz w:val="20"/>
        </w:rPr>
        <w:t>VITE_POLYGON_KEY</w:t>
      </w:r>
    </w:p>
    <w:p>
      <w:pPr>
        <w:pStyle w:val="ListBullet"/>
        <w:spacing w:after="40"/>
        <w:ind w:left="283"/>
      </w:pPr>
      <w:r>
        <w:rPr>
          <w:color w:val="555555"/>
          <w:sz w:val="20"/>
        </w:rPr>
        <w:t>VITE_QUANDL_KEY</w:t>
      </w:r>
    </w:p>
    <w:p>
      <w:pPr>
        <w:pStyle w:val="ListBullet"/>
        <w:spacing w:after="40"/>
        <w:ind w:left="283"/>
      </w:pPr>
      <w:r>
        <w:rPr>
          <w:color w:val="555555"/>
          <w:sz w:val="20"/>
        </w:rPr>
        <w:t>VITE_SUPABASE_URL</w:t>
      </w:r>
    </w:p>
    <w:p>
      <w:pPr>
        <w:pStyle w:val="ListBullet"/>
        <w:spacing w:after="40"/>
        <w:ind w:left="283"/>
      </w:pPr>
      <w:r>
        <w:rPr>
          <w:color w:val="555555"/>
          <w:sz w:val="20"/>
        </w:rPr>
        <w:t>VITE_SUPABASE_ANON_KEY</w:t>
      </w:r>
    </w:p>
    <w:p>
      <w:pPr>
        <w:pStyle w:val="ListBullet"/>
        <w:spacing w:after="40"/>
        <w:ind w:left="283"/>
      </w:pPr>
      <w:r>
        <w:rPr>
          <w:color w:val="555555"/>
          <w:sz w:val="20"/>
        </w:rPr>
        <w:t>VITE_ANTHROPIC_KEY</w:t>
      </w:r>
    </w:p>
    <w:p>
      <w:r>
        <w:br w:type="page"/>
      </w:r>
    </w:p>
    <w:p>
      <w:pPr>
        <w:spacing w:before="400" w:after="160"/>
        <w:jc w:val="left"/>
      </w:pPr>
      <w:r>
        <w:rPr>
          <w:b/>
          <w:color w:val="0A0A0A"/>
          <w:sz w:val="44"/>
        </w:rPr>
        <w:t>3. Sources de Données &amp; APIs</w:t>
      </w:r>
    </w:p>
    <w:p>
      <w:pPr>
        <w:spacing w:before="80" w:after="80"/>
        <w:pBdr>
          <w:bottom w:val="single" w:sz="4" w:space="1" w:color="DDDDDD"/>
        </w:pBdr>
      </w:pPr>
    </w:p>
    <w:p>
      <w:pPr>
        <w:spacing w:before="280" w:after="80"/>
        <w:jc w:val="left"/>
      </w:pPr>
      <w:r>
        <w:rPr>
          <w:b/>
          <w:color w:val="3B82F6"/>
          <w:sz w:val="30"/>
        </w:rPr>
        <w:t>3.1 APIs sans clé (accès direct)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0A0A"/>
          </w:tcPr>
          <w:p>
            <w:r>
              <w:rPr>
                <w:b/>
                <w:color w:val="FFFFFF"/>
                <w:sz w:val="20"/>
              </w:rPr>
              <w:t>Source</w:t>
            </w:r>
          </w:p>
        </w:tc>
        <w:tc>
          <w:tcPr>
            <w:tcW w:type="dxa" w:w="3135"/>
            <w:shd w:val="clear" w:color="auto" w:fill="0A0A0A"/>
          </w:tcPr>
          <w:p>
            <w:r>
              <w:rPr>
                <w:b/>
                <w:color w:val="FFFFFF"/>
                <w:sz w:val="20"/>
              </w:rPr>
              <w:t>Données fournies</w:t>
            </w:r>
          </w:p>
        </w:tc>
        <w:tc>
          <w:tcPr>
            <w:tcW w:type="dxa" w:w="3135"/>
            <w:shd w:val="clear" w:color="auto" w:fill="0A0A0A"/>
          </w:tcPr>
          <w:p>
            <w:r>
              <w:rPr>
                <w:b/>
                <w:color w:val="FFFFFF"/>
                <w:sz w:val="20"/>
              </w:rPr>
              <w:t>Usage dans Nexus</w:t>
            </w:r>
          </w:p>
        </w:tc>
      </w:tr>
      <w:tr>
        <w:tc>
          <w:tcPr>
            <w:tcW w:type="dxa" w:w="3135"/>
            <w:shd w:val="clear" w:color="auto" w:fill="F8F8F8"/>
          </w:tcPr>
          <w:p>
            <w:r>
              <w:rPr>
                <w:sz w:val="18"/>
              </w:rPr>
              <w:t>Yahoo Finance</w:t>
            </w:r>
          </w:p>
        </w:tc>
        <w:tc>
          <w:tcPr>
            <w:tcW w:type="dxa" w:w="3135"/>
            <w:shd w:val="clear" w:color="auto" w:fill="F8F8F8"/>
          </w:tcPr>
          <w:p>
            <w:r>
              <w:rPr>
                <w:sz w:val="18"/>
              </w:rPr>
              <w:t>Prix live actions/ETFs/crypto/indices, VIX et dérivés (VXN, VVIX, SKEW), historique 20 ans</w:t>
            </w:r>
          </w:p>
        </w:tc>
        <w:tc>
          <w:tcPr>
            <w:tcW w:type="dxa" w:w="3135"/>
            <w:shd w:val="clear" w:color="auto" w:fill="F8F8F8"/>
          </w:tcPr>
          <w:p>
            <w:r>
              <w:rPr>
                <w:sz w:val="18"/>
              </w:rPr>
              <w:t>Données de base, ticker band, paper trading</w:t>
            </w:r>
          </w:p>
        </w:tc>
      </w:tr>
      <w:tr>
        <w:tc>
          <w:tcPr>
            <w:tcW w:type="dxa" w:w="3135"/>
          </w:tcPr>
          <w:p>
            <w:r>
              <w:rPr>
                <w:sz w:val="18"/>
              </w:rPr>
              <w:t>Fear &amp; Greed CNN</w:t>
            </w:r>
          </w:p>
        </w:tc>
        <w:tc>
          <w:tcPr>
            <w:tcW w:type="dxa" w:w="3135"/>
          </w:tcPr>
          <w:p>
            <w:r>
              <w:rPr>
                <w:sz w:val="18"/>
              </w:rPr>
              <w:t>Score sentiment 0-100 en temps réel</w:t>
            </w:r>
          </w:p>
        </w:tc>
        <w:tc>
          <w:tcPr>
            <w:tcW w:type="dxa" w:w="3135"/>
          </w:tcPr>
          <w:p>
            <w:r>
              <w:rPr>
                <w:sz w:val="18"/>
              </w:rPr>
              <w:t>Widget sentiment, scoring IA</w:t>
            </w:r>
          </w:p>
        </w:tc>
      </w:tr>
      <w:tr>
        <w:tc>
          <w:tcPr>
            <w:tcW w:type="dxa" w:w="3135"/>
            <w:shd w:val="clear" w:color="auto" w:fill="F8F8F8"/>
          </w:tcPr>
          <w:p>
            <w:r>
              <w:rPr>
                <w:sz w:val="18"/>
              </w:rPr>
              <w:t>CoinGecko</w:t>
            </w:r>
          </w:p>
        </w:tc>
        <w:tc>
          <w:tcPr>
            <w:tcW w:type="dxa" w:w="3135"/>
            <w:shd w:val="clear" w:color="auto" w:fill="F8F8F8"/>
          </w:tcPr>
          <w:p>
            <w:r>
              <w:rPr>
                <w:sz w:val="18"/>
              </w:rPr>
              <w:t>10'000+ cryptos, market cap, volume, historique</w:t>
            </w:r>
          </w:p>
        </w:tc>
        <w:tc>
          <w:tcPr>
            <w:tcW w:type="dxa" w:w="3135"/>
            <w:shd w:val="clear" w:color="auto" w:fill="F8F8F8"/>
          </w:tcPr>
          <w:p>
            <w:r>
              <w:rPr>
                <w:sz w:val="18"/>
              </w:rPr>
              <w:t>Section crypto complète</w:t>
            </w:r>
          </w:p>
        </w:tc>
      </w:tr>
      <w:tr>
        <w:tc>
          <w:tcPr>
            <w:tcW w:type="dxa" w:w="3135"/>
          </w:tcPr>
          <w:p>
            <w:r>
              <w:rPr>
                <w:sz w:val="18"/>
              </w:rPr>
              <w:t>BCE</w:t>
            </w:r>
          </w:p>
        </w:tc>
        <w:tc>
          <w:tcPr>
            <w:tcW w:type="dxa" w:w="3135"/>
          </w:tcPr>
          <w:p>
            <w:r>
              <w:rPr>
                <w:sz w:val="18"/>
              </w:rPr>
              <w:t>Taux directeurs zone euro, inflation EUR, taux de change</w:t>
            </w:r>
          </w:p>
        </w:tc>
        <w:tc>
          <w:tcPr>
            <w:tcW w:type="dxa" w:w="3135"/>
          </w:tcPr>
          <w:p>
            <w:r>
              <w:rPr>
                <w:sz w:val="18"/>
              </w:rPr>
              <w:t>Section macro européenne</w:t>
            </w:r>
          </w:p>
        </w:tc>
      </w:tr>
      <w:tr>
        <w:tc>
          <w:tcPr>
            <w:tcW w:type="dxa" w:w="3135"/>
            <w:shd w:val="clear" w:color="auto" w:fill="F8F8F8"/>
          </w:tcPr>
          <w:p>
            <w:r>
              <w:rPr>
                <w:sz w:val="18"/>
              </w:rPr>
              <w:t>SEC EDGAR</w:t>
            </w:r>
          </w:p>
        </w:tc>
        <w:tc>
          <w:tcPr>
            <w:tcW w:type="dxa" w:w="3135"/>
            <w:shd w:val="clear" w:color="auto" w:fill="F8F8F8"/>
          </w:tcPr>
          <w:p>
            <w:r>
              <w:rPr>
                <w:sz w:val="18"/>
              </w:rPr>
              <w:t>Bilans, comptes de résultat, rapports annuels entreprises US</w:t>
            </w:r>
          </w:p>
        </w:tc>
        <w:tc>
          <w:tcPr>
            <w:tcW w:type="dxa" w:w="3135"/>
            <w:shd w:val="clear" w:color="auto" w:fill="F8F8F8"/>
          </w:tcPr>
          <w:p>
            <w:r>
              <w:rPr>
                <w:sz w:val="18"/>
              </w:rPr>
              <w:t>Analyse fondamentale</w:t>
            </w:r>
          </w:p>
        </w:tc>
      </w:tr>
      <w:tr>
        <w:tc>
          <w:tcPr>
            <w:tcW w:type="dxa" w:w="3135"/>
          </w:tcPr>
          <w:p>
            <w:r>
              <w:rPr>
                <w:sz w:val="18"/>
              </w:rPr>
              <w:t>OCDE</w:t>
            </w:r>
          </w:p>
        </w:tc>
        <w:tc>
          <w:tcPr>
            <w:tcW w:type="dxa" w:w="3135"/>
          </w:tcPr>
          <w:p>
            <w:r>
              <w:rPr>
                <w:sz w:val="18"/>
              </w:rPr>
              <w:t>PIB, chômage, inflation 38 pays membres</w:t>
            </w:r>
          </w:p>
        </w:tc>
        <w:tc>
          <w:tcPr>
            <w:tcW w:type="dxa" w:w="3135"/>
          </w:tcPr>
          <w:p>
            <w:r>
              <w:rPr>
                <w:sz w:val="18"/>
              </w:rPr>
              <w:t>Vue macro mondiale</w:t>
            </w:r>
          </w:p>
        </w:tc>
      </w:tr>
    </w:tbl>
    <w:p/>
    <w:p>
      <w:pPr>
        <w:spacing w:before="280" w:after="80"/>
        <w:jc w:val="left"/>
      </w:pPr>
      <w:r>
        <w:rPr>
          <w:b/>
          <w:color w:val="3B82F6"/>
          <w:sz w:val="30"/>
        </w:rPr>
        <w:t>3.2 APIs avec clé gratuite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0A0A"/>
          </w:tcPr>
          <w:p>
            <w:r>
              <w:rPr>
                <w:b/>
                <w:color w:val="FFFFFF"/>
                <w:sz w:val="20"/>
              </w:rPr>
              <w:t>Source</w:t>
            </w:r>
          </w:p>
        </w:tc>
        <w:tc>
          <w:tcPr>
            <w:tcW w:type="dxa" w:w="3135"/>
            <w:shd w:val="clear" w:color="auto" w:fill="0A0A0A"/>
          </w:tcPr>
          <w:p>
            <w:r>
              <w:rPr>
                <w:b/>
                <w:color w:val="FFFFFF"/>
                <w:sz w:val="20"/>
              </w:rPr>
              <w:t>Données fournies</w:t>
            </w:r>
          </w:p>
        </w:tc>
        <w:tc>
          <w:tcPr>
            <w:tcW w:type="dxa" w:w="3135"/>
            <w:shd w:val="clear" w:color="auto" w:fill="0A0A0A"/>
          </w:tcPr>
          <w:p>
            <w:r>
              <w:rPr>
                <w:b/>
                <w:color w:val="FFFFFF"/>
                <w:sz w:val="20"/>
              </w:rPr>
              <w:t>Limite gratuite</w:t>
            </w:r>
          </w:p>
        </w:tc>
      </w:tr>
      <w:tr>
        <w:tc>
          <w:tcPr>
            <w:tcW w:type="dxa" w:w="3135"/>
            <w:shd w:val="clear" w:color="auto" w:fill="F8F8F8"/>
          </w:tcPr>
          <w:p>
            <w:r>
              <w:rPr>
                <w:sz w:val="18"/>
              </w:rPr>
              <w:t>FRED</w:t>
            </w:r>
          </w:p>
        </w:tc>
        <w:tc>
          <w:tcPr>
            <w:tcW w:type="dxa" w:w="3135"/>
            <w:shd w:val="clear" w:color="auto" w:fill="F8F8F8"/>
          </w:tcPr>
          <w:p>
            <w:r>
              <w:rPr>
                <w:sz w:val="18"/>
              </w:rPr>
              <w:t>CPI, taux Fed, chômage, M2, Yield Curve (T10Y2Y, DGS10, DGS2), TED Spread, High Yield Spread</w:t>
            </w:r>
          </w:p>
        </w:tc>
        <w:tc>
          <w:tcPr>
            <w:tcW w:type="dxa" w:w="3135"/>
            <w:shd w:val="clear" w:color="auto" w:fill="F8F8F8"/>
          </w:tcPr>
          <w:p>
            <w:r>
              <w:rPr>
                <w:sz w:val="18"/>
              </w:rPr>
              <w:t>Illimitée</w:t>
            </w:r>
          </w:p>
        </w:tc>
      </w:tr>
      <w:tr>
        <w:tc>
          <w:tcPr>
            <w:tcW w:type="dxa" w:w="3135"/>
          </w:tcPr>
          <w:p>
            <w:r>
              <w:rPr>
                <w:sz w:val="18"/>
              </w:rPr>
              <w:t>Alpha Vantage</w:t>
            </w:r>
          </w:p>
        </w:tc>
        <w:tc>
          <w:tcPr>
            <w:tcW w:type="dxa" w:w="3135"/>
          </w:tcPr>
          <w:p>
            <w:r>
              <w:rPr>
                <w:sz w:val="18"/>
              </w:rPr>
              <w:t>RSI, MACD, EMA/SMA calculés directement, historique prix propre</w:t>
            </w:r>
          </w:p>
        </w:tc>
        <w:tc>
          <w:tcPr>
            <w:tcW w:type="dxa" w:w="3135"/>
          </w:tcPr>
          <w:p>
            <w:r>
              <w:rPr>
                <w:sz w:val="18"/>
              </w:rPr>
              <w:t>25 appels/jour</w:t>
            </w:r>
          </w:p>
        </w:tc>
      </w:tr>
      <w:tr>
        <w:tc>
          <w:tcPr>
            <w:tcW w:type="dxa" w:w="3135"/>
            <w:shd w:val="clear" w:color="auto" w:fill="F8F8F8"/>
          </w:tcPr>
          <w:p>
            <w:r>
              <w:rPr>
                <w:sz w:val="18"/>
              </w:rPr>
              <w:t>Polygon.io</w:t>
            </w:r>
          </w:p>
        </w:tc>
        <w:tc>
          <w:tcPr>
            <w:tcW w:type="dxa" w:w="3135"/>
            <w:shd w:val="clear" w:color="auto" w:fill="F8F8F8"/>
          </w:tcPr>
          <w:p>
            <w:r>
              <w:rPr>
                <w:sz w:val="18"/>
              </w:rPr>
              <w:t>Prix intraday minute par minute, volume, données options</w:t>
            </w:r>
          </w:p>
        </w:tc>
        <w:tc>
          <w:tcPr>
            <w:tcW w:type="dxa" w:w="3135"/>
            <w:shd w:val="clear" w:color="auto" w:fill="F8F8F8"/>
          </w:tcPr>
          <w:p>
            <w:r>
              <w:rPr>
                <w:sz w:val="18"/>
              </w:rPr>
              <w:t>5 appels/minute</w:t>
            </w:r>
          </w:p>
        </w:tc>
      </w:tr>
      <w:tr>
        <w:tc>
          <w:tcPr>
            <w:tcW w:type="dxa" w:w="3135"/>
          </w:tcPr>
          <w:p>
            <w:r>
              <w:rPr>
                <w:sz w:val="18"/>
              </w:rPr>
              <w:t>Quandl/Nasdaq</w:t>
            </w:r>
          </w:p>
        </w:tc>
        <w:tc>
          <w:tcPr>
            <w:tcW w:type="dxa" w:w="3135"/>
          </w:tcPr>
          <w:p>
            <w:r>
              <w:rPr>
                <w:sz w:val="18"/>
              </w:rPr>
              <w:t>Put/Call Ratio, CAPE Shiller, AAII Sentiment, Baltic Dry Index, MOVE Index</w:t>
            </w:r>
          </w:p>
        </w:tc>
        <w:tc>
          <w:tcPr>
            <w:tcW w:type="dxa" w:w="3135"/>
          </w:tcPr>
          <w:p>
            <w:r>
              <w:rPr>
                <w:sz w:val="18"/>
              </w:rPr>
              <w:t>50 appels/jour</w:t>
            </w:r>
          </w:p>
        </w:tc>
      </w:tr>
    </w:tbl>
    <w:p/>
    <w:p>
      <w:pPr>
        <w:spacing w:before="280" w:after="80"/>
        <w:jc w:val="left"/>
      </w:pPr>
      <w:r>
        <w:rPr>
          <w:b/>
          <w:color w:val="3B82F6"/>
          <w:sz w:val="30"/>
        </w:rPr>
        <w:t>3.3 Système de cache</w:t>
      </w:r>
    </w:p>
    <w:p>
      <w:pPr>
        <w:spacing w:after="60"/>
      </w:pPr>
      <w:r>
        <w:rPr>
          <w:color w:val="555555"/>
          <w:sz w:val="20"/>
        </w:rPr>
        <w:t>Pour respecter les limites gratuites, un système de cache est implémenté :</w:t>
      </w:r>
    </w:p>
    <w:p>
      <w:pPr>
        <w:pStyle w:val="ListBullet"/>
        <w:spacing w:after="40"/>
        <w:ind w:left="283"/>
      </w:pPr>
      <w:r>
        <w:rPr>
          <w:color w:val="555555"/>
          <w:sz w:val="20"/>
        </w:rPr>
        <w:t>VIX, prix actions/ETFs/crypto → rafraîchissement toutes les 15 minutes</w:t>
      </w:r>
    </w:p>
    <w:p>
      <w:pPr>
        <w:pStyle w:val="ListBullet"/>
        <w:spacing w:after="40"/>
        <w:ind w:left="283"/>
      </w:pPr>
      <w:r>
        <w:rPr>
          <w:color w:val="555555"/>
          <w:sz w:val="20"/>
        </w:rPr>
        <w:t>Fear &amp; Greed Index → rafraîchissement toutes les heures</w:t>
      </w:r>
    </w:p>
    <w:p>
      <w:pPr>
        <w:pStyle w:val="ListBullet"/>
        <w:spacing w:after="40"/>
        <w:ind w:left="283"/>
      </w:pPr>
      <w:r>
        <w:rPr>
          <w:color w:val="555555"/>
          <w:sz w:val="20"/>
        </w:rPr>
        <w:t>CPI, Yield Curve, données FRED → rafraîchissement une fois par jour</w:t>
      </w:r>
    </w:p>
    <w:p>
      <w:pPr>
        <w:pStyle w:val="ListBullet"/>
        <w:spacing w:after="40"/>
        <w:ind w:left="283"/>
      </w:pPr>
      <w:r>
        <w:rPr>
          <w:color w:val="555555"/>
          <w:sz w:val="20"/>
        </w:rPr>
        <w:t>AAII Sentiment Survey → rafraîchissement une fois par semaine</w:t>
      </w:r>
    </w:p>
    <w:p>
      <w:pPr>
        <w:pStyle w:val="ListBullet"/>
        <w:spacing w:after="40"/>
        <w:ind w:left="283"/>
      </w:pPr>
      <w:r>
        <w:rPr>
          <w:color w:val="555555"/>
          <w:sz w:val="20"/>
        </w:rPr>
        <w:t>Earnings, bilans SEC EDGAR → rafraîchissement une fois par jour</w:t>
      </w:r>
    </w:p>
    <w:p>
      <w:r>
        <w:br w:type="page"/>
      </w:r>
    </w:p>
    <w:p>
      <w:pPr>
        <w:spacing w:before="400" w:after="160"/>
        <w:jc w:val="left"/>
      </w:pPr>
      <w:r>
        <w:rPr>
          <w:b/>
          <w:color w:val="0A0A0A"/>
          <w:sz w:val="44"/>
        </w:rPr>
        <w:t>4. Indicateurs Financiers Intégrés</w:t>
      </w:r>
    </w:p>
    <w:p>
      <w:pPr>
        <w:spacing w:before="80" w:after="80"/>
        <w:pBdr>
          <w:bottom w:val="single" w:sz="4" w:space="1" w:color="DDDDDD"/>
        </w:pBdr>
      </w:pPr>
    </w:p>
    <w:p>
      <w:pPr>
        <w:spacing w:before="280" w:after="80"/>
        <w:jc w:val="left"/>
      </w:pPr>
      <w:r>
        <w:rPr>
          <w:b/>
          <w:color w:val="3B82F6"/>
          <w:sz w:val="30"/>
        </w:rPr>
        <w:t>4.1 Indices de volatilité (Yahoo Finance — ticker ^)</w:t>
      </w:r>
    </w:p>
    <w:p>
      <w:pPr>
        <w:pStyle w:val="ListBullet"/>
        <w:spacing w:after="40"/>
        <w:ind w:left="283"/>
      </w:pPr>
      <w:r>
        <w:rPr>
          <w:b/>
          <w:color w:val="3B82F6"/>
          <w:sz w:val="20"/>
        </w:rPr>
        <w:t xml:space="preserve">^VIX — </w:t>
      </w:r>
      <w:r>
        <w:rPr>
          <w:color w:val="555555"/>
          <w:sz w:val="20"/>
        </w:rPr>
        <w:t>Volatilité implicite S&amp;P 500 — le baromètre de peur du marché</w:t>
      </w:r>
    </w:p>
    <w:p>
      <w:pPr>
        <w:pStyle w:val="ListBullet"/>
        <w:spacing w:after="40"/>
        <w:ind w:left="283"/>
      </w:pPr>
      <w:r>
        <w:rPr>
          <w:b/>
          <w:color w:val="3B82F6"/>
          <w:sz w:val="20"/>
        </w:rPr>
        <w:t xml:space="preserve">^VXN — </w:t>
      </w:r>
      <w:r>
        <w:rPr>
          <w:color w:val="555555"/>
          <w:sz w:val="20"/>
        </w:rPr>
        <w:t>Volatilité spécifique au Nasdaq</w:t>
      </w:r>
    </w:p>
    <w:p>
      <w:pPr>
        <w:pStyle w:val="ListBullet"/>
        <w:spacing w:after="40"/>
        <w:ind w:left="283"/>
      </w:pPr>
      <w:r>
        <w:rPr>
          <w:b/>
          <w:color w:val="3B82F6"/>
          <w:sz w:val="20"/>
        </w:rPr>
        <w:t xml:space="preserve">^VVIX — </w:t>
      </w:r>
      <w:r>
        <w:rPr>
          <w:color w:val="555555"/>
          <w:sz w:val="20"/>
        </w:rPr>
        <w:t>Volatilité de la volatilité — signal d'un mouvement VIX imminent</w:t>
      </w:r>
    </w:p>
    <w:p>
      <w:pPr>
        <w:pStyle w:val="ListBullet"/>
        <w:spacing w:after="40"/>
        <w:ind w:left="283"/>
      </w:pPr>
      <w:r>
        <w:rPr>
          <w:b/>
          <w:color w:val="3B82F6"/>
          <w:sz w:val="20"/>
        </w:rPr>
        <w:t xml:space="preserve">^SKEW — </w:t>
      </w:r>
      <w:r>
        <w:rPr>
          <w:color w:val="555555"/>
          <w:sz w:val="20"/>
        </w:rPr>
        <w:t>Risque de crash extrême — quand il monte, les gros fonds se couvrent</w:t>
      </w:r>
    </w:p>
    <w:p>
      <w:pPr>
        <w:pStyle w:val="ListBullet"/>
        <w:spacing w:after="40"/>
        <w:ind w:left="283"/>
      </w:pPr>
      <w:r>
        <w:rPr>
          <w:b/>
          <w:color w:val="3B82F6"/>
          <w:sz w:val="20"/>
        </w:rPr>
        <w:t xml:space="preserve">^VXD — </w:t>
      </w:r>
      <w:r>
        <w:rPr>
          <w:color w:val="555555"/>
          <w:sz w:val="20"/>
        </w:rPr>
        <w:t>Volatilité du Dow Jones</w:t>
      </w:r>
    </w:p>
    <w:p>
      <w:pPr>
        <w:pStyle w:val="ListBullet"/>
        <w:spacing w:after="40"/>
        <w:ind w:left="283"/>
      </w:pPr>
      <w:r>
        <w:rPr>
          <w:b/>
          <w:color w:val="3B82F6"/>
          <w:sz w:val="20"/>
        </w:rPr>
        <w:t xml:space="preserve">^RVX — </w:t>
      </w:r>
      <w:r>
        <w:rPr>
          <w:color w:val="555555"/>
          <w:sz w:val="20"/>
        </w:rPr>
        <w:t>Volatilité du Russell 2000</w:t>
      </w:r>
    </w:p>
    <w:p>
      <w:pPr>
        <w:spacing w:before="280" w:after="80"/>
        <w:jc w:val="left"/>
      </w:pPr>
      <w:r>
        <w:rPr>
          <w:b/>
          <w:color w:val="3B82F6"/>
          <w:sz w:val="30"/>
        </w:rPr>
        <w:t>4.2 Indicateurs macro (FRED)</w:t>
      </w:r>
    </w:p>
    <w:p>
      <w:pPr>
        <w:pStyle w:val="ListBullet"/>
        <w:spacing w:after="40"/>
        <w:ind w:left="283"/>
      </w:pPr>
      <w:r>
        <w:rPr>
          <w:b/>
          <w:color w:val="3B82F6"/>
          <w:sz w:val="20"/>
        </w:rPr>
        <w:t xml:space="preserve">T10Y2Y — </w:t>
      </w:r>
      <w:r>
        <w:rPr>
          <w:color w:val="555555"/>
          <w:sz w:val="20"/>
        </w:rPr>
        <w:t>Yield Curve Spread 10Y-2Y — indicateur de récession le plus fiable</w:t>
      </w:r>
    </w:p>
    <w:p>
      <w:pPr>
        <w:pStyle w:val="ListBullet"/>
        <w:spacing w:after="40"/>
        <w:ind w:left="283"/>
      </w:pPr>
      <w:r>
        <w:rPr>
          <w:b/>
          <w:color w:val="3B82F6"/>
          <w:sz w:val="20"/>
        </w:rPr>
        <w:t xml:space="preserve">DGS10 / DGS2 — </w:t>
      </w:r>
      <w:r>
        <w:rPr>
          <w:color w:val="555555"/>
          <w:sz w:val="20"/>
        </w:rPr>
        <w:t>Taux 10 ans et 2 ans US — composantes de la courbe</w:t>
      </w:r>
    </w:p>
    <w:p>
      <w:pPr>
        <w:pStyle w:val="ListBullet"/>
        <w:spacing w:after="40"/>
        <w:ind w:left="283"/>
      </w:pPr>
      <w:r>
        <w:rPr>
          <w:b/>
          <w:color w:val="3B82F6"/>
          <w:sz w:val="20"/>
        </w:rPr>
        <w:t xml:space="preserve">FEDFUNDS — </w:t>
      </w:r>
      <w:r>
        <w:rPr>
          <w:color w:val="555555"/>
          <w:sz w:val="20"/>
        </w:rPr>
        <w:t>Taux directeur Fed Funds actuel</w:t>
      </w:r>
    </w:p>
    <w:p>
      <w:pPr>
        <w:pStyle w:val="ListBullet"/>
        <w:spacing w:after="40"/>
        <w:ind w:left="283"/>
      </w:pPr>
      <w:r>
        <w:rPr>
          <w:b/>
          <w:color w:val="3B82F6"/>
          <w:sz w:val="20"/>
        </w:rPr>
        <w:t xml:space="preserve">CPIAUCSL — </w:t>
      </w:r>
      <w:r>
        <w:rPr>
          <w:color w:val="555555"/>
          <w:sz w:val="20"/>
        </w:rPr>
        <w:t>CPI inflation US mensuel</w:t>
      </w:r>
    </w:p>
    <w:p>
      <w:pPr>
        <w:pStyle w:val="ListBullet"/>
        <w:spacing w:after="40"/>
        <w:ind w:left="283"/>
      </w:pPr>
      <w:r>
        <w:rPr>
          <w:b/>
          <w:color w:val="3B82F6"/>
          <w:sz w:val="20"/>
        </w:rPr>
        <w:t xml:space="preserve">UNRATE — </w:t>
      </w:r>
      <w:r>
        <w:rPr>
          <w:color w:val="555555"/>
          <w:sz w:val="20"/>
        </w:rPr>
        <w:t>Taux de chômage US</w:t>
      </w:r>
    </w:p>
    <w:p>
      <w:pPr>
        <w:pStyle w:val="ListBullet"/>
        <w:spacing w:after="40"/>
        <w:ind w:left="283"/>
      </w:pPr>
      <w:r>
        <w:rPr>
          <w:b/>
          <w:color w:val="3B82F6"/>
          <w:sz w:val="20"/>
        </w:rPr>
        <w:t xml:space="preserve">M2SL — </w:t>
      </w:r>
      <w:r>
        <w:rPr>
          <w:color w:val="555555"/>
          <w:sz w:val="20"/>
        </w:rPr>
        <w:t>Masse monétaire M2 — corrélation historique avec les marchés</w:t>
      </w:r>
    </w:p>
    <w:p>
      <w:pPr>
        <w:pStyle w:val="ListBullet"/>
        <w:spacing w:after="40"/>
        <w:ind w:left="283"/>
      </w:pPr>
      <w:r>
        <w:rPr>
          <w:b/>
          <w:color w:val="3B82F6"/>
          <w:sz w:val="20"/>
        </w:rPr>
        <w:t xml:space="preserve">GDPC1 — </w:t>
      </w:r>
      <w:r>
        <w:rPr>
          <w:color w:val="555555"/>
          <w:sz w:val="20"/>
        </w:rPr>
        <w:t>PIB réel US trimestriel</w:t>
      </w:r>
    </w:p>
    <w:p>
      <w:pPr>
        <w:pStyle w:val="ListBullet"/>
        <w:spacing w:after="40"/>
        <w:ind w:left="283"/>
      </w:pPr>
      <w:r>
        <w:rPr>
          <w:b/>
          <w:color w:val="3B82F6"/>
          <w:sz w:val="20"/>
        </w:rPr>
        <w:t xml:space="preserve">TEDRATE — </w:t>
      </w:r>
      <w:r>
        <w:rPr>
          <w:color w:val="555555"/>
          <w:sz w:val="20"/>
        </w:rPr>
        <w:t>TED Spread — stress du système bancaire</w:t>
      </w:r>
    </w:p>
    <w:p>
      <w:pPr>
        <w:pStyle w:val="ListBullet"/>
        <w:spacing w:after="40"/>
        <w:ind w:left="283"/>
      </w:pPr>
      <w:r>
        <w:rPr>
          <w:b/>
          <w:color w:val="3B82F6"/>
          <w:sz w:val="20"/>
        </w:rPr>
        <w:t xml:space="preserve">BAMLH0A0HYM2 — </w:t>
      </w:r>
      <w:r>
        <w:rPr>
          <w:color w:val="555555"/>
          <w:sz w:val="20"/>
        </w:rPr>
        <w:t>High Yield Spread — stress crédit</w:t>
      </w:r>
    </w:p>
    <w:p>
      <w:pPr>
        <w:pStyle w:val="ListBullet"/>
        <w:spacing w:after="40"/>
        <w:ind w:left="283"/>
      </w:pPr>
      <w:r>
        <w:rPr>
          <w:b/>
          <w:color w:val="3B82F6"/>
          <w:sz w:val="20"/>
        </w:rPr>
        <w:t xml:space="preserve">UMCSENT — </w:t>
      </w:r>
      <w:r>
        <w:rPr>
          <w:color w:val="555555"/>
          <w:sz w:val="20"/>
        </w:rPr>
        <w:t>Confiance consommateur Michigan</w:t>
      </w:r>
    </w:p>
    <w:p>
      <w:pPr>
        <w:spacing w:before="280" w:after="80"/>
        <w:jc w:val="left"/>
      </w:pPr>
      <w:r>
        <w:rPr>
          <w:b/>
          <w:color w:val="3B82F6"/>
          <w:sz w:val="30"/>
        </w:rPr>
        <w:t>4.3 Indicateurs avancés (Quandl)</w:t>
      </w:r>
    </w:p>
    <w:p>
      <w:pPr>
        <w:pStyle w:val="ListBullet"/>
        <w:spacing w:after="40"/>
        <w:ind w:left="283"/>
      </w:pPr>
      <w:r>
        <w:rPr>
          <w:b/>
          <w:color w:val="3B82F6"/>
          <w:sz w:val="20"/>
        </w:rPr>
        <w:t xml:space="preserve">CBOE/PUTCALL — </w:t>
      </w:r>
      <w:r>
        <w:rPr>
          <w:color w:val="555555"/>
          <w:sz w:val="20"/>
        </w:rPr>
        <w:t>Put/Call Ratio — rapport options baissières/haussières</w:t>
      </w:r>
    </w:p>
    <w:p>
      <w:pPr>
        <w:pStyle w:val="ListBullet"/>
        <w:spacing w:after="40"/>
        <w:ind w:left="283"/>
      </w:pPr>
      <w:r>
        <w:rPr>
          <w:b/>
          <w:color w:val="3B82F6"/>
          <w:sz w:val="20"/>
        </w:rPr>
        <w:t xml:space="preserve">MULTPL/SHILLER_PE_RATIO — </w:t>
      </w:r>
      <w:r>
        <w:rPr>
          <w:color w:val="555555"/>
          <w:sz w:val="20"/>
        </w:rPr>
        <w:t>CAPE Shiller — valorisation historique marché sur 10 ans</w:t>
      </w:r>
    </w:p>
    <w:p>
      <w:pPr>
        <w:pStyle w:val="ListBullet"/>
        <w:spacing w:after="40"/>
        <w:ind w:left="283"/>
      </w:pPr>
      <w:r>
        <w:rPr>
          <w:b/>
          <w:color w:val="3B82F6"/>
          <w:sz w:val="20"/>
        </w:rPr>
        <w:t xml:space="preserve">AAII Sentiment — </w:t>
      </w:r>
      <w:r>
        <w:rPr>
          <w:color w:val="555555"/>
          <w:sz w:val="20"/>
        </w:rPr>
        <w:t>Sondage hebdo investisseurs particuliers américains</w:t>
      </w:r>
    </w:p>
    <w:p>
      <w:pPr>
        <w:pStyle w:val="ListBullet"/>
        <w:spacing w:after="40"/>
        <w:ind w:left="283"/>
      </w:pPr>
      <w:r>
        <w:rPr>
          <w:b/>
          <w:color w:val="3B82F6"/>
          <w:sz w:val="20"/>
        </w:rPr>
        <w:t xml:space="preserve">Baltic Dry Index — </w:t>
      </w:r>
      <w:r>
        <w:rPr>
          <w:color w:val="555555"/>
          <w:sz w:val="20"/>
        </w:rPr>
        <w:t>Coût transport maritime — indicateur avancé commerce mondial</w:t>
      </w:r>
    </w:p>
    <w:p>
      <w:pPr>
        <w:pStyle w:val="ListBullet"/>
        <w:spacing w:after="40"/>
        <w:ind w:left="283"/>
      </w:pPr>
      <w:r>
        <w:rPr>
          <w:b/>
          <w:color w:val="3B82F6"/>
          <w:sz w:val="20"/>
        </w:rPr>
        <w:t xml:space="preserve">MOVE Index — </w:t>
      </w:r>
      <w:r>
        <w:rPr>
          <w:color w:val="555555"/>
          <w:sz w:val="20"/>
        </w:rPr>
        <w:t>VIX des obligations — volatilité taux d'intérêt</w:t>
      </w:r>
    </w:p>
    <w:p>
      <w:pPr>
        <w:spacing w:before="280" w:after="80"/>
        <w:jc w:val="left"/>
      </w:pPr>
      <w:r>
        <w:rPr>
          <w:b/>
          <w:color w:val="3B82F6"/>
          <w:sz w:val="30"/>
        </w:rPr>
        <w:t>4.4 Indicateurs techniques (Alpha Vantage)</w:t>
      </w:r>
    </w:p>
    <w:p>
      <w:pPr>
        <w:pStyle w:val="ListBullet"/>
        <w:spacing w:after="40"/>
        <w:ind w:left="283"/>
      </w:pPr>
      <w:r>
        <w:rPr>
          <w:color w:val="555555"/>
          <w:sz w:val="20"/>
        </w:rPr>
        <w:t>RSI — Relative Strength Index (suracheté &gt;70 / survendu &lt;30)</w:t>
      </w:r>
    </w:p>
    <w:p>
      <w:pPr>
        <w:pStyle w:val="ListBullet"/>
        <w:spacing w:after="40"/>
        <w:ind w:left="283"/>
      </w:pPr>
      <w:r>
        <w:rPr>
          <w:color w:val="555555"/>
          <w:sz w:val="20"/>
        </w:rPr>
        <w:t>MACD — Moving Average Convergence Divergence</w:t>
      </w:r>
    </w:p>
    <w:p>
      <w:pPr>
        <w:pStyle w:val="ListBullet"/>
        <w:spacing w:after="40"/>
        <w:ind w:left="283"/>
      </w:pPr>
      <w:r>
        <w:rPr>
          <w:color w:val="555555"/>
          <w:sz w:val="20"/>
        </w:rPr>
        <w:t>EMA — Exponential Moving Average (20, 50, 200 jours)</w:t>
      </w:r>
    </w:p>
    <w:p>
      <w:pPr>
        <w:pStyle w:val="ListBullet"/>
        <w:spacing w:after="40"/>
        <w:ind w:left="283"/>
      </w:pPr>
      <w:r>
        <w:rPr>
          <w:color w:val="555555"/>
          <w:sz w:val="20"/>
        </w:rPr>
        <w:t>SMA — Simple Moving Average</w:t>
      </w:r>
    </w:p>
    <w:p>
      <w:pPr>
        <w:pStyle w:val="ListBullet"/>
        <w:spacing w:after="40"/>
        <w:ind w:left="283"/>
      </w:pPr>
      <w:r>
        <w:rPr>
          <w:color w:val="555555"/>
          <w:sz w:val="20"/>
        </w:rPr>
        <w:t>Bollinger Bands</w:t>
      </w:r>
    </w:p>
    <w:p>
      <w:pPr>
        <w:pStyle w:val="ListBullet"/>
        <w:spacing w:after="40"/>
        <w:ind w:left="283"/>
      </w:pPr>
      <w:r>
        <w:rPr>
          <w:color w:val="555555"/>
          <w:sz w:val="20"/>
        </w:rPr>
        <w:t>Volume et Advance/Decline Line</w:t>
      </w:r>
    </w:p>
    <w:p>
      <w:r>
        <w:br w:type="page"/>
      </w:r>
    </w:p>
    <w:p>
      <w:pPr>
        <w:spacing w:before="400" w:after="160"/>
        <w:jc w:val="left"/>
      </w:pPr>
      <w:r>
        <w:rPr>
          <w:b/>
          <w:color w:val="0A0A0A"/>
          <w:sz w:val="44"/>
        </w:rPr>
        <w:t>5. Direction Artistique &amp; Design</w:t>
      </w:r>
    </w:p>
    <w:p>
      <w:pPr>
        <w:spacing w:before="80" w:after="80"/>
        <w:pBdr>
          <w:bottom w:val="single" w:sz="4" w:space="1" w:color="DDDDDD"/>
        </w:pBdr>
      </w:pPr>
    </w:p>
    <w:p>
      <w:pPr>
        <w:spacing w:before="280" w:after="80"/>
        <w:jc w:val="left"/>
      </w:pPr>
      <w:r>
        <w:rPr>
          <w:b/>
          <w:color w:val="3B82F6"/>
          <w:sz w:val="30"/>
        </w:rPr>
        <w:t>5.1 Philosophie design</w:t>
      </w:r>
    </w:p>
    <w:p>
      <w:pPr>
        <w:spacing w:after="60"/>
      </w:pPr>
      <w:r>
        <w:rPr>
          <w:color w:val="555555"/>
          <w:sz w:val="20"/>
        </w:rPr>
        <w:t>Futuriste, minimaliste, sobre et luxueux — inspiré de la direction artistique Apple. Fond sombre quasi-noir, couleurs vives pour les données importantes, typographie claire et hiérarchisée. Aucun emoji, aucun élément décoratif superflu. Chaque pixel a une raison d'être.</w:t>
      </w:r>
    </w:p>
    <w:p>
      <w:pPr>
        <w:spacing w:before="280" w:after="80"/>
        <w:jc w:val="left"/>
      </w:pPr>
      <w:r>
        <w:rPr>
          <w:b/>
          <w:color w:val="3B82F6"/>
          <w:sz w:val="30"/>
        </w:rPr>
        <w:t>5.2 Palette de couleurs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0A0A"/>
          </w:tcPr>
          <w:p>
            <w:r>
              <w:rPr>
                <w:b/>
                <w:color w:val="FFFFFF"/>
                <w:sz w:val="20"/>
              </w:rPr>
              <w:t>Rôle</w:t>
            </w:r>
          </w:p>
        </w:tc>
        <w:tc>
          <w:tcPr>
            <w:tcW w:type="dxa" w:w="3135"/>
            <w:shd w:val="clear" w:color="auto" w:fill="0A0A0A"/>
          </w:tcPr>
          <w:p>
            <w:r>
              <w:rPr>
                <w:b/>
                <w:color w:val="FFFFFF"/>
                <w:sz w:val="20"/>
              </w:rPr>
              <w:t>Hex</w:t>
            </w:r>
          </w:p>
        </w:tc>
        <w:tc>
          <w:tcPr>
            <w:tcW w:type="dxa" w:w="3135"/>
            <w:shd w:val="clear" w:color="auto" w:fill="0A0A0A"/>
          </w:tcPr>
          <w:p>
            <w:r>
              <w:rPr>
                <w:b/>
                <w:color w:val="FFFFFF"/>
                <w:sz w:val="20"/>
              </w:rPr>
              <w:t>Usage</w:t>
            </w:r>
          </w:p>
        </w:tc>
      </w:tr>
      <w:tr>
        <w:tc>
          <w:tcPr>
            <w:tcW w:type="dxa" w:w="3135"/>
            <w:shd w:val="clear" w:color="auto" w:fill="F8F8F8"/>
          </w:tcPr>
          <w:p>
            <w:r>
              <w:rPr>
                <w:sz w:val="19"/>
              </w:rPr>
              <w:t>Fond principal</w:t>
            </w:r>
          </w:p>
        </w:tc>
        <w:tc>
          <w:tcPr>
            <w:tcW w:type="dxa" w:w="3135"/>
            <w:shd w:val="clear" w:color="auto" w:fill="F8F8F8"/>
          </w:tcPr>
          <w:p>
            <w:r>
              <w:rPr>
                <w:sz w:val="19"/>
              </w:rPr>
              <w:t>#0A0A0A</w:t>
            </w:r>
          </w:p>
        </w:tc>
        <w:tc>
          <w:tcPr>
            <w:tcW w:type="dxa" w:w="3135"/>
            <w:shd w:val="clear" w:color="auto" w:fill="F8F8F8"/>
          </w:tcPr>
          <w:p>
            <w:r>
              <w:rPr>
                <w:sz w:val="19"/>
              </w:rPr>
              <w:t>Arrière-plan global</w:t>
            </w:r>
          </w:p>
        </w:tc>
      </w:tr>
      <w:tr>
        <w:tc>
          <w:tcPr>
            <w:tcW w:type="dxa" w:w="3135"/>
          </w:tcPr>
          <w:p>
            <w:r>
              <w:rPr>
                <w:sz w:val="19"/>
              </w:rPr>
              <w:t>Fond cards</w:t>
            </w:r>
          </w:p>
        </w:tc>
        <w:tc>
          <w:tcPr>
            <w:tcW w:type="dxa" w:w="3135"/>
          </w:tcPr>
          <w:p>
            <w:r>
              <w:rPr>
                <w:sz w:val="19"/>
              </w:rPr>
              <w:t>#111111</w:t>
            </w:r>
          </w:p>
        </w:tc>
        <w:tc>
          <w:tcPr>
            <w:tcW w:type="dxa" w:w="3135"/>
          </w:tcPr>
          <w:p>
            <w:r>
              <w:rPr>
                <w:sz w:val="19"/>
              </w:rPr>
              <w:t>Widgets et cartes</w:t>
            </w:r>
          </w:p>
        </w:tc>
      </w:tr>
      <w:tr>
        <w:tc>
          <w:tcPr>
            <w:tcW w:type="dxa" w:w="3135"/>
            <w:shd w:val="clear" w:color="auto" w:fill="F8F8F8"/>
          </w:tcPr>
          <w:p>
            <w:r>
              <w:rPr>
                <w:sz w:val="19"/>
              </w:rPr>
              <w:t>Fond hover</w:t>
            </w:r>
          </w:p>
        </w:tc>
        <w:tc>
          <w:tcPr>
            <w:tcW w:type="dxa" w:w="3135"/>
            <w:shd w:val="clear" w:color="auto" w:fill="F8F8F8"/>
          </w:tcPr>
          <w:p>
            <w:r>
              <w:rPr>
                <w:sz w:val="19"/>
              </w:rPr>
              <w:t>#1A1A1A</w:t>
            </w:r>
          </w:p>
        </w:tc>
        <w:tc>
          <w:tcPr>
            <w:tcW w:type="dxa" w:w="3135"/>
            <w:shd w:val="clear" w:color="auto" w:fill="F8F8F8"/>
          </w:tcPr>
          <w:p>
            <w:r>
              <w:rPr>
                <w:sz w:val="19"/>
              </w:rPr>
              <w:t>États interactifs</w:t>
            </w:r>
          </w:p>
        </w:tc>
      </w:tr>
      <w:tr>
        <w:tc>
          <w:tcPr>
            <w:tcW w:type="dxa" w:w="3135"/>
          </w:tcPr>
          <w:p>
            <w:r>
              <w:rPr>
                <w:sz w:val="19"/>
              </w:rPr>
              <w:t>Bordures</w:t>
            </w:r>
          </w:p>
        </w:tc>
        <w:tc>
          <w:tcPr>
            <w:tcW w:type="dxa" w:w="3135"/>
          </w:tcPr>
          <w:p>
            <w:r>
              <w:rPr>
                <w:sz w:val="19"/>
              </w:rPr>
              <w:t>#2A2A2A</w:t>
            </w:r>
          </w:p>
        </w:tc>
        <w:tc>
          <w:tcPr>
            <w:tcW w:type="dxa" w:w="3135"/>
          </w:tcPr>
          <w:p>
            <w:r>
              <w:rPr>
                <w:sz w:val="19"/>
              </w:rPr>
              <w:t>Séparateurs fins 0.5px</w:t>
            </w:r>
          </w:p>
        </w:tc>
      </w:tr>
      <w:tr>
        <w:tc>
          <w:tcPr>
            <w:tcW w:type="dxa" w:w="3135"/>
            <w:shd w:val="clear" w:color="auto" w:fill="F8F8F8"/>
          </w:tcPr>
          <w:p>
            <w:r>
              <w:rPr>
                <w:sz w:val="19"/>
              </w:rPr>
              <w:t>Texte primaire</w:t>
            </w:r>
          </w:p>
        </w:tc>
        <w:tc>
          <w:tcPr>
            <w:tcW w:type="dxa" w:w="3135"/>
            <w:shd w:val="clear" w:color="auto" w:fill="F8F8F8"/>
          </w:tcPr>
          <w:p>
            <w:r>
              <w:rPr>
                <w:sz w:val="19"/>
              </w:rPr>
              <w:t>#FFFFFF</w:t>
            </w:r>
          </w:p>
        </w:tc>
        <w:tc>
          <w:tcPr>
            <w:tcW w:type="dxa" w:w="3135"/>
            <w:shd w:val="clear" w:color="auto" w:fill="F8F8F8"/>
          </w:tcPr>
          <w:p>
            <w:r>
              <w:rPr>
                <w:sz w:val="19"/>
              </w:rPr>
              <w:t>Titres et chiffres</w:t>
            </w:r>
          </w:p>
        </w:tc>
      </w:tr>
      <w:tr>
        <w:tc>
          <w:tcPr>
            <w:tcW w:type="dxa" w:w="3135"/>
          </w:tcPr>
          <w:p>
            <w:r>
              <w:rPr>
                <w:sz w:val="19"/>
              </w:rPr>
              <w:t>Texte secondaire</w:t>
            </w:r>
          </w:p>
        </w:tc>
        <w:tc>
          <w:tcPr>
            <w:tcW w:type="dxa" w:w="3135"/>
          </w:tcPr>
          <w:p>
            <w:r>
              <w:rPr>
                <w:sz w:val="19"/>
              </w:rPr>
              <w:t>#888888</w:t>
            </w:r>
          </w:p>
        </w:tc>
        <w:tc>
          <w:tcPr>
            <w:tcW w:type="dxa" w:w="3135"/>
          </w:tcPr>
          <w:p>
            <w:r>
              <w:rPr>
                <w:sz w:val="19"/>
              </w:rPr>
              <w:t>Labels et descriptions</w:t>
            </w:r>
          </w:p>
        </w:tc>
      </w:tr>
      <w:tr>
        <w:tc>
          <w:tcPr>
            <w:tcW w:type="dxa" w:w="3135"/>
            <w:shd w:val="clear" w:color="auto" w:fill="F8F8F8"/>
          </w:tcPr>
          <w:p>
            <w:r>
              <w:rPr>
                <w:sz w:val="19"/>
              </w:rPr>
              <w:t>Accent principal</w:t>
            </w:r>
          </w:p>
        </w:tc>
        <w:tc>
          <w:tcPr>
            <w:tcW w:type="dxa" w:w="3135"/>
            <w:shd w:val="clear" w:color="auto" w:fill="F8F8F8"/>
          </w:tcPr>
          <w:p>
            <w:r>
              <w:rPr>
                <w:sz w:val="19"/>
              </w:rPr>
              <w:t>#3B82F6</w:t>
            </w:r>
          </w:p>
        </w:tc>
        <w:tc>
          <w:tcPr>
            <w:tcW w:type="dxa" w:w="3135"/>
            <w:shd w:val="clear" w:color="auto" w:fill="F8F8F8"/>
          </w:tcPr>
          <w:p>
            <w:r>
              <w:rPr>
                <w:sz w:val="19"/>
              </w:rPr>
              <w:t>Bleu électrique — éléments actifs</w:t>
            </w:r>
          </w:p>
        </w:tc>
      </w:tr>
      <w:tr>
        <w:tc>
          <w:tcPr>
            <w:tcW w:type="dxa" w:w="3135"/>
          </w:tcPr>
          <w:p>
            <w:r>
              <w:rPr>
                <w:sz w:val="19"/>
              </w:rPr>
              <w:t>Succès / hausse</w:t>
            </w:r>
          </w:p>
        </w:tc>
        <w:tc>
          <w:tcPr>
            <w:tcW w:type="dxa" w:w="3135"/>
          </w:tcPr>
          <w:p>
            <w:r>
              <w:rPr>
                <w:sz w:val="19"/>
              </w:rPr>
              <w:t>#22C55E</w:t>
            </w:r>
          </w:p>
        </w:tc>
        <w:tc>
          <w:tcPr>
            <w:tcW w:type="dxa" w:w="3135"/>
          </w:tcPr>
          <w:p>
            <w:r>
              <w:rPr>
                <w:sz w:val="19"/>
              </w:rPr>
              <w:t>Variations positives</w:t>
            </w:r>
          </w:p>
        </w:tc>
      </w:tr>
      <w:tr>
        <w:tc>
          <w:tcPr>
            <w:tcW w:type="dxa" w:w="3135"/>
            <w:shd w:val="clear" w:color="auto" w:fill="F8F8F8"/>
          </w:tcPr>
          <w:p>
            <w:r>
              <w:rPr>
                <w:sz w:val="19"/>
              </w:rPr>
              <w:t>Danger / baisse</w:t>
            </w:r>
          </w:p>
        </w:tc>
        <w:tc>
          <w:tcPr>
            <w:tcW w:type="dxa" w:w="3135"/>
            <w:shd w:val="clear" w:color="auto" w:fill="F8F8F8"/>
          </w:tcPr>
          <w:p>
            <w:r>
              <w:rPr>
                <w:sz w:val="19"/>
              </w:rPr>
              <w:t>#EF4444</w:t>
            </w:r>
          </w:p>
        </w:tc>
        <w:tc>
          <w:tcPr>
            <w:tcW w:type="dxa" w:w="3135"/>
            <w:shd w:val="clear" w:color="auto" w:fill="F8F8F8"/>
          </w:tcPr>
          <w:p>
            <w:r>
              <w:rPr>
                <w:sz w:val="19"/>
              </w:rPr>
              <w:t>Variations négatives</w:t>
            </w:r>
          </w:p>
        </w:tc>
      </w:tr>
    </w:tbl>
    <w:p/>
    <w:p>
      <w:pPr>
        <w:spacing w:before="280" w:after="80"/>
        <w:jc w:val="left"/>
      </w:pPr>
      <w:r>
        <w:rPr>
          <w:b/>
          <w:color w:val="3B82F6"/>
          <w:sz w:val="30"/>
        </w:rPr>
        <w:t>5.3 Typographie</w:t>
      </w:r>
    </w:p>
    <w:p>
      <w:pPr>
        <w:pStyle w:val="ListBullet"/>
        <w:spacing w:after="40"/>
        <w:ind w:left="283"/>
      </w:pPr>
      <w:r>
        <w:rPr>
          <w:color w:val="555555"/>
          <w:sz w:val="20"/>
        </w:rPr>
        <w:t>Police principale : Inter — lisibilité maximale, style Apple</w:t>
      </w:r>
    </w:p>
    <w:p>
      <w:pPr>
        <w:pStyle w:val="ListBullet"/>
        <w:spacing w:after="40"/>
        <w:ind w:left="283"/>
      </w:pPr>
      <w:r>
        <w:rPr>
          <w:color w:val="555555"/>
          <w:sz w:val="20"/>
        </w:rPr>
        <w:t>Ticker band : JetBrains Mono — typographie monospace style terminal</w:t>
      </w:r>
    </w:p>
    <w:p>
      <w:pPr>
        <w:pStyle w:val="ListBullet"/>
        <w:spacing w:after="40"/>
        <w:ind w:left="283"/>
      </w:pPr>
      <w:r>
        <w:rPr>
          <w:color w:val="555555"/>
          <w:sz w:val="20"/>
        </w:rPr>
        <w:t>Chiffres clés : taille grande (24-48px), weight 600</w:t>
      </w:r>
    </w:p>
    <w:p>
      <w:pPr>
        <w:pStyle w:val="ListBullet"/>
        <w:spacing w:after="40"/>
        <w:ind w:left="283"/>
      </w:pPr>
      <w:r>
        <w:rPr>
          <w:color w:val="555555"/>
          <w:sz w:val="20"/>
        </w:rPr>
        <w:t>Labels : petite taille (11-12px), gris secondaire, weight 400</w:t>
      </w:r>
    </w:p>
    <w:p>
      <w:pPr>
        <w:pStyle w:val="ListBullet"/>
        <w:spacing w:after="40"/>
        <w:ind w:left="283"/>
      </w:pPr>
      <w:r>
        <w:rPr>
          <w:color w:val="555555"/>
          <w:sz w:val="20"/>
        </w:rPr>
        <w:t>Deux weights uniquement : 400 (regular) et 600 (bold)</w:t>
      </w:r>
    </w:p>
    <w:p>
      <w:pPr>
        <w:spacing w:before="280" w:after="80"/>
        <w:jc w:val="left"/>
      </w:pPr>
      <w:r>
        <w:rPr>
          <w:b/>
          <w:color w:val="3B82F6"/>
          <w:sz w:val="30"/>
        </w:rPr>
        <w:t>5.4 Composants UI</w:t>
      </w:r>
    </w:p>
    <w:p>
      <w:pPr>
        <w:pStyle w:val="ListBullet"/>
        <w:spacing w:after="40"/>
        <w:ind w:left="283"/>
      </w:pPr>
      <w:r>
        <w:rPr>
          <w:b/>
          <w:color w:val="0A0A0A"/>
          <w:sz w:val="20"/>
        </w:rPr>
        <w:t xml:space="preserve">Cards — </w:t>
      </w:r>
      <w:r>
        <w:rPr>
          <w:color w:val="555555"/>
          <w:sz w:val="20"/>
        </w:rPr>
        <w:t>Coins arrondis border-radius 16px — style Apple</w:t>
      </w:r>
    </w:p>
    <w:p>
      <w:pPr>
        <w:pStyle w:val="ListBullet"/>
        <w:spacing w:after="40"/>
        <w:ind w:left="283"/>
      </w:pPr>
      <w:r>
        <w:rPr>
          <w:b/>
          <w:color w:val="0A0A0A"/>
          <w:sz w:val="20"/>
        </w:rPr>
        <w:t xml:space="preserve">Style — </w:t>
      </w:r>
      <w:r>
        <w:rPr>
          <w:color w:val="555555"/>
          <w:sz w:val="20"/>
        </w:rPr>
        <w:t>Fond #111111, bordure 0.5px solid #2A2A2A, aucune ombre</w:t>
      </w:r>
    </w:p>
    <w:p>
      <w:pPr>
        <w:pStyle w:val="ListBullet"/>
        <w:spacing w:after="40"/>
        <w:ind w:left="283"/>
      </w:pPr>
      <w:r>
        <w:rPr>
          <w:b/>
          <w:color w:val="0A0A0A"/>
          <w:sz w:val="20"/>
        </w:rPr>
        <w:t xml:space="preserve">Graphiques — </w:t>
      </w:r>
      <w:r>
        <w:rPr>
          <w:color w:val="555555"/>
          <w:sz w:val="20"/>
        </w:rPr>
        <w:t>Courbes avec fill dégradé sous la ligne, tooltips fond #1A1A1A</w:t>
      </w:r>
    </w:p>
    <w:p>
      <w:pPr>
        <w:pStyle w:val="ListBullet"/>
        <w:spacing w:after="40"/>
        <w:ind w:left="283"/>
      </w:pPr>
      <w:r>
        <w:rPr>
          <w:b/>
          <w:color w:val="0A0A0A"/>
          <w:sz w:val="20"/>
        </w:rPr>
        <w:t xml:space="preserve">Icônes — </w:t>
      </w:r>
      <w:r>
        <w:rPr>
          <w:color w:val="555555"/>
          <w:sz w:val="20"/>
        </w:rPr>
        <w:t>Tabler Icons outline uniquement — trait fin, jamais filled</w:t>
      </w:r>
    </w:p>
    <w:p>
      <w:pPr>
        <w:pStyle w:val="ListBullet"/>
        <w:spacing w:after="40"/>
        <w:ind w:left="283"/>
      </w:pPr>
      <w:r>
        <w:rPr>
          <w:b/>
          <w:color w:val="0A0A0A"/>
          <w:sz w:val="20"/>
        </w:rPr>
        <w:t xml:space="preserve">Animations — </w:t>
      </w:r>
      <w:r>
        <w:rPr>
          <w:color w:val="555555"/>
          <w:sz w:val="20"/>
        </w:rPr>
        <w:t>Transitions slide gauche/droite avec Framer Motion</w:t>
      </w:r>
    </w:p>
    <w:p>
      <w:r>
        <w:br w:type="page"/>
      </w:r>
    </w:p>
    <w:p>
      <w:pPr>
        <w:spacing w:before="400" w:after="160"/>
        <w:jc w:val="left"/>
      </w:pPr>
      <w:r>
        <w:rPr>
          <w:b/>
          <w:color w:val="0A0A0A"/>
          <w:sz w:val="44"/>
        </w:rPr>
        <w:t>6. Architecture de Navigation</w:t>
      </w:r>
    </w:p>
    <w:p>
      <w:pPr>
        <w:spacing w:before="80" w:after="80"/>
        <w:pBdr>
          <w:bottom w:val="single" w:sz="4" w:space="1" w:color="DDDDDD"/>
        </w:pBdr>
      </w:pPr>
    </w:p>
    <w:p>
      <w:pPr>
        <w:spacing w:before="280" w:after="80"/>
        <w:jc w:val="left"/>
      </w:pPr>
      <w:r>
        <w:rPr>
          <w:b/>
          <w:color w:val="3B82F6"/>
          <w:sz w:val="30"/>
        </w:rPr>
        <w:t>6.1 Barre du bas — 4 onglets principaux</w:t>
      </w:r>
    </w:p>
    <w:p>
      <w:pPr>
        <w:spacing w:after="60"/>
      </w:pPr>
      <w:r>
        <w:rPr>
          <w:color w:val="555555"/>
          <w:sz w:val="20"/>
        </w:rPr>
        <w:t>Fixe en bas de l'app sur toutes les pages. Transition slide avec Framer Motion entre onglets. Fond #111111, bordure top 0.5px. Icônes Tabler outline + label texte. Indicateur actif : fine ligne bleue au-dessus de l'icône.</w:t>
      </w:r>
    </w:p>
    <w:p>
      <w:pPr>
        <w:pStyle w:val="ListBullet"/>
        <w:spacing w:after="40"/>
        <w:ind w:left="283"/>
      </w:pPr>
      <w:r>
        <w:rPr>
          <w:color w:val="555555"/>
          <w:sz w:val="20"/>
        </w:rPr>
        <w:t>Dashboard — page d'accueil modulaire, premier onglet affiché à l'ouverture</w:t>
      </w:r>
    </w:p>
    <w:p>
      <w:pPr>
        <w:pStyle w:val="ListBullet"/>
        <w:spacing w:after="40"/>
        <w:ind w:left="283"/>
      </w:pPr>
      <w:r>
        <w:rPr>
          <w:color w:val="555555"/>
          <w:sz w:val="20"/>
        </w:rPr>
        <w:t>Analyse — analyse complète par actif</w:t>
      </w:r>
    </w:p>
    <w:p>
      <w:pPr>
        <w:pStyle w:val="ListBullet"/>
        <w:spacing w:after="40"/>
        <w:ind w:left="283"/>
      </w:pPr>
      <w:r>
        <w:rPr>
          <w:color w:val="555555"/>
          <w:sz w:val="20"/>
        </w:rPr>
        <w:t>Paper Trading — portefeuille fictif</w:t>
      </w:r>
    </w:p>
    <w:p>
      <w:pPr>
        <w:pStyle w:val="ListBullet"/>
        <w:spacing w:after="40"/>
        <w:ind w:left="283"/>
      </w:pPr>
      <w:r>
        <w:rPr>
          <w:color w:val="555555"/>
          <w:sz w:val="20"/>
        </w:rPr>
        <w:t>Nexus Coach — Trading Coach IA</w:t>
      </w:r>
    </w:p>
    <w:p>
      <w:pPr>
        <w:spacing w:before="280" w:after="80"/>
        <w:jc w:val="left"/>
      </w:pPr>
      <w:r>
        <w:rPr>
          <w:b/>
          <w:color w:val="3B82F6"/>
          <w:sz w:val="30"/>
        </w:rPr>
        <w:t>6.2 Sidebar gauche — navigation secondaire</w:t>
      </w:r>
    </w:p>
    <w:p>
      <w:pPr>
        <w:spacing w:after="60"/>
      </w:pPr>
      <w:r>
        <w:rPr>
          <w:color w:val="555555"/>
          <w:sz w:val="20"/>
        </w:rPr>
        <w:t>Visible en permanence sur desktop (240px). Collapsed en icônes sur tablette (60px). Menu hamburger sur mobile. Éléments :</w:t>
      </w:r>
    </w:p>
    <w:p>
      <w:pPr>
        <w:pStyle w:val="ListBullet"/>
        <w:spacing w:after="40"/>
        <w:ind w:left="283"/>
      </w:pPr>
      <w:r>
        <w:rPr>
          <w:color w:val="555555"/>
          <w:sz w:val="20"/>
        </w:rPr>
        <w:t>Markets — globe 3D heatmap mondiale</w:t>
      </w:r>
    </w:p>
    <w:p>
      <w:pPr>
        <w:pStyle w:val="ListBullet"/>
        <w:spacing w:after="40"/>
        <w:ind w:left="283"/>
      </w:pPr>
      <w:r>
        <w:rPr>
          <w:color w:val="555555"/>
          <w:sz w:val="20"/>
        </w:rPr>
        <w:t>Macro — Fed, BCE, courbe des taux, données FRED</w:t>
      </w:r>
    </w:p>
    <w:p>
      <w:pPr>
        <w:pStyle w:val="ListBullet"/>
        <w:spacing w:after="40"/>
        <w:ind w:left="283"/>
      </w:pPr>
      <w:r>
        <w:rPr>
          <w:color w:val="555555"/>
          <w:sz w:val="20"/>
        </w:rPr>
        <w:t>Indicateurs avancés — VIX, MOVE, Put/Call, CAPE Shiller, Baltic Dry</w:t>
      </w:r>
    </w:p>
    <w:p>
      <w:pPr>
        <w:pStyle w:val="ListBullet"/>
        <w:spacing w:after="40"/>
        <w:ind w:left="283"/>
      </w:pPr>
      <w:r>
        <w:rPr>
          <w:color w:val="555555"/>
          <w:sz w:val="20"/>
        </w:rPr>
        <w:t>Sentiment — Fear &amp; Greed, AAII, scoring news par secteur</w:t>
      </w:r>
    </w:p>
    <w:p>
      <w:pPr>
        <w:pStyle w:val="ListBullet"/>
        <w:spacing w:after="40"/>
        <w:ind w:left="283"/>
      </w:pPr>
      <w:r>
        <w:rPr>
          <w:color w:val="555555"/>
          <w:sz w:val="20"/>
        </w:rPr>
        <w:t>Comparer — comparateur ETFs et actifs</w:t>
      </w:r>
    </w:p>
    <w:p>
      <w:pPr>
        <w:pStyle w:val="ListBullet"/>
        <w:spacing w:after="40"/>
        <w:ind w:left="283"/>
      </w:pPr>
      <w:r>
        <w:rPr>
          <w:color w:val="555555"/>
          <w:sz w:val="20"/>
        </w:rPr>
        <w:t>Calendrier — événements économiques (CPI, Fed, NFP, earnings)</w:t>
      </w:r>
    </w:p>
    <w:p>
      <w:pPr>
        <w:pStyle w:val="ListBullet"/>
        <w:spacing w:after="40"/>
        <w:ind w:left="283"/>
      </w:pPr>
      <w:r>
        <w:rPr>
          <w:color w:val="555555"/>
          <w:sz w:val="20"/>
        </w:rPr>
        <w:t>Paramètres — profil, alertes, préférences</w:t>
      </w:r>
    </w:p>
    <w:p>
      <w:pPr>
        <w:spacing w:before="280" w:after="80"/>
        <w:jc w:val="left"/>
      </w:pPr>
      <w:r>
        <w:rPr>
          <w:b/>
          <w:color w:val="3B82F6"/>
          <w:sz w:val="30"/>
        </w:rPr>
        <w:t>6.3 Ticker band</w:t>
      </w:r>
    </w:p>
    <w:p>
      <w:pPr>
        <w:spacing w:after="60"/>
      </w:pPr>
      <w:r>
        <w:rPr>
          <w:color w:val="555555"/>
          <w:sz w:val="20"/>
        </w:rPr>
        <w:t>Bande défilante fixe tout en haut de l'app, visible sur toutes les pages. Défilement continu de droite à gauche en CSS. Fond #0D0D0D. Typographie JetBrains Mono. Vert pour hausses, rouge pour baisses. Contenu : grands indices (SPY, QQQ, DAX, CAC40, Nikkei), VIX, BTC, ETH, or, pétrole, favoris utilisateur, taux EUR/USD CHF/USD.</w:t>
      </w:r>
    </w:p>
    <w:p>
      <w:r>
        <w:br w:type="page"/>
      </w:r>
    </w:p>
    <w:p>
      <w:pPr>
        <w:spacing w:before="400" w:after="160"/>
        <w:jc w:val="left"/>
      </w:pPr>
      <w:r>
        <w:rPr>
          <w:b/>
          <w:color w:val="0A0A0A"/>
          <w:sz w:val="44"/>
        </w:rPr>
        <w:t>7. Pages &amp; Fonctionnalités en Détail</w:t>
      </w:r>
    </w:p>
    <w:p>
      <w:pPr>
        <w:spacing w:before="80" w:after="80"/>
        <w:pBdr>
          <w:bottom w:val="single" w:sz="4" w:space="1" w:color="DDDDDD"/>
        </w:pBdr>
      </w:pPr>
    </w:p>
    <w:p>
      <w:pPr>
        <w:spacing w:before="280" w:after="80"/>
        <w:jc w:val="left"/>
      </w:pPr>
      <w:r>
        <w:rPr>
          <w:b/>
          <w:color w:val="3B82F6"/>
          <w:sz w:val="30"/>
        </w:rPr>
        <w:t>7.1 Dashboard</w:t>
      </w:r>
    </w:p>
    <w:p>
      <w:pPr>
        <w:spacing w:after="60"/>
      </w:pPr>
      <w:r>
        <w:rPr>
          <w:color w:val="555555"/>
          <w:sz w:val="20"/>
        </w:rPr>
        <w:t>Page d'accueil modulaire. L'utilisateur personnalise son layout via drag &amp; drop (React Grid Layout). Configuration sauvegardée dans Supabase par compte.</w:t>
      </w:r>
    </w:p>
    <w:p>
      <w:pPr>
        <w:spacing w:before="200" w:after="60"/>
        <w:jc w:val="left"/>
      </w:pPr>
      <w:r>
        <w:rPr>
          <w:b/>
          <w:color w:val="222222"/>
          <w:sz w:val="24"/>
        </w:rPr>
        <w:t>Widgets disponibles :</w:t>
      </w:r>
    </w:p>
    <w:p>
      <w:pPr>
        <w:spacing w:before="200" w:after="60"/>
        <w:jc w:val="left"/>
      </w:pPr>
      <w:r>
        <w:rPr>
          <w:b/>
          <w:color w:val="222222"/>
          <w:sz w:val="24"/>
        </w:rPr>
        <w:t>Marché global</w:t>
      </w:r>
    </w:p>
    <w:p>
      <w:pPr>
        <w:pStyle w:val="ListBullet"/>
        <w:spacing w:after="40"/>
        <w:ind w:left="283"/>
      </w:pPr>
      <w:r>
        <w:rPr>
          <w:color w:val="555555"/>
          <w:sz w:val="20"/>
        </w:rPr>
        <w:t>Globe 3D heatmap marchés mondiaux (Three.js/Globe.gl)</w:t>
      </w:r>
    </w:p>
    <w:p>
      <w:pPr>
        <w:pStyle w:val="ListBullet"/>
        <w:spacing w:after="40"/>
        <w:ind w:left="283"/>
      </w:pPr>
      <w:r>
        <w:rPr>
          <w:color w:val="555555"/>
          <w:sz w:val="20"/>
        </w:rPr>
        <w:t>Thermomètre Nexus Score — santé macro 0-100 (widget signature)</w:t>
      </w:r>
    </w:p>
    <w:p>
      <w:pPr>
        <w:pStyle w:val="ListBullet"/>
        <w:spacing w:after="40"/>
        <w:ind w:left="283"/>
      </w:pPr>
      <w:r>
        <w:rPr>
          <w:color w:val="555555"/>
          <w:sz w:val="20"/>
        </w:rPr>
        <w:t>Fear &amp; Greed Index avec jauge visuelle</w:t>
      </w:r>
    </w:p>
    <w:p>
      <w:pPr>
        <w:pStyle w:val="ListBullet"/>
        <w:spacing w:after="40"/>
        <w:ind w:left="283"/>
      </w:pPr>
      <w:r>
        <w:rPr>
          <w:color w:val="555555"/>
          <w:sz w:val="20"/>
        </w:rPr>
        <w:t>VIX en temps réel avec mini graphique</w:t>
      </w:r>
    </w:p>
    <w:p>
      <w:pPr>
        <w:spacing w:before="200" w:after="60"/>
        <w:jc w:val="left"/>
      </w:pPr>
      <w:r>
        <w:rPr>
          <w:b/>
          <w:color w:val="222222"/>
          <w:sz w:val="24"/>
        </w:rPr>
        <w:t>Actifs</w:t>
      </w:r>
    </w:p>
    <w:p>
      <w:pPr>
        <w:pStyle w:val="ListBullet"/>
        <w:spacing w:after="40"/>
        <w:ind w:left="283"/>
      </w:pPr>
      <w:r>
        <w:rPr>
          <w:color w:val="555555"/>
          <w:sz w:val="20"/>
        </w:rPr>
        <w:t>Top gainers / losers du jour</w:t>
      </w:r>
    </w:p>
    <w:p>
      <w:pPr>
        <w:pStyle w:val="ListBullet"/>
        <w:spacing w:after="40"/>
        <w:ind w:left="283"/>
      </w:pPr>
      <w:r>
        <w:rPr>
          <w:color w:val="555555"/>
          <w:sz w:val="20"/>
        </w:rPr>
        <w:t>Mes favoris avec prix live</w:t>
      </w:r>
    </w:p>
    <w:p>
      <w:pPr>
        <w:pStyle w:val="ListBullet"/>
        <w:spacing w:after="40"/>
        <w:ind w:left="283"/>
      </w:pPr>
      <w:r>
        <w:rPr>
          <w:color w:val="555555"/>
          <w:sz w:val="20"/>
        </w:rPr>
        <w:t>Crypto top movers</w:t>
      </w:r>
    </w:p>
    <w:p>
      <w:pPr>
        <w:pStyle w:val="ListBullet"/>
        <w:spacing w:after="40"/>
        <w:ind w:left="283"/>
      </w:pPr>
      <w:r>
        <w:rPr>
          <w:color w:val="555555"/>
          <w:sz w:val="20"/>
        </w:rPr>
        <w:t>Matières premières (or, pétrole, blé)</w:t>
      </w:r>
    </w:p>
    <w:p>
      <w:pPr>
        <w:pStyle w:val="ListBullet"/>
        <w:spacing w:after="40"/>
        <w:ind w:left="283"/>
      </w:pPr>
      <w:r>
        <w:rPr>
          <w:color w:val="555555"/>
          <w:sz w:val="20"/>
        </w:rPr>
        <w:t>ETFs les plus tradés</w:t>
      </w:r>
    </w:p>
    <w:p>
      <w:pPr>
        <w:spacing w:before="200" w:after="60"/>
        <w:jc w:val="left"/>
      </w:pPr>
      <w:r>
        <w:rPr>
          <w:b/>
          <w:color w:val="222222"/>
          <w:sz w:val="24"/>
        </w:rPr>
        <w:t>Macro</w:t>
      </w:r>
    </w:p>
    <w:p>
      <w:pPr>
        <w:pStyle w:val="ListBullet"/>
        <w:spacing w:after="40"/>
        <w:ind w:left="283"/>
      </w:pPr>
      <w:r>
        <w:rPr>
          <w:color w:val="555555"/>
          <w:sz w:val="20"/>
        </w:rPr>
        <w:t>Prochains événements calendrier économique</w:t>
      </w:r>
    </w:p>
    <w:p>
      <w:pPr>
        <w:pStyle w:val="ListBullet"/>
        <w:spacing w:after="40"/>
        <w:ind w:left="283"/>
      </w:pPr>
      <w:r>
        <w:rPr>
          <w:color w:val="555555"/>
          <w:sz w:val="20"/>
        </w:rPr>
        <w:t>Courbe des taux US interactive</w:t>
      </w:r>
    </w:p>
    <w:p>
      <w:pPr>
        <w:pStyle w:val="ListBullet"/>
        <w:spacing w:after="40"/>
        <w:ind w:left="283"/>
      </w:pPr>
      <w:r>
        <w:rPr>
          <w:color w:val="555555"/>
          <w:sz w:val="20"/>
        </w:rPr>
        <w:t>Taux directeurs Fed + BCE</w:t>
      </w:r>
    </w:p>
    <w:p>
      <w:pPr>
        <w:pStyle w:val="ListBullet"/>
        <w:spacing w:after="40"/>
        <w:ind w:left="283"/>
      </w:pPr>
      <w:r>
        <w:rPr>
          <w:color w:val="555555"/>
          <w:sz w:val="20"/>
        </w:rPr>
        <w:t>CPI dernière publication vs attendu</w:t>
      </w:r>
    </w:p>
    <w:p>
      <w:pPr>
        <w:spacing w:before="200" w:after="60"/>
        <w:jc w:val="left"/>
      </w:pPr>
      <w:r>
        <w:rPr>
          <w:b/>
          <w:color w:val="222222"/>
          <w:sz w:val="24"/>
        </w:rPr>
        <w:t>Analyse IA</w:t>
      </w:r>
    </w:p>
    <w:p>
      <w:pPr>
        <w:pStyle w:val="ListBullet"/>
        <w:spacing w:after="40"/>
        <w:ind w:left="283"/>
      </w:pPr>
      <w:r>
        <w:rPr>
          <w:color w:val="555555"/>
          <w:sz w:val="20"/>
        </w:rPr>
        <w:t>Brief quotidien Claude — synthèse marché en 3 lignes</w:t>
      </w:r>
    </w:p>
    <w:p>
      <w:pPr>
        <w:pStyle w:val="ListBullet"/>
        <w:spacing w:after="40"/>
        <w:ind w:left="283"/>
      </w:pPr>
      <w:r>
        <w:rPr>
          <w:color w:val="555555"/>
          <w:sz w:val="20"/>
        </w:rPr>
        <w:t>Score de risque par classe d'actif</w:t>
      </w:r>
    </w:p>
    <w:p>
      <w:pPr>
        <w:pStyle w:val="ListBullet"/>
        <w:spacing w:after="40"/>
        <w:ind w:left="283"/>
      </w:pPr>
      <w:r>
        <w:rPr>
          <w:color w:val="555555"/>
          <w:sz w:val="20"/>
        </w:rPr>
        <w:t>Dernière alerte générée</w:t>
      </w:r>
    </w:p>
    <w:p>
      <w:pPr>
        <w:spacing w:before="200" w:after="60"/>
        <w:jc w:val="left"/>
      </w:pPr>
      <w:r>
        <w:rPr>
          <w:b/>
          <w:color w:val="222222"/>
          <w:sz w:val="24"/>
        </w:rPr>
        <w:t>Paper Trading</w:t>
      </w:r>
    </w:p>
    <w:p>
      <w:pPr>
        <w:pStyle w:val="ListBullet"/>
        <w:spacing w:after="40"/>
        <w:ind w:left="283"/>
      </w:pPr>
      <w:r>
        <w:rPr>
          <w:color w:val="555555"/>
          <w:sz w:val="20"/>
        </w:rPr>
        <w:t>Performance portefeuille fictif</w:t>
      </w:r>
    </w:p>
    <w:p>
      <w:pPr>
        <w:pStyle w:val="ListBullet"/>
        <w:spacing w:after="40"/>
        <w:ind w:left="283"/>
      </w:pPr>
      <w:r>
        <w:rPr>
          <w:color w:val="555555"/>
          <w:sz w:val="20"/>
        </w:rPr>
        <w:t>Derniers trades effectués</w:t>
      </w:r>
    </w:p>
    <w:p>
      <w:pPr>
        <w:pStyle w:val="ListBullet"/>
        <w:spacing w:after="40"/>
        <w:ind w:left="283"/>
      </w:pPr>
      <w:r>
        <w:rPr>
          <w:color w:val="555555"/>
          <w:sz w:val="20"/>
        </w:rPr>
        <w:t>Comparaison vs S&amp;P 500</w:t>
      </w:r>
    </w:p>
    <w:p>
      <w:pPr>
        <w:spacing w:before="200" w:after="60"/>
        <w:jc w:val="left"/>
      </w:pPr>
      <w:r>
        <w:rPr>
          <w:b/>
          <w:color w:val="222222"/>
          <w:sz w:val="24"/>
        </w:rPr>
        <w:t>Horaires</w:t>
      </w:r>
    </w:p>
    <w:p>
      <w:pPr>
        <w:pStyle w:val="ListBullet"/>
        <w:spacing w:after="40"/>
        <w:ind w:left="283"/>
      </w:pPr>
      <w:r>
        <w:rPr>
          <w:color w:val="555555"/>
          <w:sz w:val="20"/>
        </w:rPr>
        <w:t>Widget horaires d'ouverture des bourses mondiales — point vert/rouge animé avec temps restant</w:t>
      </w:r>
    </w:p>
    <w:p>
      <w:pPr>
        <w:spacing w:before="280" w:after="80"/>
        <w:jc w:val="left"/>
      </w:pPr>
      <w:r>
        <w:rPr>
          <w:b/>
          <w:color w:val="3B82F6"/>
          <w:sz w:val="30"/>
        </w:rPr>
        <w:t>7.2 Analyse</w:t>
      </w:r>
    </w:p>
    <w:p>
      <w:pPr>
        <w:spacing w:after="60"/>
      </w:pPr>
      <w:r>
        <w:rPr>
          <w:color w:val="555555"/>
          <w:sz w:val="20"/>
        </w:rPr>
        <w:t>Recherche d'un actif (action, ETF, crypto, obligation, matière première). Analyse complète en 4 blocs :</w:t>
      </w:r>
    </w:p>
    <w:p>
      <w:pPr>
        <w:pStyle w:val="ListBullet"/>
        <w:spacing w:after="40"/>
        <w:ind w:left="283"/>
      </w:pPr>
      <w:r>
        <w:rPr>
          <w:b/>
          <w:color w:val="0A0A0A"/>
          <w:sz w:val="20"/>
        </w:rPr>
        <w:t xml:space="preserve">Technique — </w:t>
      </w:r>
      <w:r>
        <w:rPr>
          <w:color w:val="555555"/>
          <w:sz w:val="20"/>
        </w:rPr>
        <w:t>RSI, MACD, EMA 20/50/200, Bollinger Bands, volume. Signal clair : achat / neutre / vente</w:t>
      </w:r>
    </w:p>
    <w:p>
      <w:pPr>
        <w:pStyle w:val="ListBullet"/>
        <w:spacing w:after="40"/>
        <w:ind w:left="283"/>
      </w:pPr>
      <w:r>
        <w:rPr>
          <w:b/>
          <w:color w:val="0A0A0A"/>
          <w:sz w:val="20"/>
        </w:rPr>
        <w:t xml:space="preserve">Fondamental — </w:t>
      </w:r>
      <w:r>
        <w:rPr>
          <w:color w:val="555555"/>
          <w:sz w:val="20"/>
        </w:rPr>
        <w:t>P/E ratio, EPS, revenus, bilans (SEC EDGAR / Financial Modeling Prep). Santé financière de l'entreprise</w:t>
      </w:r>
    </w:p>
    <w:p>
      <w:pPr>
        <w:pStyle w:val="ListBullet"/>
        <w:spacing w:after="40"/>
        <w:ind w:left="283"/>
      </w:pPr>
      <w:r>
        <w:rPr>
          <w:b/>
          <w:color w:val="0A0A0A"/>
          <w:sz w:val="20"/>
        </w:rPr>
        <w:t xml:space="preserve">Sentiment — </w:t>
      </w:r>
      <w:r>
        <w:rPr>
          <w:color w:val="555555"/>
          <w:sz w:val="20"/>
        </w:rPr>
        <w:t>Score news RSS par secteur, Fear &amp; Greed contextualisé, AAII si applicable</w:t>
      </w:r>
    </w:p>
    <w:p>
      <w:pPr>
        <w:pStyle w:val="ListBullet"/>
        <w:spacing w:after="40"/>
        <w:ind w:left="283"/>
      </w:pPr>
      <w:r>
        <w:rPr>
          <w:b/>
          <w:color w:val="0A0A0A"/>
          <w:sz w:val="20"/>
        </w:rPr>
        <w:t xml:space="preserve">Macro — </w:t>
      </w:r>
      <w:r>
        <w:rPr>
          <w:color w:val="555555"/>
          <w:sz w:val="20"/>
        </w:rPr>
        <w:t>Contexte Fed/BCE, impact taux sur l'actif, positionnement sectoriel</w:t>
      </w:r>
    </w:p>
    <w:p>
      <w:pPr>
        <w:spacing w:after="60"/>
      </w:pPr>
      <w:r>
        <w:rPr>
          <w:color w:val="222222"/>
          <w:sz w:val="20"/>
        </w:rPr>
        <w:t>Claude API génère une synthèse en langage naturel croisant ces 4 dimensions, avec un score global /10 et une recommandation contextualisée.</w:t>
      </w:r>
    </w:p>
    <w:p>
      <w:pPr>
        <w:spacing w:before="280" w:after="80"/>
        <w:jc w:val="left"/>
      </w:pPr>
      <w:r>
        <w:rPr>
          <w:b/>
          <w:color w:val="3B82F6"/>
          <w:sz w:val="30"/>
        </w:rPr>
        <w:t>7.3 Markets</w:t>
      </w:r>
    </w:p>
    <w:p>
      <w:pPr>
        <w:spacing w:after="60"/>
      </w:pPr>
      <w:r>
        <w:rPr>
          <w:color w:val="555555"/>
          <w:sz w:val="20"/>
        </w:rPr>
        <w:t>Globe 3D interactif (Three.js / Globe.gl). La Terre tourne lentement sur fond sombre spatial. Les pays sont colorés selon la performance de leur marché principal (vert/rouge/nuances). Au survol d'un pays : tooltip avec nom de l'indice, valeur, variation du jour. Boutons 2D/3D. Données Yahoo Finance.</w:t>
      </w:r>
    </w:p>
    <w:p>
      <w:pPr>
        <w:spacing w:before="280" w:after="80"/>
        <w:jc w:val="left"/>
      </w:pPr>
      <w:r>
        <w:rPr>
          <w:b/>
          <w:color w:val="3B82F6"/>
          <w:sz w:val="30"/>
        </w:rPr>
        <w:t>7.4 Macro</w:t>
      </w:r>
    </w:p>
    <w:p>
      <w:pPr>
        <w:pStyle w:val="ListBullet"/>
        <w:spacing w:after="40"/>
        <w:ind w:left="283"/>
      </w:pPr>
      <w:r>
        <w:rPr>
          <w:color w:val="555555"/>
          <w:sz w:val="20"/>
        </w:rPr>
        <w:t>Courbe des taux US interactive (FRED DGS10, DGS2, DGS3MO, DGS30)</w:t>
      </w:r>
    </w:p>
    <w:p>
      <w:pPr>
        <w:pStyle w:val="ListBullet"/>
        <w:spacing w:after="40"/>
        <w:ind w:left="283"/>
      </w:pPr>
      <w:r>
        <w:rPr>
          <w:color w:val="555555"/>
          <w:sz w:val="20"/>
        </w:rPr>
        <w:t>Taux directeurs Fed et BCE côte à côte avec historique</w:t>
      </w:r>
    </w:p>
    <w:p>
      <w:pPr>
        <w:pStyle w:val="ListBullet"/>
        <w:spacing w:after="40"/>
        <w:ind w:left="283"/>
      </w:pPr>
      <w:r>
        <w:rPr>
          <w:color w:val="555555"/>
          <w:sz w:val="20"/>
        </w:rPr>
        <w:t>CPI US et zone euro — graphique sur 5 ans avec ligne cible 2%</w:t>
      </w:r>
    </w:p>
    <w:p>
      <w:pPr>
        <w:pStyle w:val="ListBullet"/>
        <w:spacing w:after="40"/>
        <w:ind w:left="283"/>
      </w:pPr>
      <w:r>
        <w:rPr>
          <w:color w:val="555555"/>
          <w:sz w:val="20"/>
        </w:rPr>
        <w:t>M2 Money Supply — corrélation avec S&amp;P 500 superposée</w:t>
      </w:r>
    </w:p>
    <w:p>
      <w:pPr>
        <w:pStyle w:val="ListBullet"/>
        <w:spacing w:after="40"/>
        <w:ind w:left="283"/>
      </w:pPr>
      <w:r>
        <w:rPr>
          <w:color w:val="555555"/>
          <w:sz w:val="20"/>
        </w:rPr>
        <w:t>Taux de chômage US — contexte historique</w:t>
      </w:r>
    </w:p>
    <w:p>
      <w:pPr>
        <w:pStyle w:val="ListBullet"/>
        <w:spacing w:after="40"/>
        <w:ind w:left="283"/>
      </w:pPr>
      <w:r>
        <w:rPr>
          <w:color w:val="555555"/>
          <w:sz w:val="20"/>
        </w:rPr>
        <w:t>Widget Nexus Analysis : Claude interprète chaque indicateur en temps réel</w:t>
      </w:r>
    </w:p>
    <w:p>
      <w:pPr>
        <w:spacing w:before="280" w:after="80"/>
        <w:jc w:val="left"/>
      </w:pPr>
      <w:r>
        <w:rPr>
          <w:b/>
          <w:color w:val="3B82F6"/>
          <w:sz w:val="30"/>
        </w:rPr>
        <w:t>7.5 Indicateurs Avancés</w:t>
      </w:r>
    </w:p>
    <w:p>
      <w:pPr>
        <w:spacing w:after="60"/>
      </w:pPr>
      <w:r>
        <w:rPr>
          <w:color w:val="555555"/>
          <w:sz w:val="20"/>
        </w:rPr>
        <w:t>Page dédiée aux indicateurs que TradingView ne montre pas facilement :</w:t>
      </w:r>
    </w:p>
    <w:p>
      <w:pPr>
        <w:pStyle w:val="ListBullet"/>
        <w:spacing w:after="40"/>
        <w:ind w:left="283"/>
      </w:pPr>
      <w:r>
        <w:rPr>
          <w:color w:val="555555"/>
          <w:sz w:val="20"/>
        </w:rPr>
        <w:t>VIX / VXN / VVIX / SKEW / VXD / RVX — famille complète de volatilité</w:t>
      </w:r>
    </w:p>
    <w:p>
      <w:pPr>
        <w:pStyle w:val="ListBullet"/>
        <w:spacing w:after="40"/>
        <w:ind w:left="283"/>
      </w:pPr>
      <w:r>
        <w:rPr>
          <w:color w:val="555555"/>
          <w:sz w:val="20"/>
        </w:rPr>
        <w:t>Yield Curve Spread avec alert si inversion détectée</w:t>
      </w:r>
    </w:p>
    <w:p>
      <w:pPr>
        <w:pStyle w:val="ListBullet"/>
        <w:spacing w:after="40"/>
        <w:ind w:left="283"/>
      </w:pPr>
      <w:r>
        <w:rPr>
          <w:color w:val="555555"/>
          <w:sz w:val="20"/>
        </w:rPr>
        <w:t>Put/Call Ratio avec historique et zones de signal</w:t>
      </w:r>
    </w:p>
    <w:p>
      <w:pPr>
        <w:pStyle w:val="ListBullet"/>
        <w:spacing w:after="40"/>
        <w:ind w:left="283"/>
      </w:pPr>
      <w:r>
        <w:rPr>
          <w:color w:val="555555"/>
          <w:sz w:val="20"/>
        </w:rPr>
        <w:t>CAPE Shiller — valorisation historique avec niveau actuel vs moyennes</w:t>
      </w:r>
    </w:p>
    <w:p>
      <w:pPr>
        <w:pStyle w:val="ListBullet"/>
        <w:spacing w:after="40"/>
        <w:ind w:left="283"/>
      </w:pPr>
      <w:r>
        <w:rPr>
          <w:color w:val="555555"/>
          <w:sz w:val="20"/>
        </w:rPr>
        <w:t>MOVE Index — volatilité obligataire</w:t>
      </w:r>
    </w:p>
    <w:p>
      <w:pPr>
        <w:pStyle w:val="ListBullet"/>
        <w:spacing w:after="40"/>
        <w:ind w:left="283"/>
      </w:pPr>
      <w:r>
        <w:rPr>
          <w:color w:val="555555"/>
          <w:sz w:val="20"/>
        </w:rPr>
        <w:t>Baltic Dry Index — activité économique mondiale</w:t>
      </w:r>
    </w:p>
    <w:p>
      <w:pPr>
        <w:pStyle w:val="ListBullet"/>
        <w:spacing w:after="40"/>
        <w:ind w:left="283"/>
      </w:pPr>
      <w:r>
        <w:rPr>
          <w:color w:val="555555"/>
          <w:sz w:val="20"/>
        </w:rPr>
        <w:t>TED Spread et High Yield Spread — stress financier</w:t>
      </w:r>
    </w:p>
    <w:p>
      <w:pPr>
        <w:spacing w:after="60"/>
      </w:pPr>
      <w:r>
        <w:rPr>
          <w:color w:val="222222"/>
          <w:sz w:val="20"/>
        </w:rPr>
        <w:t>Chaque indicateur dispose d'un widget Nexus Analysis — Claude génère automatiquement une interprétation contextuelle basée sur la valeur live et l'historique.</w:t>
      </w:r>
    </w:p>
    <w:p>
      <w:pPr>
        <w:spacing w:before="280" w:after="80"/>
        <w:jc w:val="left"/>
      </w:pPr>
      <w:r>
        <w:rPr>
          <w:b/>
          <w:color w:val="3B82F6"/>
          <w:sz w:val="30"/>
        </w:rPr>
        <w:t>7.6 Sentiment</w:t>
      </w:r>
    </w:p>
    <w:p>
      <w:pPr>
        <w:pStyle w:val="ListBullet"/>
        <w:spacing w:after="40"/>
        <w:ind w:left="283"/>
      </w:pPr>
      <w:r>
        <w:rPr>
          <w:color w:val="555555"/>
          <w:sz w:val="20"/>
        </w:rPr>
        <w:t>Fear &amp; Greed CNN — jauge 0-100 avec historique 1 mois / 1 an</w:t>
      </w:r>
    </w:p>
    <w:p>
      <w:pPr>
        <w:pStyle w:val="ListBullet"/>
        <w:spacing w:after="40"/>
        <w:ind w:left="283"/>
      </w:pPr>
      <w:r>
        <w:rPr>
          <w:color w:val="555555"/>
          <w:sz w:val="20"/>
        </w:rPr>
        <w:t>AAII Sentiment Survey — bullish/bearish/neutral hebdomadaire</w:t>
      </w:r>
    </w:p>
    <w:p>
      <w:pPr>
        <w:pStyle w:val="ListBullet"/>
        <w:spacing w:after="40"/>
        <w:ind w:left="283"/>
      </w:pPr>
      <w:r>
        <w:rPr>
          <w:color w:val="555555"/>
          <w:sz w:val="20"/>
        </w:rPr>
        <w:t>Scoring news par secteur — Claude analyse les RSS Bloomberg/FT/Reuters et attribue un score par secteur (tech, énergie, finance, santé)</w:t>
      </w:r>
    </w:p>
    <w:p>
      <w:pPr>
        <w:pStyle w:val="ListBullet"/>
        <w:spacing w:after="40"/>
        <w:ind w:left="283"/>
      </w:pPr>
      <w:r>
        <w:rPr>
          <w:color w:val="555555"/>
          <w:sz w:val="20"/>
        </w:rPr>
        <w:t>Advance/Decline Line — largeur réelle du marché</w:t>
      </w:r>
    </w:p>
    <w:p>
      <w:pPr>
        <w:spacing w:before="280" w:after="80"/>
        <w:jc w:val="left"/>
      </w:pPr>
      <w:r>
        <w:rPr>
          <w:b/>
          <w:color w:val="3B82F6"/>
          <w:sz w:val="30"/>
        </w:rPr>
        <w:t>7.7 Comparer</w:t>
      </w:r>
    </w:p>
    <w:p>
      <w:pPr>
        <w:spacing w:after="60"/>
      </w:pPr>
      <w:r>
        <w:rPr>
          <w:color w:val="555555"/>
          <w:sz w:val="20"/>
        </w:rPr>
        <w:t>Comparateur d'ETFs et d'actifs. L'utilisateur saisit 2 à 4 actifs :</w:t>
      </w:r>
    </w:p>
    <w:p>
      <w:pPr>
        <w:pStyle w:val="ListBullet"/>
        <w:spacing w:after="40"/>
        <w:ind w:left="283"/>
      </w:pPr>
      <w:r>
        <w:rPr>
          <w:color w:val="555555"/>
          <w:sz w:val="20"/>
        </w:rPr>
        <w:t>Performance sur 1 mois, 3 mois, 1 an, 3 ans, 5 ans, 10 ans</w:t>
      </w:r>
    </w:p>
    <w:p>
      <w:pPr>
        <w:pStyle w:val="ListBullet"/>
        <w:spacing w:after="40"/>
        <w:ind w:left="283"/>
      </w:pPr>
      <w:r>
        <w:rPr>
          <w:color w:val="555555"/>
          <w:sz w:val="20"/>
        </w:rPr>
        <w:t>Frais annuels (TER pour ETFs)</w:t>
      </w:r>
    </w:p>
    <w:p>
      <w:pPr>
        <w:pStyle w:val="ListBullet"/>
        <w:spacing w:after="40"/>
        <w:ind w:left="283"/>
      </w:pPr>
      <w:r>
        <w:rPr>
          <w:color w:val="555555"/>
          <w:sz w:val="20"/>
        </w:rPr>
        <w:t>Volatilité historique (écart-type)</w:t>
      </w:r>
    </w:p>
    <w:p>
      <w:pPr>
        <w:pStyle w:val="ListBullet"/>
        <w:spacing w:after="40"/>
        <w:ind w:left="283"/>
      </w:pPr>
      <w:r>
        <w:rPr>
          <w:color w:val="555555"/>
          <w:sz w:val="20"/>
        </w:rPr>
        <w:t>Dividendes et rendement</w:t>
      </w:r>
    </w:p>
    <w:p>
      <w:pPr>
        <w:pStyle w:val="ListBullet"/>
        <w:spacing w:after="40"/>
        <w:ind w:left="283"/>
      </w:pPr>
      <w:r>
        <w:rPr>
          <w:color w:val="555555"/>
          <w:sz w:val="20"/>
        </w:rPr>
        <w:t>Corrélation entre les actifs sélectionnés</w:t>
      </w:r>
    </w:p>
    <w:p>
      <w:pPr>
        <w:pStyle w:val="ListBullet"/>
        <w:spacing w:after="40"/>
        <w:ind w:left="283"/>
      </w:pPr>
      <w:r>
        <w:rPr>
          <w:color w:val="555555"/>
          <w:sz w:val="20"/>
        </w:rPr>
        <w:t>Recommandation Claude : synthèse comparative en langage naturel</w:t>
      </w:r>
    </w:p>
    <w:p>
      <w:pPr>
        <w:spacing w:before="280" w:after="80"/>
        <w:jc w:val="left"/>
      </w:pPr>
      <w:r>
        <w:rPr>
          <w:b/>
          <w:color w:val="3B82F6"/>
          <w:sz w:val="30"/>
        </w:rPr>
        <w:t>7.8 Calendrier Économique</w:t>
      </w:r>
    </w:p>
    <w:p>
      <w:pPr>
        <w:spacing w:after="60"/>
      </w:pPr>
      <w:r>
        <w:rPr>
          <w:color w:val="555555"/>
          <w:sz w:val="20"/>
        </w:rPr>
        <w:t>Vue calendrier des événements qui font bouger les marchés :</w:t>
      </w:r>
    </w:p>
    <w:p>
      <w:pPr>
        <w:pStyle w:val="ListBullet"/>
        <w:spacing w:after="40"/>
        <w:ind w:left="283"/>
      </w:pPr>
      <w:r>
        <w:rPr>
          <w:color w:val="555555"/>
          <w:sz w:val="20"/>
        </w:rPr>
        <w:t>Publications CPI US et zone euro</w:t>
      </w:r>
    </w:p>
    <w:p>
      <w:pPr>
        <w:pStyle w:val="ListBullet"/>
        <w:spacing w:after="40"/>
        <w:ind w:left="283"/>
      </w:pPr>
      <w:r>
        <w:rPr>
          <w:color w:val="555555"/>
          <w:sz w:val="20"/>
        </w:rPr>
        <w:t>Décisions de taux Fed et BCE</w:t>
      </w:r>
    </w:p>
    <w:p>
      <w:pPr>
        <w:pStyle w:val="ListBullet"/>
        <w:spacing w:after="40"/>
        <w:ind w:left="283"/>
      </w:pPr>
      <w:r>
        <w:rPr>
          <w:color w:val="555555"/>
          <w:sz w:val="20"/>
        </w:rPr>
        <w:t>NFP — Non-Farm Payrolls (emploi US mensuel)</w:t>
      </w:r>
    </w:p>
    <w:p>
      <w:pPr>
        <w:pStyle w:val="ListBullet"/>
        <w:spacing w:after="40"/>
        <w:ind w:left="283"/>
      </w:pPr>
      <w:r>
        <w:rPr>
          <w:color w:val="555555"/>
          <w:sz w:val="20"/>
        </w:rPr>
        <w:t>Earnings des grandes entreprises (S&amp;P 500)</w:t>
      </w:r>
    </w:p>
    <w:p>
      <w:pPr>
        <w:pStyle w:val="ListBullet"/>
        <w:spacing w:after="40"/>
        <w:ind w:left="283"/>
      </w:pPr>
      <w:r>
        <w:rPr>
          <w:color w:val="555555"/>
          <w:sz w:val="20"/>
        </w:rPr>
        <w:t>PIB trimestriel US et zone euro</w:t>
      </w:r>
    </w:p>
    <w:p>
      <w:pPr>
        <w:pStyle w:val="ListBullet"/>
        <w:spacing w:after="40"/>
        <w:ind w:left="283"/>
      </w:pPr>
      <w:r>
        <w:rPr>
          <w:color w:val="555555"/>
          <w:sz w:val="20"/>
        </w:rPr>
        <w:t>Code couleur : fort impact (rouge), impact moyen (orange), faible (gris)</w:t>
      </w:r>
    </w:p>
    <w:p>
      <w:pPr>
        <w:spacing w:before="280" w:after="80"/>
        <w:jc w:val="left"/>
      </w:pPr>
      <w:r>
        <w:rPr>
          <w:b/>
          <w:color w:val="3B82F6"/>
          <w:sz w:val="30"/>
        </w:rPr>
        <w:t>7.9 Paper Trading</w:t>
      </w:r>
    </w:p>
    <w:p>
      <w:pPr>
        <w:spacing w:after="60"/>
      </w:pPr>
      <w:r>
        <w:rPr>
          <w:color w:val="555555"/>
          <w:sz w:val="20"/>
        </w:rPr>
        <w:t>Portefeuille fictif avec 100'000 CHF de départ. Prix réels via Yahoo Finance et CoinGecko. Données stockées dans Supabase par compte utilisateur.</w:t>
      </w:r>
    </w:p>
    <w:p>
      <w:pPr>
        <w:pStyle w:val="ListBullet"/>
        <w:spacing w:after="40"/>
        <w:ind w:left="283"/>
      </w:pPr>
      <w:r>
        <w:rPr>
          <w:color w:val="555555"/>
          <w:sz w:val="20"/>
        </w:rPr>
        <w:t>Achat/vente de n'importe quel actif de la watchlist aux prix réels</w:t>
      </w:r>
    </w:p>
    <w:p>
      <w:pPr>
        <w:pStyle w:val="ListBullet"/>
        <w:spacing w:after="40"/>
        <w:ind w:left="283"/>
      </w:pPr>
      <w:r>
        <w:rPr>
          <w:color w:val="555555"/>
          <w:sz w:val="20"/>
        </w:rPr>
        <w:t>Suivi P&amp;L par position et global en CHF et en %</w:t>
      </w:r>
    </w:p>
    <w:p>
      <w:pPr>
        <w:pStyle w:val="ListBullet"/>
        <w:spacing w:after="40"/>
        <w:ind w:left="283"/>
      </w:pPr>
      <w:r>
        <w:rPr>
          <w:color w:val="555555"/>
          <w:sz w:val="20"/>
        </w:rPr>
        <w:t>Comparaison performance vs S&amp;P 500 (benchmark)</w:t>
      </w:r>
    </w:p>
    <w:p>
      <w:pPr>
        <w:pStyle w:val="ListBullet"/>
        <w:spacing w:after="40"/>
        <w:ind w:left="283"/>
      </w:pPr>
      <w:r>
        <w:rPr>
          <w:color w:val="555555"/>
          <w:sz w:val="20"/>
        </w:rPr>
        <w:t>Historique complet de tous les trades avec date, prix, quantité</w:t>
      </w:r>
    </w:p>
    <w:p>
      <w:pPr>
        <w:pStyle w:val="ListBullet"/>
        <w:spacing w:after="40"/>
        <w:ind w:left="283"/>
      </w:pPr>
      <w:r>
        <w:rPr>
          <w:color w:val="555555"/>
          <w:sz w:val="20"/>
        </w:rPr>
        <w:t>Graphique performance cumulée du portefeuille dans le temps</w:t>
      </w:r>
    </w:p>
    <w:p>
      <w:pPr>
        <w:pStyle w:val="ListBullet"/>
        <w:spacing w:after="40"/>
        <w:ind w:left="283"/>
      </w:pPr>
      <w:r>
        <w:rPr>
          <w:color w:val="555555"/>
          <w:sz w:val="20"/>
        </w:rPr>
        <w:t>Analyse Claude post-trade : contexte macro et technique au moment de la décision</w:t>
      </w:r>
    </w:p>
    <w:p>
      <w:pPr>
        <w:spacing w:before="280" w:after="80"/>
        <w:jc w:val="left"/>
      </w:pPr>
      <w:r>
        <w:rPr>
          <w:b/>
          <w:color w:val="3B82F6"/>
          <w:sz w:val="30"/>
        </w:rPr>
        <w:t>7.10 Nexus Coach</w:t>
      </w:r>
    </w:p>
    <w:p>
      <w:pPr>
        <w:spacing w:after="60"/>
      </w:pPr>
      <w:r>
        <w:rPr>
          <w:color w:val="555555"/>
          <w:sz w:val="20"/>
        </w:rPr>
        <w:t>Interface de chat IA — Claude avec accès complet au contexte de l'utilisateur. Ce n'est pas juste un chatbot — c'est un coach qui connaît ton portefeuille, ton historique et les marchés en temps réel.</w:t>
      </w:r>
    </w:p>
    <w:p>
      <w:pPr>
        <w:pStyle w:val="ListBullet"/>
        <w:spacing w:after="40"/>
        <w:ind w:left="283"/>
      </w:pPr>
      <w:r>
        <w:rPr>
          <w:b/>
          <w:color w:val="0A0A0A"/>
          <w:sz w:val="20"/>
        </w:rPr>
        <w:t xml:space="preserve">Analyse froide — </w:t>
      </w:r>
      <w:r>
        <w:rPr>
          <w:color w:val="555555"/>
          <w:sz w:val="20"/>
        </w:rPr>
        <w:t>Claude répond sans émotion quand tu paniques sur une baisse</w:t>
      </w:r>
    </w:p>
    <w:p>
      <w:pPr>
        <w:pStyle w:val="ListBullet"/>
        <w:spacing w:after="40"/>
        <w:ind w:left="283"/>
      </w:pPr>
      <w:r>
        <w:rPr>
          <w:b/>
          <w:color w:val="0A0A0A"/>
          <w:sz w:val="20"/>
        </w:rPr>
        <w:t xml:space="preserve">Contexte personnel — </w:t>
      </w:r>
      <w:r>
        <w:rPr>
          <w:color w:val="555555"/>
          <w:sz w:val="20"/>
        </w:rPr>
        <w:t>Accès à ton historique paper trading, tes patterns de trades, tes décisions passées</w:t>
      </w:r>
    </w:p>
    <w:p>
      <w:pPr>
        <w:pStyle w:val="ListBullet"/>
        <w:spacing w:after="40"/>
        <w:ind w:left="283"/>
      </w:pPr>
      <w:r>
        <w:rPr>
          <w:b/>
          <w:color w:val="0A0A0A"/>
          <w:sz w:val="20"/>
        </w:rPr>
        <w:t xml:space="preserve">Données live — </w:t>
      </w:r>
      <w:r>
        <w:rPr>
          <w:color w:val="555555"/>
          <w:sz w:val="20"/>
        </w:rPr>
        <w:t>Peut consulter les APIs en temps réel pour répondre avec des chiffres actuels</w:t>
      </w:r>
    </w:p>
    <w:p>
      <w:pPr>
        <w:pStyle w:val="ListBullet"/>
        <w:spacing w:after="40"/>
        <w:ind w:left="283"/>
      </w:pPr>
      <w:r>
        <w:rPr>
          <w:b/>
          <w:color w:val="0A0A0A"/>
          <w:sz w:val="20"/>
        </w:rPr>
        <w:t xml:space="preserve">Psychologie trading — </w:t>
      </w:r>
      <w:r>
        <w:rPr>
          <w:color w:val="555555"/>
          <w:sz w:val="20"/>
        </w:rPr>
        <w:t>Identifie tes biais cognitifs (FOMO, panic sell) sur la base de tes trades historiques</w:t>
      </w:r>
    </w:p>
    <w:p>
      <w:pPr>
        <w:pStyle w:val="ListBullet"/>
        <w:spacing w:after="40"/>
        <w:ind w:left="283"/>
      </w:pPr>
      <w:r>
        <w:rPr>
          <w:b/>
          <w:color w:val="0A0A0A"/>
          <w:sz w:val="20"/>
        </w:rPr>
        <w:t xml:space="preserve">Éducation — </w:t>
      </w:r>
      <w:r>
        <w:rPr>
          <w:color w:val="555555"/>
          <w:sz w:val="20"/>
        </w:rPr>
        <w:t>Explique les indicateurs, les concepts macro, les mécanismes de marché</w:t>
      </w:r>
    </w:p>
    <w:p>
      <w:pPr>
        <w:pStyle w:val="ListBullet"/>
        <w:spacing w:after="40"/>
        <w:ind w:left="283"/>
      </w:pPr>
      <w:r>
        <w:rPr>
          <w:b/>
          <w:color w:val="0A0A0A"/>
          <w:sz w:val="20"/>
        </w:rPr>
        <w:t xml:space="preserve">Suggestions rapides — </w:t>
      </w:r>
      <w:r>
        <w:rPr>
          <w:color w:val="555555"/>
          <w:sz w:val="20"/>
        </w:rPr>
        <w:t>Boutons de questions fréquentes après chaque réponse</w:t>
      </w:r>
    </w:p>
    <w:p>
      <w:r>
        <w:br w:type="page"/>
      </w:r>
    </w:p>
    <w:p>
      <w:pPr>
        <w:spacing w:before="400" w:after="160"/>
        <w:jc w:val="left"/>
      </w:pPr>
      <w:r>
        <w:rPr>
          <w:b/>
          <w:color w:val="0A0A0A"/>
          <w:sz w:val="44"/>
        </w:rPr>
        <w:t>8. Authentification &amp; Comptes Utilisateurs</w:t>
      </w:r>
    </w:p>
    <w:p>
      <w:pPr>
        <w:spacing w:before="80" w:after="80"/>
        <w:pBdr>
          <w:bottom w:val="single" w:sz="4" w:space="1" w:color="DDDDDD"/>
        </w:pBdr>
      </w:pPr>
    </w:p>
    <w:p>
      <w:pPr>
        <w:spacing w:after="60"/>
      </w:pPr>
      <w:r>
        <w:rPr>
          <w:color w:val="555555"/>
          <w:sz w:val="20"/>
        </w:rPr>
        <w:t>Système d'authentification via Supabase Auth. Chaque utilisateur possède un espace isolé avec Row Level Security (RLS) activé.</w:t>
      </w:r>
    </w:p>
    <w:p>
      <w:pPr>
        <w:spacing w:before="200" w:after="60"/>
        <w:jc w:val="left"/>
      </w:pPr>
      <w:r>
        <w:rPr>
          <w:b/>
          <w:color w:val="222222"/>
          <w:sz w:val="24"/>
        </w:rPr>
        <w:t>Méthodes de connexion :</w:t>
      </w:r>
    </w:p>
    <w:p>
      <w:pPr>
        <w:pStyle w:val="ListBullet"/>
        <w:spacing w:after="40"/>
        <w:ind w:left="283"/>
      </w:pPr>
      <w:r>
        <w:rPr>
          <w:color w:val="555555"/>
          <w:sz w:val="20"/>
        </w:rPr>
        <w:t>Email + mot de passe (chiffré bcrypt par Supabase — jamais stocké en clair)</w:t>
      </w:r>
    </w:p>
    <w:p>
      <w:pPr>
        <w:pStyle w:val="ListBullet"/>
        <w:spacing w:after="40"/>
        <w:ind w:left="283"/>
      </w:pPr>
      <w:r>
        <w:rPr>
          <w:color w:val="555555"/>
          <w:sz w:val="20"/>
        </w:rPr>
        <w:t>Connexion Google en un clic (OAuth)</w:t>
      </w:r>
    </w:p>
    <w:p>
      <w:pPr>
        <w:spacing w:before="200" w:after="60"/>
        <w:jc w:val="left"/>
      </w:pPr>
      <w:r>
        <w:rPr>
          <w:b/>
          <w:color w:val="222222"/>
          <w:sz w:val="24"/>
        </w:rPr>
        <w:t>Données stockées par utilisateur :</w:t>
      </w:r>
    </w:p>
    <w:p>
      <w:pPr>
        <w:pStyle w:val="ListBullet"/>
        <w:spacing w:after="40"/>
        <w:ind w:left="283"/>
      </w:pPr>
      <w:r>
        <w:rPr>
          <w:color w:val="555555"/>
          <w:sz w:val="20"/>
        </w:rPr>
        <w:t>Configuration dashboard — quels widgets, positions, tailles</w:t>
      </w:r>
    </w:p>
    <w:p>
      <w:pPr>
        <w:pStyle w:val="ListBullet"/>
        <w:spacing w:after="40"/>
        <w:ind w:left="283"/>
      </w:pPr>
      <w:r>
        <w:rPr>
          <w:color w:val="555555"/>
          <w:sz w:val="20"/>
        </w:rPr>
        <w:t>Watchlist / favoris personnels</w:t>
      </w:r>
    </w:p>
    <w:p>
      <w:pPr>
        <w:pStyle w:val="ListBullet"/>
        <w:spacing w:after="40"/>
        <w:ind w:left="283"/>
      </w:pPr>
      <w:r>
        <w:rPr>
          <w:color w:val="555555"/>
          <w:sz w:val="20"/>
        </w:rPr>
        <w:t>Portefeuille paper trading complet — trades, positions, P&amp;L</w:t>
      </w:r>
    </w:p>
    <w:p>
      <w:pPr>
        <w:pStyle w:val="ListBullet"/>
        <w:spacing w:after="40"/>
        <w:ind w:left="283"/>
      </w:pPr>
      <w:r>
        <w:rPr>
          <w:color w:val="555555"/>
          <w:sz w:val="20"/>
        </w:rPr>
        <w:t>Historique conversations Nexus Coach</w:t>
      </w:r>
    </w:p>
    <w:p>
      <w:pPr>
        <w:pStyle w:val="ListBullet"/>
        <w:spacing w:after="40"/>
        <w:ind w:left="283"/>
      </w:pPr>
      <w:r>
        <w:rPr>
          <w:color w:val="555555"/>
          <w:sz w:val="20"/>
        </w:rPr>
        <w:t>Préférences et alertes personnalisées</w:t>
      </w:r>
    </w:p>
    <w:p>
      <w:pPr>
        <w:spacing w:before="200" w:after="60"/>
        <w:jc w:val="left"/>
      </w:pPr>
      <w:r>
        <w:rPr>
          <w:b/>
          <w:color w:val="222222"/>
          <w:sz w:val="24"/>
        </w:rPr>
        <w:t>Alertes personnalisées :</w:t>
      </w:r>
    </w:p>
    <w:p>
      <w:pPr>
        <w:pStyle w:val="ListBullet"/>
        <w:spacing w:after="40"/>
        <w:ind w:left="283"/>
      </w:pPr>
      <w:r>
        <w:rPr>
          <w:color w:val="555555"/>
          <w:sz w:val="20"/>
        </w:rPr>
        <w:t>VIX dépasse un seuil défini (ex: VIX &gt; 30)</w:t>
      </w:r>
    </w:p>
    <w:p>
      <w:pPr>
        <w:pStyle w:val="ListBullet"/>
        <w:spacing w:after="40"/>
        <w:ind w:left="283"/>
      </w:pPr>
      <w:r>
        <w:rPr>
          <w:color w:val="555555"/>
          <w:sz w:val="20"/>
        </w:rPr>
        <w:t>Variation d'un actif favori au-delà d'un % défini</w:t>
      </w:r>
    </w:p>
    <w:p>
      <w:pPr>
        <w:pStyle w:val="ListBullet"/>
        <w:spacing w:after="40"/>
        <w:ind w:left="283"/>
      </w:pPr>
      <w:r>
        <w:rPr>
          <w:color w:val="555555"/>
          <w:sz w:val="20"/>
        </w:rPr>
        <w:t>Publication d'un événement macro important</w:t>
      </w:r>
    </w:p>
    <w:p>
      <w:pPr>
        <w:pStyle w:val="ListBullet"/>
        <w:spacing w:after="40"/>
        <w:ind w:left="283"/>
      </w:pPr>
      <w:r>
        <w:rPr>
          <w:color w:val="555555"/>
          <w:sz w:val="20"/>
        </w:rPr>
        <w:t>Livraison via email ou Telegram (Make.com en complément)</w:t>
      </w:r>
    </w:p>
    <w:p>
      <w:r>
        <w:br w:type="page"/>
      </w:r>
    </w:p>
    <w:p>
      <w:pPr>
        <w:spacing w:before="400" w:after="160"/>
        <w:jc w:val="left"/>
      </w:pPr>
      <w:r>
        <w:rPr>
          <w:b/>
          <w:color w:val="0A0A0A"/>
          <w:sz w:val="44"/>
        </w:rPr>
        <w:t>9. Responsive Design</w:t>
      </w:r>
    </w:p>
    <w:p>
      <w:pPr>
        <w:spacing w:before="80" w:after="80"/>
        <w:pBdr>
          <w:bottom w:val="single" w:sz="4" w:space="1" w:color="DDDDDD"/>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0A0A"/>
          </w:tcPr>
          <w:p>
            <w:r>
              <w:rPr>
                <w:b/>
                <w:color w:val="FFFFFF"/>
                <w:sz w:val="20"/>
              </w:rPr>
              <w:t>Support</w:t>
            </w:r>
          </w:p>
        </w:tc>
        <w:tc>
          <w:tcPr>
            <w:tcW w:type="dxa" w:w="3135"/>
            <w:shd w:val="clear" w:color="auto" w:fill="0A0A0A"/>
          </w:tcPr>
          <w:p>
            <w:r>
              <w:rPr>
                <w:b/>
                <w:color w:val="FFFFFF"/>
                <w:sz w:val="20"/>
              </w:rPr>
              <w:t>Breakpoint</w:t>
            </w:r>
          </w:p>
        </w:tc>
        <w:tc>
          <w:tcPr>
            <w:tcW w:type="dxa" w:w="3135"/>
            <w:shd w:val="clear" w:color="auto" w:fill="0A0A0A"/>
          </w:tcPr>
          <w:p>
            <w:r>
              <w:rPr>
                <w:b/>
                <w:color w:val="FFFFFF"/>
                <w:sz w:val="20"/>
              </w:rPr>
              <w:t>Adaptations</w:t>
            </w:r>
          </w:p>
        </w:tc>
      </w:tr>
      <w:tr>
        <w:tc>
          <w:tcPr>
            <w:tcW w:type="dxa" w:w="3135"/>
            <w:shd w:val="clear" w:color="auto" w:fill="F8F8F8"/>
          </w:tcPr>
          <w:p>
            <w:r>
              <w:rPr>
                <w:sz w:val="19"/>
              </w:rPr>
              <w:t>Desktop</w:t>
            </w:r>
          </w:p>
        </w:tc>
        <w:tc>
          <w:tcPr>
            <w:tcW w:type="dxa" w:w="3135"/>
            <w:shd w:val="clear" w:color="auto" w:fill="F8F8F8"/>
          </w:tcPr>
          <w:p>
            <w:r>
              <w:rPr>
                <w:sz w:val="19"/>
              </w:rPr>
              <w:t>&gt; 1024px</w:t>
            </w:r>
          </w:p>
        </w:tc>
        <w:tc>
          <w:tcPr>
            <w:tcW w:type="dxa" w:w="3135"/>
            <w:shd w:val="clear" w:color="auto" w:fill="F8F8F8"/>
          </w:tcPr>
          <w:p>
            <w:r>
              <w:rPr>
                <w:sz w:val="19"/>
              </w:rPr>
              <w:t>Sidebar 240px visible, dashboard multi-colonnes, globe 3D grand format</w:t>
            </w:r>
          </w:p>
        </w:tc>
      </w:tr>
      <w:tr>
        <w:tc>
          <w:tcPr>
            <w:tcW w:type="dxa" w:w="3135"/>
          </w:tcPr>
          <w:p>
            <w:r>
              <w:rPr>
                <w:sz w:val="19"/>
              </w:rPr>
              <w:t>Tablette</w:t>
            </w:r>
          </w:p>
        </w:tc>
        <w:tc>
          <w:tcPr>
            <w:tcW w:type="dxa" w:w="3135"/>
          </w:tcPr>
          <w:p>
            <w:r>
              <w:rPr>
                <w:sz w:val="19"/>
              </w:rPr>
              <w:t>768–1024px</w:t>
            </w:r>
          </w:p>
        </w:tc>
        <w:tc>
          <w:tcPr>
            <w:tcW w:type="dxa" w:w="3135"/>
          </w:tcPr>
          <w:p>
            <w:r>
              <w:rPr>
                <w:sz w:val="19"/>
              </w:rPr>
              <w:t>Sidebar 60px icônes seulement, dashboard 2 colonnes</w:t>
            </w:r>
          </w:p>
        </w:tc>
      </w:tr>
      <w:tr>
        <w:tc>
          <w:tcPr>
            <w:tcW w:type="dxa" w:w="3135"/>
            <w:shd w:val="clear" w:color="auto" w:fill="F8F8F8"/>
          </w:tcPr>
          <w:p>
            <w:r>
              <w:rPr>
                <w:sz w:val="19"/>
              </w:rPr>
              <w:t>Mobile</w:t>
            </w:r>
          </w:p>
        </w:tc>
        <w:tc>
          <w:tcPr>
            <w:tcW w:type="dxa" w:w="3135"/>
            <w:shd w:val="clear" w:color="auto" w:fill="F8F8F8"/>
          </w:tcPr>
          <w:p>
            <w:r>
              <w:rPr>
                <w:sz w:val="19"/>
              </w:rPr>
              <w:t>&lt; 768px</w:t>
            </w:r>
          </w:p>
        </w:tc>
        <w:tc>
          <w:tcPr>
            <w:tcW w:type="dxa" w:w="3135"/>
            <w:shd w:val="clear" w:color="auto" w:fill="F8F8F8"/>
          </w:tcPr>
          <w:p>
            <w:r>
              <w:rPr>
                <w:sz w:val="19"/>
              </w:rPr>
              <w:t>Sidebar → menu hamburger, widgets empilés, globe 3D réduit, barre bas icônes seules</w:t>
            </w:r>
          </w:p>
        </w:tc>
      </w:tr>
    </w:tbl>
    <w:p/>
    <w:p>
      <w:pPr>
        <w:spacing w:before="400" w:after="160"/>
        <w:jc w:val="left"/>
      </w:pPr>
      <w:r>
        <w:rPr>
          <w:b/>
          <w:color w:val="0A0A0A"/>
          <w:sz w:val="44"/>
        </w:rPr>
        <w:t>10. Structure des Coûts</w:t>
      </w:r>
    </w:p>
    <w:p>
      <w:pPr>
        <w:spacing w:before="80" w:after="80"/>
        <w:pBdr>
          <w:bottom w:val="single" w:sz="4" w:space="1" w:color="DDDDDD"/>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0A0A"/>
          </w:tcPr>
          <w:p>
            <w:r>
              <w:rPr>
                <w:b/>
                <w:color w:val="FFFFFF"/>
                <w:sz w:val="20"/>
              </w:rPr>
              <w:t>Service</w:t>
            </w:r>
          </w:p>
        </w:tc>
        <w:tc>
          <w:tcPr>
            <w:tcW w:type="dxa" w:w="3135"/>
            <w:shd w:val="clear" w:color="auto" w:fill="0A0A0A"/>
          </w:tcPr>
          <w:p>
            <w:r>
              <w:rPr>
                <w:b/>
                <w:color w:val="FFFFFF"/>
                <w:sz w:val="20"/>
              </w:rPr>
              <w:t>Plan</w:t>
            </w:r>
          </w:p>
        </w:tc>
        <w:tc>
          <w:tcPr>
            <w:tcW w:type="dxa" w:w="3135"/>
            <w:shd w:val="clear" w:color="auto" w:fill="0A0A0A"/>
          </w:tcPr>
          <w:p>
            <w:r>
              <w:rPr>
                <w:b/>
                <w:color w:val="FFFFFF"/>
                <w:sz w:val="20"/>
              </w:rPr>
              <w:t>Coût mensuel</w:t>
            </w:r>
          </w:p>
        </w:tc>
      </w:tr>
      <w:tr>
        <w:tc>
          <w:tcPr>
            <w:tcW w:type="dxa" w:w="3135"/>
            <w:shd w:val="clear" w:color="auto" w:fill="F8F8F8"/>
          </w:tcPr>
          <w:p>
            <w:r>
              <w:rPr>
                <w:sz w:val="19"/>
              </w:rPr>
              <w:t>Claude Pro</w:t>
            </w:r>
          </w:p>
        </w:tc>
        <w:tc>
          <w:tcPr>
            <w:tcW w:type="dxa" w:w="3135"/>
            <w:shd w:val="clear" w:color="auto" w:fill="F8F8F8"/>
          </w:tcPr>
          <w:p>
            <w:r>
              <w:rPr>
                <w:sz w:val="19"/>
              </w:rPr>
              <w:t>Pro (construction + usage)</w:t>
            </w:r>
          </w:p>
        </w:tc>
        <w:tc>
          <w:tcPr>
            <w:tcW w:type="dxa" w:w="3135"/>
            <w:shd w:val="clear" w:color="auto" w:fill="F8F8F8"/>
          </w:tcPr>
          <w:p>
            <w:r>
              <w:rPr>
                <w:color w:val="3B82F6"/>
                <w:sz w:val="19"/>
              </w:rPr>
              <w:t>20 $/mois</w:t>
            </w:r>
          </w:p>
        </w:tc>
      </w:tr>
      <w:tr>
        <w:tc>
          <w:tcPr>
            <w:tcW w:type="dxa" w:w="3135"/>
          </w:tcPr>
          <w:p>
            <w:r>
              <w:rPr>
                <w:sz w:val="19"/>
              </w:rPr>
              <w:t>Vercel</w:t>
            </w:r>
          </w:p>
        </w:tc>
        <w:tc>
          <w:tcPr>
            <w:tcW w:type="dxa" w:w="3135"/>
          </w:tcPr>
          <w:p>
            <w:r>
              <w:rPr>
                <w:sz w:val="19"/>
              </w:rPr>
              <w:t>Hobby (hébergement)</w:t>
            </w:r>
          </w:p>
        </w:tc>
        <w:tc>
          <w:tcPr>
            <w:tcW w:type="dxa" w:w="3135"/>
          </w:tcPr>
          <w:p>
            <w:r>
              <w:rPr>
                <w:sz w:val="19"/>
              </w:rPr>
              <w:t>Gratuit</w:t>
            </w:r>
          </w:p>
        </w:tc>
      </w:tr>
      <w:tr>
        <w:tc>
          <w:tcPr>
            <w:tcW w:type="dxa" w:w="3135"/>
            <w:shd w:val="clear" w:color="auto" w:fill="F8F8F8"/>
          </w:tcPr>
          <w:p>
            <w:r>
              <w:rPr>
                <w:sz w:val="19"/>
              </w:rPr>
              <w:t>Supabase</w:t>
            </w:r>
          </w:p>
        </w:tc>
        <w:tc>
          <w:tcPr>
            <w:tcW w:type="dxa" w:w="3135"/>
            <w:shd w:val="clear" w:color="auto" w:fill="F8F8F8"/>
          </w:tcPr>
          <w:p>
            <w:r>
              <w:rPr>
                <w:sz w:val="19"/>
              </w:rPr>
              <w:t>Free tier (jusqu'à 50k users)</w:t>
            </w:r>
          </w:p>
        </w:tc>
        <w:tc>
          <w:tcPr>
            <w:tcW w:type="dxa" w:w="3135"/>
            <w:shd w:val="clear" w:color="auto" w:fill="F8F8F8"/>
          </w:tcPr>
          <w:p>
            <w:r>
              <w:rPr>
                <w:sz w:val="19"/>
              </w:rPr>
              <w:t>Gratuit</w:t>
            </w:r>
          </w:p>
        </w:tc>
      </w:tr>
      <w:tr>
        <w:tc>
          <w:tcPr>
            <w:tcW w:type="dxa" w:w="3135"/>
          </w:tcPr>
          <w:p>
            <w:r>
              <w:rPr>
                <w:sz w:val="19"/>
              </w:rPr>
              <w:t>Anthropic API</w:t>
            </w:r>
          </w:p>
        </w:tc>
        <w:tc>
          <w:tcPr>
            <w:tcW w:type="dxa" w:w="3135"/>
          </w:tcPr>
          <w:p>
            <w:r>
              <w:rPr>
                <w:sz w:val="19"/>
              </w:rPr>
              <w:t>Pay-as-you-go (crédit prépayé)</w:t>
            </w:r>
          </w:p>
        </w:tc>
        <w:tc>
          <w:tcPr>
            <w:tcW w:type="dxa" w:w="3135"/>
          </w:tcPr>
          <w:p>
            <w:r>
              <w:rPr>
                <w:color w:val="3B82F6"/>
                <w:sz w:val="19"/>
              </w:rPr>
              <w:t>~5 $ pour démarrer</w:t>
            </w:r>
          </w:p>
        </w:tc>
      </w:tr>
      <w:tr>
        <w:tc>
          <w:tcPr>
            <w:tcW w:type="dxa" w:w="3135"/>
            <w:shd w:val="clear" w:color="auto" w:fill="F8F8F8"/>
          </w:tcPr>
          <w:p>
            <w:r>
              <w:rPr>
                <w:sz w:val="19"/>
              </w:rPr>
              <w:t>FRED, BCE, OCDE</w:t>
            </w:r>
          </w:p>
        </w:tc>
        <w:tc>
          <w:tcPr>
            <w:tcW w:type="dxa" w:w="3135"/>
            <w:shd w:val="clear" w:color="auto" w:fill="F8F8F8"/>
          </w:tcPr>
          <w:p>
            <w:r>
              <w:rPr>
                <w:sz w:val="19"/>
              </w:rPr>
              <w:t>Public / officiel</w:t>
            </w:r>
          </w:p>
        </w:tc>
        <w:tc>
          <w:tcPr>
            <w:tcW w:type="dxa" w:w="3135"/>
            <w:shd w:val="clear" w:color="auto" w:fill="F8F8F8"/>
          </w:tcPr>
          <w:p>
            <w:r>
              <w:rPr>
                <w:sz w:val="19"/>
              </w:rPr>
              <w:t>Gratuit</w:t>
            </w:r>
          </w:p>
        </w:tc>
      </w:tr>
      <w:tr>
        <w:tc>
          <w:tcPr>
            <w:tcW w:type="dxa" w:w="3135"/>
          </w:tcPr>
          <w:p>
            <w:r>
              <w:rPr>
                <w:sz w:val="19"/>
              </w:rPr>
              <w:t>Yahoo Finance, CoinGecko</w:t>
            </w:r>
          </w:p>
        </w:tc>
        <w:tc>
          <w:tcPr>
            <w:tcW w:type="dxa" w:w="3135"/>
          </w:tcPr>
          <w:p>
            <w:r>
              <w:rPr>
                <w:sz w:val="19"/>
              </w:rPr>
              <w:t>Public</w:t>
            </w:r>
          </w:p>
        </w:tc>
        <w:tc>
          <w:tcPr>
            <w:tcW w:type="dxa" w:w="3135"/>
          </w:tcPr>
          <w:p>
            <w:r>
              <w:rPr>
                <w:sz w:val="19"/>
              </w:rPr>
              <w:t>Gratuit</w:t>
            </w:r>
          </w:p>
        </w:tc>
      </w:tr>
      <w:tr>
        <w:tc>
          <w:tcPr>
            <w:tcW w:type="dxa" w:w="3135"/>
            <w:shd w:val="clear" w:color="auto" w:fill="F8F8F8"/>
          </w:tcPr>
          <w:p>
            <w:r>
              <w:rPr>
                <w:sz w:val="19"/>
              </w:rPr>
              <w:t>Alpha Vantage, Polygon, Quandl</w:t>
            </w:r>
          </w:p>
        </w:tc>
        <w:tc>
          <w:tcPr>
            <w:tcW w:type="dxa" w:w="3135"/>
            <w:shd w:val="clear" w:color="auto" w:fill="F8F8F8"/>
          </w:tcPr>
          <w:p>
            <w:r>
              <w:rPr>
                <w:sz w:val="19"/>
              </w:rPr>
              <w:t>Free tier</w:t>
            </w:r>
          </w:p>
        </w:tc>
        <w:tc>
          <w:tcPr>
            <w:tcW w:type="dxa" w:w="3135"/>
            <w:shd w:val="clear" w:color="auto" w:fill="F8F8F8"/>
          </w:tcPr>
          <w:p>
            <w:r>
              <w:rPr>
                <w:sz w:val="19"/>
              </w:rPr>
              <w:t>Gratuit</w:t>
            </w:r>
          </w:p>
        </w:tc>
      </w:tr>
    </w:tbl>
    <w:p/>
    <w:p>
      <w:pPr>
        <w:spacing w:after="60"/>
      </w:pPr>
      <w:r>
        <w:rPr>
          <w:color w:val="3B82F6"/>
          <w:sz w:val="20"/>
        </w:rPr>
        <w:t>Coût total pour lancer Nexus : 25 $ (20 $ Claude Pro + 5 $ crédit API Anthropic)</w:t>
      </w:r>
    </w:p>
    <w:p>
      <w:r>
        <w:br w:type="page"/>
      </w:r>
    </w:p>
    <w:p>
      <w:pPr>
        <w:spacing w:before="400" w:after="160"/>
        <w:jc w:val="left"/>
      </w:pPr>
      <w:r>
        <w:rPr>
          <w:b/>
          <w:color w:val="0A0A0A"/>
          <w:sz w:val="44"/>
        </w:rPr>
        <w:t>11. Roadmap de Développement</w:t>
      </w:r>
    </w:p>
    <w:p>
      <w:pPr>
        <w:spacing w:before="80" w:after="80"/>
        <w:pBdr>
          <w:bottom w:val="single" w:sz="4" w:space="1" w:color="DDDDDD"/>
        </w:pBdr>
      </w:pPr>
    </w:p>
    <w:p>
      <w:pPr>
        <w:spacing w:before="120"/>
      </w:pPr>
      <w:r>
        <w:rPr>
          <w:b/>
          <w:color w:val="3B82F6"/>
          <w:sz w:val="20"/>
        </w:rPr>
        <w:t xml:space="preserve">Étape 1 — Préparation  </w:t>
      </w:r>
      <w:r>
        <w:rPr>
          <w:color w:val="555555"/>
          <w:sz w:val="19"/>
        </w:rPr>
        <w:t>Récupérer toutes les clés APIs (FRED, Alpha Vantage, Polygon, Quandl, Supabase, Anthropic). Préparer le fichier .env. Rassembler ce cahier des charges.</w:t>
      </w:r>
    </w:p>
    <w:p>
      <w:pPr>
        <w:spacing w:before="120"/>
      </w:pPr>
      <w:r>
        <w:rPr>
          <w:b/>
          <w:color w:val="3B82F6"/>
          <w:sz w:val="20"/>
        </w:rPr>
        <w:t xml:space="preserve">Étape 2 — Squelette  </w:t>
      </w:r>
      <w:r>
        <w:rPr>
          <w:color w:val="555555"/>
          <w:sz w:val="19"/>
        </w:rPr>
        <w:t>Claude Code initialise le projet React. Structure navigation sidebar + barre du bas. Routing entre toutes les pages. Supabase Auth (inscription, connexion Google).</w:t>
      </w:r>
    </w:p>
    <w:p>
      <w:pPr>
        <w:spacing w:before="120"/>
      </w:pPr>
      <w:r>
        <w:rPr>
          <w:b/>
          <w:color w:val="3B82F6"/>
          <w:sz w:val="20"/>
        </w:rPr>
        <w:t xml:space="preserve">Étape 3 — Dashboard modulaire  </w:t>
      </w:r>
      <w:r>
        <w:rPr>
          <w:color w:val="555555"/>
          <w:sz w:val="19"/>
        </w:rPr>
        <w:t>React Grid Layout. Système de widgets drag &amp; drop. Sauvegarde configuration par utilisateur dans Supabase. Ticker band défilant.</w:t>
      </w:r>
    </w:p>
    <w:p>
      <w:pPr>
        <w:spacing w:before="120"/>
      </w:pPr>
      <w:r>
        <w:rPr>
          <w:b/>
          <w:color w:val="3B82F6"/>
          <w:sz w:val="20"/>
        </w:rPr>
        <w:t xml:space="preserve">Étape 4 — Données live page par page  </w:t>
      </w:r>
      <w:r>
        <w:rPr>
          <w:color w:val="555555"/>
          <w:sz w:val="19"/>
        </w:rPr>
        <w:t>Brancher Yahoo Finance en premier (validation du flux). Puis FRED, CoinGecko, Fear &amp; Greed, BCE, OCDE, Alpha Vantage, Polygon, Quandl. Une API à la fois, test à chaque étape.</w:t>
      </w:r>
    </w:p>
    <w:p>
      <w:pPr>
        <w:spacing w:before="120"/>
      </w:pPr>
      <w:r>
        <w:rPr>
          <w:b/>
          <w:color w:val="3B82F6"/>
          <w:sz w:val="20"/>
        </w:rPr>
        <w:t xml:space="preserve">Étape 5 — Globe 3D  </w:t>
      </w:r>
      <w:r>
        <w:rPr>
          <w:color w:val="555555"/>
          <w:sz w:val="19"/>
        </w:rPr>
        <w:t>Intégration Three.js / Globe.gl. Heatmap par pays. Tooltips au survol. Mode 2D/3D.</w:t>
      </w:r>
    </w:p>
    <w:p>
      <w:pPr>
        <w:spacing w:before="120"/>
      </w:pPr>
      <w:r>
        <w:rPr>
          <w:b/>
          <w:color w:val="3B82F6"/>
          <w:sz w:val="20"/>
        </w:rPr>
        <w:t xml:space="preserve">Étape 6 — Claude API  </w:t>
      </w:r>
      <w:r>
        <w:rPr>
          <w:color w:val="555555"/>
          <w:sz w:val="19"/>
        </w:rPr>
        <w:t>Widgets Nexus Analysis sur chaque indicateur. Analyse complète page Analyse. Scoring sentiment. Brief quotidien Dashboard.</w:t>
      </w:r>
    </w:p>
    <w:p>
      <w:pPr>
        <w:spacing w:before="120"/>
      </w:pPr>
      <w:r>
        <w:rPr>
          <w:b/>
          <w:color w:val="3B82F6"/>
          <w:sz w:val="20"/>
        </w:rPr>
        <w:t xml:space="preserve">Étape 7 — Paper Trading  </w:t>
      </w:r>
      <w:r>
        <w:rPr>
          <w:color w:val="555555"/>
          <w:sz w:val="19"/>
        </w:rPr>
        <w:t>Moteur d'achat/vente fictif. Calcul P&amp;L temps réel. Historique trades Supabase. Comparaison benchmark.</w:t>
      </w:r>
    </w:p>
    <w:p>
      <w:pPr>
        <w:spacing w:before="120"/>
      </w:pPr>
      <w:r>
        <w:rPr>
          <w:b/>
          <w:color w:val="3B82F6"/>
          <w:sz w:val="20"/>
        </w:rPr>
        <w:t xml:space="preserve">Étape 8 — Nexus Coach  </w:t>
      </w:r>
      <w:r>
        <w:rPr>
          <w:color w:val="555555"/>
          <w:sz w:val="19"/>
        </w:rPr>
        <w:t>Interface chat Claude. Injection contexte utilisateur (trades, historique). Suggestions rapides. Mémoire de session.</w:t>
      </w:r>
    </w:p>
    <w:p>
      <w:pPr>
        <w:spacing w:before="120"/>
      </w:pPr>
      <w:r>
        <w:rPr>
          <w:b/>
          <w:color w:val="3B82F6"/>
          <w:sz w:val="20"/>
        </w:rPr>
        <w:t xml:space="preserve">Étape 9 — Alertes Make.com  </w:t>
      </w:r>
      <w:r>
        <w:rPr>
          <w:color w:val="555555"/>
          <w:sz w:val="19"/>
        </w:rPr>
        <w:t>Scénarios automatisés : brief quotidien Telegram, alertes VIX, alertes favoris.</w:t>
      </w:r>
    </w:p>
    <w:p>
      <w:pPr>
        <w:spacing w:before="120"/>
      </w:pPr>
      <w:r>
        <w:rPr>
          <w:b/>
          <w:color w:val="3B82F6"/>
          <w:sz w:val="20"/>
        </w:rPr>
        <w:t xml:space="preserve">Étape 10 — Déploiement &amp; LinkedIn  </w:t>
      </w:r>
      <w:r>
        <w:rPr>
          <w:color w:val="555555"/>
          <w:sz w:val="19"/>
        </w:rPr>
        <w:t>GitHub → Vercel. Tests responsive. URL publique. Post LinkedIn avec démo.</w:t>
      </w:r>
    </w:p>
    <w:p>
      <w:r>
        <w:br w:type="page"/>
      </w:r>
    </w:p>
    <w:p>
      <w:pPr>
        <w:spacing w:before="400" w:after="160"/>
        <w:jc w:val="left"/>
      </w:pPr>
      <w:r>
        <w:rPr>
          <w:b/>
          <w:color w:val="0A0A0A"/>
          <w:sz w:val="44"/>
        </w:rPr>
        <w:t>12. Prompt de Démarrage — Claude Code</w:t>
      </w:r>
    </w:p>
    <w:p>
      <w:pPr>
        <w:spacing w:before="80" w:after="80"/>
        <w:pBdr>
          <w:bottom w:val="single" w:sz="4" w:space="1" w:color="DDDDDD"/>
        </w:pBdr>
      </w:pPr>
    </w:p>
    <w:p>
      <w:pPr>
        <w:spacing w:after="60"/>
      </w:pPr>
      <w:r>
        <w:rPr>
          <w:color w:val="222222"/>
          <w:sz w:val="20"/>
        </w:rPr>
        <w:t>Coller ce texte au début de la session Claude Code :</w:t>
      </w:r>
    </w:p>
    <w:p/>
    <w:tbl>
      <w:tblPr>
        <w:tblW w:type="auto" w:w="0"/>
        <w:tblLook w:firstColumn="1" w:firstRow="1" w:lastColumn="0" w:lastRow="0" w:noHBand="0" w:noVBand="1" w:val="04A0"/>
      </w:tblPr>
      <w:tblGrid>
        <w:gridCol w:w="9406"/>
      </w:tblGrid>
      <w:tr>
        <w:tc>
          <w:tcPr>
            <w:tcW w:type="dxa" w:w="9406"/>
            <w:shd w:val="clear" w:color="auto" w:fill="F0F7FF"/>
          </w:tcPr>
          <w:p>
            <w:r>
              <w:rPr>
                <w:color w:val="222222"/>
                <w:sz w:val="17"/>
              </w:rPr>
              <w:t>Tu vas construire Nexus, une application web financière complète.</w:t>
              <w:br/>
              <w:br/>
              <w:t>NOM : Nexus</w:t>
              <w:br/>
              <w:t>CONCEPT : Moteur d'analyse financière alimenté par Claude AI, agrégeant données de marché en temps réel.</w:t>
              <w:br/>
              <w:br/>
              <w:t>STACK : React + Tailwind CSS + Framer Motion + React Grid Layout + Three.js + Supabase + Vercel</w:t>
              <w:br/>
              <w:br/>
              <w:t>DESIGN : Fond #0A0A0A, cards #111111, bordures #2A2A2A (0.5px), texte blanc, accent bleu #3B82F6, vert #22C55E hausses, rouge #EF4444 baisses. Police Inter. Ticker band JetBrains Mono. Style Apple minimaliste futuriste. Aucun emoji. Icônes Tabler outline uniquement. Border-radius 16px. Aucune ombre.</w:t>
              <w:br/>
              <w:br/>
              <w:t>NAVIGATION :</w:t>
              <w:br/>
              <w:t>- Ticker band défilant tout en haut (prix live Yahoo Finance)</w:t>
              <w:br/>
              <w:t>- Sidebar gauche : Markets / Macro / Indicateurs avancés / Sentiment / Comparer / Calendrier / Paramètres</w:t>
              <w:br/>
              <w:t>- Barre du bas (4 onglets) : Dashboard / Analyse / Paper Trading / Nexus Coach</w:t>
              <w:br/>
              <w:t>- Transitions slide Framer Motion entre onglets barre du bas</w:t>
              <w:br/>
              <w:t>- Responsive : sidebar collapsed mobile, menu hamburger</w:t>
              <w:br/>
              <w:br/>
              <w:t>PAGES : Dashboard modulaire (React Grid Layout, drag &amp; drop, sauvegarde Supabase) / Analyse par actif / Markets (globe 3D Three.js heatmap) / Macro (FRED) / Indicateurs avancés / Sentiment / Comparer ETFs / Calendrier économique / Paper Trading (100k CHF fictifs, prix réels) / Nexus Coach (chat Claude avec contexte utilisateur)</w:t>
              <w:br/>
              <w:br/>
              <w:t>AUTH : Supabase Auth — email/password + Google OAuth. RLS activé.</w:t>
              <w:br/>
              <w:br/>
              <w:t>APIs SANS CLÉ : Yahoo Finance, Fear &amp; Greed CNN, CoinGecko, BCE, SEC EDGAR, OCDE</w:t>
              <w:br/>
              <w:t>APIs AVEC CLÉ (.env) : FRED, Alpha Vantage, Polygon.io, Quandl, Supabase, Anthropic</w:t>
              <w:br/>
              <w:br/>
              <w:t>CACHE : Yahoo Finance 15min / Fear &amp; Greed 1h / FRED 1j / AAII 1 semaine</w:t>
              <w:br/>
              <w:br/>
              <w:t>IA : Claude API Sonnet 4 pour analyses, widgets Nexus Analysis sur chaque indicateur, scoring sentiment, Nexus Coach avec injection contexte utilisateur.</w:t>
              <w:br/>
              <w:br/>
              <w:t>Commence par : initialiser le projet React, créer le fichier .env avec toutes les variables, mettre en place la navigation complète (sidebar + barre du bas + ticker band), puis Supabase Auth.</w:t>
            </w:r>
          </w:p>
        </w:tc>
      </w:tr>
    </w:tbl>
    <w:p/>
    <w:p>
      <w:pPr>
        <w:spacing w:before="80" w:after="80"/>
        <w:pBdr>
          <w:bottom w:val="single" w:sz="4" w:space="1" w:color="DDDDDD"/>
        </w:pBdr>
      </w:pPr>
    </w:p>
    <w:p>
      <w:pPr>
        <w:jc w:val="center"/>
      </w:pPr>
      <w:r>
        <w:rPr>
          <w:color w:val="BBBBBB"/>
          <w:sz w:val="18"/>
        </w:rPr>
        <w:t>Nexus — Cahier des charges v1.0 — Confidentiel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