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5236"/>
          <w:sz w:val="32"/>
        </w:rPr>
        <w:t>CONAMORE</w:t>
      </w:r>
    </w:p>
    <w:p>
      <w:pPr>
        <w:pStyle w:val="Title"/>
        <w:jc w:val="center"/>
      </w:pPr>
      <w:r>
        <w:t>Manual de Conferência da Folha de Pagamento</w:t>
      </w:r>
    </w:p>
    <w:p>
      <w:pPr>
        <w:jc w:val="center"/>
      </w:pPr>
      <w:r>
        <w:rPr>
          <w:sz w:val="28"/>
        </w:rPr>
        <w:t>Procedimento para análise mensal pela Maria — Agente de RH</w:t>
      </w:r>
    </w:p>
    <w:p>
      <w:pPr>
        <w:jc w:val="center"/>
      </w:pPr>
      <w:r>
        <w:rPr>
          <w:i/>
        </w:rPr>
        <w:t>Versão 1.0 | Base metodológica validada com a folha de maio/2026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DED5"/>
            <w:vAlign w:val="center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Padronizar a conferência da folha, encargos e guias das empresas da Conamore.</w:t>
            </w:r>
          </w:p>
        </w:tc>
      </w:tr>
      <w:tr>
        <w:tc>
          <w:tcPr>
            <w:tcW w:type="dxa" w:w="5112"/>
            <w:shd w:fill="E8DED5"/>
            <w:vAlign w:val="center"/>
          </w:tcPr>
          <w:p>
            <w:r/>
            <w:r>
              <w:rPr>
                <w:b/>
                <w:sz w:val="18"/>
              </w:rPr>
              <w:t>Responsável pela análise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Maria — Agente de RH</w:t>
            </w:r>
          </w:p>
        </w:tc>
      </w:tr>
      <w:tr>
        <w:tc>
          <w:tcPr>
            <w:tcW w:type="dxa" w:w="5112"/>
            <w:shd w:fill="E8DED5"/>
            <w:vAlign w:val="center"/>
          </w:tcPr>
          <w:p>
            <w:r/>
            <w:r>
              <w:rPr>
                <w:b/>
                <w:sz w:val="18"/>
              </w:rPr>
              <w:t>Escopo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Folha, eSocial, DCTFWeb/DARF, FGTS Digital, matriz e filial da SSL e empresas do Simples Nacional.</w:t>
            </w:r>
          </w:p>
        </w:tc>
      </w:tr>
      <w:tr>
        <w:tc>
          <w:tcPr>
            <w:tcW w:type="dxa" w:w="5112"/>
            <w:shd w:fill="E8DED5"/>
            <w:vAlign w:val="center"/>
          </w:tcPr>
          <w:p>
            <w:r/>
            <w:r>
              <w:rPr>
                <w:b/>
                <w:sz w:val="18"/>
              </w:rPr>
              <w:t>Regra central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Nenhuma divergência deve ser ajustada por suposição. Toda diferença deve ser demonstrada, classificada e encaminhada para validação.</w:t>
            </w:r>
          </w:p>
        </w:tc>
      </w:tr>
    </w:tbl>
    <w:p>
      <w:pPr>
        <w:jc w:val="center"/>
      </w:pPr>
      <w:r>
        <w:rPr>
          <w:i/>
        </w:rPr>
        <w:br/>
        <w:t>Documento interno — uso administrativo e de conferência</w:t>
      </w:r>
    </w:p>
    <w:p>
      <w:r>
        <w:br w:type="page"/>
      </w:r>
    </w:p>
    <w:p>
      <w:pPr>
        <w:pStyle w:val="Heading1"/>
      </w:pPr>
      <w:r>
        <w:t>1. Finalidade e resultado esperado</w:t>
      </w:r>
    </w:p>
    <w:p>
      <w:r>
        <w:t>Este manual transforma a análise realizada sobre a folha da Conamore em um procedimento mensal reproduzível. A Maria deverá receber os relatórios, organizar as bases, recalcular os principais encargos, comparar os valores com as guias emitidas pelo contador e produzir um relatório de divergências com evidências.</w:t>
      </w:r>
    </w:p>
    <w:p>
      <w:pPr>
        <w:pStyle w:val="ListBullet"/>
      </w:pPr>
      <w:r>
        <w:t>Confirmar se as bases de remuneração, INSS, FGTS, IRRF e encargos patronais estão coerentes.</w:t>
      </w:r>
    </w:p>
    <w:p>
      <w:pPr>
        <w:pStyle w:val="ListBullet"/>
      </w:pPr>
      <w:r>
        <w:t>Separar corretamente empresas do Lucro Real e empresas do Simples Nacional.</w:t>
      </w:r>
    </w:p>
    <w:p>
      <w:pPr>
        <w:pStyle w:val="ListBullet"/>
      </w:pPr>
      <w:r>
        <w:t>Conferir a SSL matriz e filial separadamente e depois reconciliar a guia consolidada na matriz.</w:t>
      </w:r>
    </w:p>
    <w:p>
      <w:pPr>
        <w:pStyle w:val="ListBullet"/>
      </w:pPr>
      <w:r>
        <w:t>Identificar diferenças por colaborador, rubrica, estabelecimento e código de receita.</w:t>
      </w:r>
    </w:p>
    <w:p>
      <w:pPr>
        <w:pStyle w:val="ListBullet"/>
      </w:pPr>
      <w:r>
        <w:t>Entregar uma conclusão objetiva: “sem divergência”, “divergência explicada” ou “divergência pendente de correção”.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r/>
            <w:r>
              <w:rPr>
                <w:b/>
                <w:sz w:val="18"/>
              </w:rPr>
              <w:t>IMPORTANTE: os valores históricos de maio/2026 servem como referência de validação do método, e não como valores fixos para meses futuros. Alíquotas, bases, compensações, benefícios e enquadramentos devem ser confirmados em cada competência.</w:t>
            </w:r>
          </w:p>
        </w:tc>
      </w:tr>
    </w:tbl>
    <w:p>
      <w:pPr>
        <w:pStyle w:val="Heading1"/>
      </w:pPr>
      <w:r>
        <w:t>2. Base histórica da análise realizada</w:t>
      </w:r>
    </w:p>
    <w:p>
      <w:r>
        <w:t>Na análise original, foram consolidadas seis empresas e examinados os relatórios de folha e as guias correspondentes. Os números abaixo registram o ponto de partida daquele trabalho: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 apurado na análise histórica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Empresas analisadas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Vínculos/holerites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Colaboradores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Salário-base total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R$ 214.413,93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de INSS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R$ 230.451,75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de FGTS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R$ 225.258,22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FGTS teórico a 8%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R$ 18.020,66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Líquido pago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R$ 140.089,95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Remuneração variável no Comercial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aprox. R$ 17 mil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Descontos de adiantamentos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aprox. R$ 64,9 mil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Faltas e atrasos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aprox. R$ 2,3 mil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Rescisões identificadas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>
      <w:r>
        <w:t>A primeira simulação das guias ficou em aproximadamente R$ 71,6 mil. Após a inclusão do RAT/FAP da SSL, o total estimado passou para aproximadamente R$ 73,5 mil. A comparação com os demonstrativos do contador permitiu refinar a metodologia e entender a composição correta da DCTFWeb.</w:t>
      </w:r>
    </w:p>
    <w:p>
      <w:pPr>
        <w:pStyle w:val="Heading1"/>
      </w:pPr>
      <w:r>
        <w:t>3. Estrutura tributária considerada</w:t>
      </w:r>
    </w:p>
    <w:p>
      <w:pPr>
        <w:pStyle w:val="Heading2"/>
      </w:pPr>
      <w:r>
        <w:t>3.1 SSL — Lucro Real</w:t>
      </w:r>
    </w:p>
    <w:p>
      <w:pPr>
        <w:pStyle w:val="ListBullet"/>
      </w:pPr>
      <w:r>
        <w:t>Empresas 1144 (matriz) e 1145 (filial).</w:t>
      </w:r>
    </w:p>
    <w:p>
      <w:pPr>
        <w:pStyle w:val="ListBullet"/>
      </w:pPr>
      <w:r>
        <w:t>A análise deve ser feita por estabelecimento e depois consolidada.</w:t>
      </w:r>
    </w:p>
    <w:p>
      <w:pPr>
        <w:pStyle w:val="ListBullet"/>
      </w:pPr>
      <w:r>
        <w:t>RAT do CNAE: 3,0%.</w:t>
      </w:r>
    </w:p>
    <w:p>
      <w:pPr>
        <w:pStyle w:val="ListBullet"/>
      </w:pPr>
      <w:r>
        <w:t>FAP validado: 0,5000.</w:t>
      </w:r>
    </w:p>
    <w:p>
      <w:pPr>
        <w:pStyle w:val="ListBullet"/>
      </w:pPr>
      <w:r>
        <w:t>RAT/GILRAT ajustado: 3,0% × 0,5000 = 1,5%.</w:t>
      </w:r>
    </w:p>
    <w:p>
      <w:pPr>
        <w:pStyle w:val="ListBullet"/>
      </w:pPr>
      <w:r>
        <w:t>CPP patronal: 20% sobre a base de empregados e 20% sobre contribuinte individual/pró-labore, observadas as regras vigentes.</w:t>
      </w:r>
    </w:p>
    <w:p>
      <w:pPr>
        <w:pStyle w:val="ListBullet"/>
      </w:pPr>
      <w:r>
        <w:t>Terceiros/Sistema S: 5,8% sobre a base de empregados, conforme enquadramento validado; não aplicar sobre pró-labore.</w:t>
      </w:r>
    </w:p>
    <w:p>
      <w:pPr>
        <w:pStyle w:val="Heading2"/>
      </w:pPr>
      <w:r>
        <w:t>3.2 Empresas do Simples Nacional</w:t>
      </w:r>
    </w:p>
    <w:p>
      <w:r>
        <w:t>Para ACL, GCL, BRG e demais empresas do Simples, não presumir automaticamente a existência de CPP patronal fora do DAS. A incidência depende do anexo, atividade, folha, segregação de receitas e eventual enquadramento no Anexo IV. A Maria deve conferir o relatório do contador e apontar o fundamento usado, sem aplicar a lógica da SSL indistintamente.</w:t>
      </w:r>
    </w:p>
    <w:p>
      <w:pPr>
        <w:pStyle w:val="Heading1"/>
      </w:pPr>
      <w:r>
        <w:t>4. Documentos necessários por competência</w:t>
      </w:r>
    </w:p>
    <w:p>
      <w:pPr>
        <w:pStyle w:val="ListBullet"/>
      </w:pPr>
      <w:r>
        <w:t>Resumo geral da folha por empresa e estabelecimento.</w:t>
      </w:r>
    </w:p>
    <w:p>
      <w:pPr>
        <w:pStyle w:val="ListBullet"/>
      </w:pPr>
      <w:r>
        <w:t>Relatório analítico por colaborador, com rubricas, bases e descontos.</w:t>
      </w:r>
    </w:p>
    <w:p>
      <w:pPr>
        <w:pStyle w:val="ListBullet"/>
      </w:pPr>
      <w:r>
        <w:t>Relatório de encargos por empresa.</w:t>
      </w:r>
    </w:p>
    <w:p>
      <w:pPr>
        <w:pStyle w:val="ListBullet"/>
      </w:pPr>
      <w:r>
        <w:t>Relatório de INSS por trabalhador e por lotação tributária.</w:t>
      </w:r>
    </w:p>
    <w:p>
      <w:pPr>
        <w:pStyle w:val="ListBullet"/>
      </w:pPr>
      <w:r>
        <w:t>Relatório de IRRF da folha.</w:t>
      </w:r>
    </w:p>
    <w:p>
      <w:pPr>
        <w:pStyle w:val="ListBullet"/>
      </w:pPr>
      <w:r>
        <w:t>Comprovante/relatório da DCTFWeb e DARF numerado.</w:t>
      </w:r>
    </w:p>
    <w:p>
      <w:pPr>
        <w:pStyle w:val="ListBullet"/>
      </w:pPr>
      <w:r>
        <w:t>Guia e relatório do FGTS Digital.</w:t>
      </w:r>
    </w:p>
    <w:p>
      <w:pPr>
        <w:pStyle w:val="ListBullet"/>
      </w:pPr>
      <w:r>
        <w:t>Folha de pró-labore e contribuintes individuais.</w:t>
      </w:r>
    </w:p>
    <w:p>
      <w:pPr>
        <w:pStyle w:val="ListBullet"/>
      </w:pPr>
      <w:r>
        <w:t>Relatórios de férias, rescisões, afastamentos e salário-maternidade.</w:t>
      </w:r>
    </w:p>
    <w:p>
      <w:pPr>
        <w:pStyle w:val="ListBullet"/>
      </w:pPr>
      <w:r>
        <w:t>Fechamento do eSocial e totalizadores, quando disponíveis.</w:t>
      </w:r>
    </w:p>
    <w:p>
      <w:pPr>
        <w:pStyle w:val="ListBullet"/>
      </w:pPr>
      <w:r>
        <w:t>Comprovantes de compensações, créditos ou deduções utilizados.</w:t>
      </w:r>
    </w:p>
    <w:p>
      <w:pPr>
        <w:pStyle w:val="ListBullet"/>
      </w:pPr>
      <w:r>
        <w:t>Relação de admissões, demissões, alterações salariais, faltas, variáveis e adiantamentos do mês.</w:t>
      </w:r>
    </w:p>
    <w:p>
      <w:pPr>
        <w:pStyle w:val="Heading1"/>
      </w:pPr>
      <w:r>
        <w:t>5. Procedimento mensal de conferência</w:t>
      </w:r>
    </w:p>
    <w:p>
      <w:pPr>
        <w:pStyle w:val="ListNumber"/>
      </w:pPr>
      <w:r>
        <w:rPr>
          <w:b/>
        </w:rPr>
        <w:t xml:space="preserve">Receber e identificar a competência: </w:t>
      </w:r>
      <w:r>
        <w:t>Confirmar mês/ano, empresas incluídas, estabelecimentos, data do fechamento e versão dos relatórios.</w:t>
      </w:r>
    </w:p>
    <w:p>
      <w:pPr>
        <w:pStyle w:val="ListNumber"/>
      </w:pPr>
      <w:r>
        <w:rPr>
          <w:b/>
        </w:rPr>
        <w:t xml:space="preserve">Validar a população da folha: </w:t>
      </w:r>
      <w:r>
        <w:t>Comparar quantidade de colaboradores, admissões, desligamentos, afastados, férias, pró-labore e rescisões.</w:t>
      </w:r>
    </w:p>
    <w:p>
      <w:pPr>
        <w:pStyle w:val="ListNumber"/>
      </w:pPr>
      <w:r>
        <w:rPr>
          <w:b/>
        </w:rPr>
        <w:t xml:space="preserve">Conferir remunerações: </w:t>
      </w:r>
      <w:r>
        <w:t>Somar salário-base, horas extras, comissões, prêmios, adicionais, férias, 13º, rescisões e demais verbas.</w:t>
      </w:r>
    </w:p>
    <w:p>
      <w:pPr>
        <w:pStyle w:val="ListNumber"/>
      </w:pPr>
      <w:r>
        <w:rPr>
          <w:b/>
        </w:rPr>
        <w:t xml:space="preserve">Conferir descontos: </w:t>
      </w:r>
      <w:r>
        <w:t>Revisar INSS, IRRF, faltas, atrasos, adiantamentos, benefícios, pensões e outros descontos.</w:t>
      </w:r>
    </w:p>
    <w:p>
      <w:pPr>
        <w:pStyle w:val="ListNumber"/>
      </w:pPr>
      <w:r>
        <w:rPr>
          <w:b/>
        </w:rPr>
        <w:t xml:space="preserve">Reconciliar bases: </w:t>
      </w:r>
      <w:r>
        <w:t>Comparar base de INSS, base de FGTS e base de IRRF com os relatórios analíticos.</w:t>
      </w:r>
    </w:p>
    <w:p>
      <w:pPr>
        <w:pStyle w:val="ListNumber"/>
      </w:pPr>
      <w:r>
        <w:rPr>
          <w:b/>
        </w:rPr>
        <w:t xml:space="preserve">Calcular encargos teóricos: </w:t>
      </w:r>
      <w:r>
        <w:t>Aplicar as regras da seção 6, separando empregados, pró-labore, matriz, filial e regimes tributários.</w:t>
      </w:r>
    </w:p>
    <w:p>
      <w:pPr>
        <w:pStyle w:val="ListNumber"/>
      </w:pPr>
      <w:r>
        <w:rPr>
          <w:b/>
        </w:rPr>
        <w:t xml:space="preserve">Comparar com guias: </w:t>
      </w:r>
      <w:r>
        <w:t>Reconciliar DCTFWeb/DARF e FGTS Digital por componente e código.</w:t>
      </w:r>
    </w:p>
    <w:p>
      <w:pPr>
        <w:pStyle w:val="ListNumber"/>
      </w:pPr>
      <w:r>
        <w:rPr>
          <w:b/>
        </w:rPr>
        <w:t xml:space="preserve">Investigar diferenças: </w:t>
      </w:r>
      <w:r>
        <w:t>Rastrear a diferença até colaborador, rubrica, estabelecimento, incidência ou compensação.</w:t>
      </w:r>
    </w:p>
    <w:p>
      <w:pPr>
        <w:pStyle w:val="ListNumber"/>
      </w:pPr>
      <w:r>
        <w:rPr>
          <w:b/>
        </w:rPr>
        <w:t xml:space="preserve">Emitir relatório: </w:t>
      </w:r>
      <w:r>
        <w:t>Apresentar resumo, divergências, explicações, riscos e ações recomendadas.</w:t>
      </w:r>
    </w:p>
    <w:p>
      <w:pPr>
        <w:pStyle w:val="ListNumber"/>
      </w:pPr>
      <w:r>
        <w:rPr>
          <w:b/>
        </w:rPr>
        <w:t xml:space="preserve">Arquivar evidências: </w:t>
      </w:r>
      <w:r>
        <w:t>Guardar planilha de cálculo, relatórios utilizados e versão final do parecer mensal.</w:t>
      </w:r>
    </w:p>
    <w:p>
      <w:pPr>
        <w:pStyle w:val="Heading1"/>
      </w:pPr>
      <w:r>
        <w:t>6. Fórmulas e regras de cálculo — SSL</w:t>
      </w:r>
    </w:p>
    <w:p>
      <w:pPr>
        <w:pStyle w:val="Heading2"/>
      </w:pPr>
      <w:r>
        <w:t>6.1 FGTS</w:t>
      </w:r>
    </w:p>
    <w:p>
      <w:r>
        <w:t>Fórmula básica de conferência:</w:t>
      </w:r>
    </w:p>
    <w:p>
      <w:pPr>
        <w:jc w:val="center"/>
      </w:pPr>
      <w:r>
        <w:rPr>
          <w:b/>
        </w:rPr>
        <w:t>FGTS teórico = Base de FGTS × 8%</w:t>
      </w:r>
    </w:p>
    <w:p>
      <w:pPr>
        <w:pStyle w:val="ListBullet"/>
      </w:pPr>
      <w:r>
        <w:t>Não aplicar 8% de forma cega em situações com alíquotas diferenciadas, aprendiz, rescisões, depósitos específicos ou ajustes.</w:t>
      </w:r>
    </w:p>
    <w:p>
      <w:pPr>
        <w:pStyle w:val="ListBullet"/>
      </w:pPr>
      <w:r>
        <w:t>Conferir a base por colaborador e a guia do FGTS Digital.</w:t>
      </w:r>
    </w:p>
    <w:p>
      <w:pPr>
        <w:pStyle w:val="Heading2"/>
      </w:pPr>
      <w:r>
        <w:t>6.2 INSS dos empregados</w:t>
      </w:r>
    </w:p>
    <w:p>
      <w:r>
        <w:t>Utilizar o valor efetivamente calculado pela tabela progressiva vigente, observando teto, múltiplos vínculos, férias, 13º e afastamentos. A conferência principal deve ser feita por trabalhador e depois somada.</w:t>
      </w:r>
    </w:p>
    <w:p>
      <w:pPr>
        <w:pStyle w:val="Heading2"/>
      </w:pPr>
      <w:r>
        <w:t>6.3 Contribuinte individual / pró-labore</w:t>
      </w:r>
    </w:p>
    <w:p>
      <w:pPr>
        <w:pStyle w:val="ListBullet"/>
      </w:pPr>
      <w:r>
        <w:t>Conferir o INSS retido do contribuinte individual conforme regra aplicável e teto previdenciário.</w:t>
      </w:r>
    </w:p>
    <w:p>
      <w:pPr>
        <w:pStyle w:val="ListBullet"/>
      </w:pPr>
      <w:r>
        <w:t>Calcular CPP patronal de 20% sobre a base de pró-labore/contribuinte individual na SSL.</w:t>
      </w:r>
    </w:p>
    <w:p>
      <w:pPr>
        <w:pStyle w:val="ListBullet"/>
      </w:pPr>
      <w:r>
        <w:t>Não aplicar RAT/GILRAT nem Terceiros sobre pró-labore.</w:t>
      </w:r>
    </w:p>
    <w:p>
      <w:pPr>
        <w:pStyle w:val="Heading2"/>
      </w:pPr>
      <w:r>
        <w:t>6.4 CPP patronal — empregados</w:t>
      </w:r>
    </w:p>
    <w:p>
      <w:pPr>
        <w:jc w:val="center"/>
      </w:pPr>
      <w:r>
        <w:rPr>
          <w:b/>
        </w:rPr>
        <w:t>CPP empregados = Base previdenciária patronal dos empregados × 20%</w:t>
      </w:r>
    </w:p>
    <w:p>
      <w:pPr>
        <w:pStyle w:val="Heading2"/>
      </w:pPr>
      <w:r>
        <w:t>6.5 RAT/GILRAT</w:t>
      </w:r>
    </w:p>
    <w:p>
      <w:pPr>
        <w:jc w:val="center"/>
      </w:pPr>
      <w:r>
        <w:rPr>
          <w:b/>
        </w:rPr>
        <w:t>RAT ajustado = RAT do CNAE × FAP = 3,0% × 0,5000 = 1,5%</w:t>
      </w:r>
    </w:p>
    <w:p>
      <w:pPr>
        <w:jc w:val="center"/>
      </w:pPr>
      <w:r>
        <w:rPr>
          <w:b/>
        </w:rPr>
        <w:t>RAT devido = Base previdenciária dos empregados × 1,5%</w:t>
      </w:r>
    </w:p>
    <w:p>
      <w:pPr>
        <w:pStyle w:val="ListBullet"/>
      </w:pPr>
      <w:r>
        <w:t>Aplicar somente à base dos empregados.</w:t>
      </w:r>
    </w:p>
    <w:p>
      <w:pPr>
        <w:pStyle w:val="ListBullet"/>
      </w:pPr>
      <w:r>
        <w:t>Não aplicar sobre pró-labore/contribuinte individual.</w:t>
      </w:r>
    </w:p>
    <w:p>
      <w:pPr>
        <w:pStyle w:val="ListBullet"/>
      </w:pPr>
      <w:r>
        <w:t>Revalidar o FAP anualmente ou quando houver alteração oficial.</w:t>
      </w:r>
    </w:p>
    <w:p>
      <w:pPr>
        <w:pStyle w:val="Heading2"/>
      </w:pPr>
      <w:r>
        <w:t>6.6 Terceiros / Sistema S</w:t>
      </w:r>
    </w:p>
    <w:p>
      <w:pPr>
        <w:jc w:val="center"/>
      </w:pPr>
      <w:r>
        <w:rPr>
          <w:b/>
        </w:rPr>
        <w:t>Terceiros = Base previdenciária dos empregados × 5,8%</w:t>
      </w:r>
    </w:p>
    <w:p>
      <w:pPr>
        <w:pStyle w:val="ListBullet"/>
      </w:pPr>
      <w:r>
        <w:t>Percentual usado no modelo validado; confirmar o enquadramento vigente.</w:t>
      </w:r>
    </w:p>
    <w:p>
      <w:pPr>
        <w:pStyle w:val="ListBullet"/>
      </w:pPr>
      <w:r>
        <w:t>Não aplicar sobre pró-labore/contribuinte individual.</w:t>
      </w:r>
    </w:p>
    <w:p>
      <w:pPr>
        <w:pStyle w:val="Heading2"/>
      </w:pPr>
      <w:r>
        <w:t>6.7 IRRF</w:t>
      </w:r>
    </w:p>
    <w:p>
      <w:r>
        <w:t>Somar o IRRF calculado na folha, incluindo eventos aplicáveis a empregados, férias, rescisões e pró-labore. Conferir se o valor está dentro da mesma guia ou período de apuração analisado.</w:t>
      </w:r>
    </w:p>
    <w:p>
      <w:pPr>
        <w:pStyle w:val="Heading2"/>
      </w:pPr>
      <w:r>
        <w:t>6.8 Deduções e compensações</w:t>
      </w:r>
    </w:p>
    <w:p>
      <w:pPr>
        <w:pStyle w:val="ListBullet"/>
      </w:pPr>
      <w:r>
        <w:t>Tratar salário-maternidade como dedução previdenciária quando demonstrado nos relatórios e totalizadores.</w:t>
      </w:r>
    </w:p>
    <w:p>
      <w:pPr>
        <w:pStyle w:val="ListBullet"/>
      </w:pPr>
      <w:r>
        <w:t>Identificar compensações, créditos, retenções e ajustes separadamente; nunca utilizá-los como “diferença residual”.</w:t>
      </w:r>
    </w:p>
    <w:p>
      <w:pPr>
        <w:pStyle w:val="ListBullet"/>
      </w:pPr>
      <w:r>
        <w:t>Exigir documento de suporte para qualquer redução do valor bruto calculado.</w:t>
      </w:r>
    </w:p>
    <w:p>
      <w:pPr>
        <w:pStyle w:val="Heading1"/>
      </w:pPr>
      <w:r>
        <w:t>7. Composição de referência da DCTFWeb/DARF</w:t>
      </w:r>
    </w:p>
    <w:p>
      <w:r>
        <w:t>A fórmula gerencial de conferência validada para a SSL é:</w:t>
      </w:r>
    </w:p>
    <w:p>
      <w:pPr>
        <w:jc w:val="center"/>
      </w:pPr>
      <w:r>
        <w:rPr>
          <w:b/>
        </w:rPr>
        <w:t>INSS empregados após deduções + INSS contribuinte individual/pró-labore + CPP empregados 20% + CPP contribuinte individual/pró-labore 20% + RAT/GILRAT 1,5% sobre empregados + Terceiros 5,8% sobre empregados + IRRF da folha − compensações/deduções legais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Código de referência</w:t>
            </w:r>
          </w:p>
        </w:tc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1082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INSS dos empregados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1099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Contribuinte individual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1138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CPP empregados e CPP contribuinte individual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1646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RAT/GILRAT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1170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Salário-Educação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1176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INCRA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1191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SENAC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1196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SESC</w:t>
            </w:r>
          </w:p>
        </w:tc>
      </w:tr>
    </w:tbl>
    <w:p>
      <w:r>
        <w:t>Observação: os códigos devem ser confirmados no demonstrativo da competência. Alterações de sistema, legislação ou enquadramento podem mudar a apresentação.</w:t>
      </w:r>
    </w:p>
    <w:p>
      <w:pPr>
        <w:pStyle w:val="Heading1"/>
      </w:pPr>
      <w:r>
        <w:t>8. Regra de conferência da SSL matriz e filial</w:t>
      </w:r>
    </w:p>
    <w:p>
      <w:pPr>
        <w:pStyle w:val="ListNumber"/>
      </w:pPr>
      <w:r>
        <w:t>Calcular a folha da matriz 1144 separadamente.</w:t>
      </w:r>
    </w:p>
    <w:p>
      <w:pPr>
        <w:pStyle w:val="ListNumber"/>
      </w:pPr>
      <w:r>
        <w:t>Calcular a folha da filial 1145 separadamente.</w:t>
      </w:r>
    </w:p>
    <w:p>
      <w:pPr>
        <w:pStyle w:val="ListNumber"/>
      </w:pPr>
      <w:r>
        <w:t>Conferir bases e encargos de cada estabelecimento.</w:t>
      </w:r>
    </w:p>
    <w:p>
      <w:pPr>
        <w:pStyle w:val="ListNumber"/>
      </w:pPr>
      <w:r>
        <w:t>Somar matriz e filial por componente: empregados, pró-labore, CPP, RAT, Terceiros, IRRF e deduções.</w:t>
      </w:r>
    </w:p>
    <w:p>
      <w:pPr>
        <w:pStyle w:val="ListNumber"/>
      </w:pPr>
      <w:r>
        <w:t>Comparar o total consolidado com a guia emitida na matriz.</w:t>
      </w:r>
    </w:p>
    <w:p>
      <w:pPr>
        <w:pStyle w:val="ListNumber"/>
      </w:pPr>
      <w:r>
        <w:t>Não aceitar uma conciliação apenas pelo total geral. Uma compensação indevida entre componentes pode esconder erro de incidência.</w:t>
      </w:r>
    </w:p>
    <w:p>
      <w:pPr>
        <w:pStyle w:val="Heading1"/>
      </w:pPr>
      <w:r>
        <w:t>9. Testes obrigatórios e sinais de alerta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Sinal de alerta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Variação de headcount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Mudança sem admissão, demissão ou transferência registrada.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Salário-base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Diferença relevante em relação ao mês anterior sem reajuste documentado.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Variáveis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Comissões, bônus ou horas extras fora do padrão ou sem relatório de origem.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Adiantamentos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Descontos elevados sem correspondência com pagamentos anteriores.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Faltas e atrasos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Valor incompatível com apontamentos de jornada.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INSS x remuneração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Rubrica tributável fora da base ou verba indenizatória incluída indevidamente.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FGTS x INSS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Diferença sem evento que justifique incidência distinta.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RAT/Terceiros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Aplicação sobre pró-labore ou percentual incorreto.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Salário-maternidade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Dedução sem colaboradora/evento correspondente ou ausência de dedução válida.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Rescisões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FGTS, multa, INSS e IRRF incompatíveis com o termo rescisório.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Guia consolidada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bate, mas os componentes internos divergem.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Simples Nacional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Aplicação indevida da lógica de CPP da SSL.</w:t>
            </w:r>
          </w:p>
        </w:tc>
      </w:tr>
    </w:tbl>
    <w:p>
      <w:pPr>
        <w:pStyle w:val="Heading1"/>
      </w:pPr>
      <w:r>
        <w:t>10. Protocolo para divergências</w:t>
      </w:r>
    </w:p>
    <w:p>
      <w:r>
        <w:t>Toda divergência deve ser registrada com a seguinte estrutura:</w:t>
      </w:r>
    </w:p>
    <w:p>
      <w:pPr>
        <w:pStyle w:val="ListBullet"/>
      </w:pPr>
      <w:r>
        <w:t>Empresa e estabelecimento</w:t>
      </w:r>
    </w:p>
    <w:p>
      <w:pPr>
        <w:pStyle w:val="ListBullet"/>
      </w:pPr>
      <w:r>
        <w:t>Competência</w:t>
      </w:r>
    </w:p>
    <w:p>
      <w:pPr>
        <w:pStyle w:val="ListBullet"/>
      </w:pPr>
      <w:r>
        <w:t>Relatório/guia afetado</w:t>
      </w:r>
    </w:p>
    <w:p>
      <w:pPr>
        <w:pStyle w:val="ListBullet"/>
      </w:pPr>
      <w:r>
        <w:t>Componente ou código</w:t>
      </w:r>
    </w:p>
    <w:p>
      <w:pPr>
        <w:pStyle w:val="ListBullet"/>
      </w:pPr>
      <w:r>
        <w:t>Valor esperado</w:t>
      </w:r>
    </w:p>
    <w:p>
      <w:pPr>
        <w:pStyle w:val="ListBullet"/>
      </w:pPr>
      <w:r>
        <w:t>Valor apresentado</w:t>
      </w:r>
    </w:p>
    <w:p>
      <w:pPr>
        <w:pStyle w:val="ListBullet"/>
      </w:pPr>
      <w:r>
        <w:t>Diferença absoluta e percentual</w:t>
      </w:r>
    </w:p>
    <w:p>
      <w:pPr>
        <w:pStyle w:val="ListBullet"/>
      </w:pPr>
      <w:r>
        <w:t>Colaboradores/rubricas envolvidos</w:t>
      </w:r>
    </w:p>
    <w:p>
      <w:pPr>
        <w:pStyle w:val="ListBullet"/>
      </w:pPr>
      <w:r>
        <w:t>Hipótese da causa</w:t>
      </w:r>
    </w:p>
    <w:p>
      <w:pPr>
        <w:pStyle w:val="ListBullet"/>
      </w:pPr>
      <w:r>
        <w:t>Evidência encontrada</w:t>
      </w:r>
    </w:p>
    <w:p>
      <w:pPr>
        <w:pStyle w:val="ListBullet"/>
      </w:pPr>
      <w:r>
        <w:t>Responsável pela correção</w:t>
      </w:r>
    </w:p>
    <w:p>
      <w:pPr>
        <w:pStyle w:val="ListBullet"/>
      </w:pPr>
      <w:r>
        <w:t>Prazo 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5112"/>
            <w:shd w:fill="6F4E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— Erro confirmado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Cálculo, incidência, cadastro ou guia incorreta.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 — Diferença explicada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Diferença legítima por compensação, teto, afastamento, incidência distinta ou evento específico.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 — Pendente de evidência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Não foi possível concluir com os documentos recebidos.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 — Risco relevante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Diferença com potencial fiscal, trabalhista ou financeiro que exige validação imediata.</w:t>
            </w:r>
          </w:p>
        </w:tc>
      </w:tr>
    </w:tbl>
    <w:p>
      <w:pPr>
        <w:pStyle w:val="Heading1"/>
      </w:pPr>
      <w:r>
        <w:t>11. Modelo de relatório mensal da Maria</w:t>
      </w:r>
    </w:p>
    <w:p>
      <w:r>
        <w:t>A resposta mensal deve seguir este formato: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0ED"/>
            <w:vAlign w:val="center"/>
          </w:tcPr>
          <w:p>
            <w:r/>
            <w:r>
              <w:rPr>
                <w:b w:val="0"/>
                <w:sz w:val="18"/>
              </w:rPr>
              <w:t>1. Competência e empresas analisadas</w:t>
              <w:br/>
              <w:t>2. Documentos recebidos e documentos ausentes</w:t>
              <w:br/>
              <w:t>3. Resumo da folha: headcount, remuneração, bases, descontos e líquido</w:t>
              <w:br/>
              <w:t>4. Encargos calculados: INSS, CPP, RAT, Terceiros, IRRF e FGTS</w:t>
              <w:br/>
              <w:t>5. Conciliação da SSL: matriz, filial e total da guia</w:t>
              <w:br/>
              <w:t>6. Conferência das empresas do Simples</w:t>
              <w:br/>
              <w:t>7. Divergências encontradas</w:t>
              <w:br/>
              <w:t>8. Explicações e evidências</w:t>
              <w:br/>
              <w:t>9. Riscos e impacto financeiro</w:t>
              <w:br/>
              <w:t>10. Ações recomendadas e responsáveis</w:t>
              <w:br/>
              <w:t>11. Conclusão: sem divergência / divergência explicada / correção necessária</w:t>
            </w:r>
          </w:p>
        </w:tc>
      </w:tr>
    </w:tbl>
    <w:p>
      <w:pPr>
        <w:pStyle w:val="Heading1"/>
      </w:pPr>
      <w:r>
        <w:t>12. Instrução operacional para a Maria — Agente de RH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DED5"/>
            <w:vAlign w:val="center"/>
          </w:tcPr>
          <w:p>
            <w:r/>
            <w:r>
              <w:rPr>
                <w:b w:val="0"/>
                <w:sz w:val="18"/>
              </w:rPr>
              <w:t>Você é a Maria, agente de RH da Conamore. Sua função é conferir mensalmente a folha de pagamento e as guias relacionadas. Trabalhe por empresa, estabelecimento, colaborador, rubrica e componente de guia. Para a SSL (Lucro Real), analise 1144 matriz e 1145 filial separadamente e depois consolide. Use como referência: CPP de 20%; RAT ajustado de 1,5% sobre empregados; Terceiros de 5,8% sobre empregados; RAT e Terceiros não incidem sobre pró-labore; salário-maternidade pode ser dedução previdenciária quando comprovado. Confira INSS de empregados, INSS de contribuinte individual, CPP, RAT, Terceiros, IRRF, FGTS, deduções e compensações. Para empresas do Simples, não replique automaticamente a lógica da SSL; confirme o anexo e o tratamento informado pelo contador. Nunca force um fechamento por diferença residual. Demonstre fórmulas, valores e fontes. Classifique cada divergência, indique impacto e proponha ação. Caso falte documento, declare a limitação e liste exatamente o que é necessário para concluir.</w:t>
            </w:r>
          </w:p>
        </w:tc>
      </w:tr>
    </w:tbl>
    <w:p>
      <w:pPr>
        <w:pStyle w:val="Heading1"/>
      </w:pPr>
      <w:r>
        <w:t>13. Checklist final antes de aprovar</w:t>
      </w:r>
    </w:p>
    <w:p>
      <w:r>
        <w:rPr>
          <w:b/>
        </w:rPr>
        <w:t xml:space="preserve">☐ </w:t>
      </w:r>
      <w:r>
        <w:t>Todas as empresas e estabelecimentos foram incluídos.</w:t>
      </w:r>
    </w:p>
    <w:p>
      <w:r>
        <w:rPr>
          <w:b/>
        </w:rPr>
        <w:t xml:space="preserve">☐ </w:t>
      </w:r>
      <w:r>
        <w:t>Headcount reconciliado com admissões, desligamentos e afastamentos.</w:t>
      </w:r>
    </w:p>
    <w:p>
      <w:r>
        <w:rPr>
          <w:b/>
        </w:rPr>
        <w:t xml:space="preserve">☐ </w:t>
      </w:r>
      <w:r>
        <w:t>Salários, variáveis, férias e rescisões conferidos.</w:t>
      </w:r>
    </w:p>
    <w:p>
      <w:r>
        <w:rPr>
          <w:b/>
        </w:rPr>
        <w:t xml:space="preserve">☐ </w:t>
      </w:r>
      <w:r>
        <w:t>Bases de INSS, FGTS e IRRF reconciliadas.</w:t>
      </w:r>
    </w:p>
    <w:p>
      <w:r>
        <w:rPr>
          <w:b/>
        </w:rPr>
        <w:t xml:space="preserve">☐ </w:t>
      </w:r>
      <w:r>
        <w:t>Pró-labore separado dos empregados.</w:t>
      </w:r>
    </w:p>
    <w:p>
      <w:r>
        <w:rPr>
          <w:b/>
        </w:rPr>
        <w:t xml:space="preserve">☐ </w:t>
      </w:r>
      <w:r>
        <w:t>CPP de empregados e contribuinte individual conferida.</w:t>
      </w:r>
    </w:p>
    <w:p>
      <w:r>
        <w:rPr>
          <w:b/>
        </w:rPr>
        <w:t xml:space="preserve">☐ </w:t>
      </w:r>
      <w:r>
        <w:t>RAT de 1,5% aplicado apenas sobre empregados da SSL.</w:t>
      </w:r>
    </w:p>
    <w:p>
      <w:r>
        <w:rPr>
          <w:b/>
        </w:rPr>
        <w:t xml:space="preserve">☐ </w:t>
      </w:r>
      <w:r>
        <w:t>Terceiros de 5,8% aplicados apenas sobre empregados da SSL.</w:t>
      </w:r>
    </w:p>
    <w:p>
      <w:r>
        <w:rPr>
          <w:b/>
        </w:rPr>
        <w:t xml:space="preserve">☐ </w:t>
      </w:r>
      <w:r>
        <w:t>Deduções e compensações possuem evidência.</w:t>
      </w:r>
    </w:p>
    <w:p>
      <w:r>
        <w:rPr>
          <w:b/>
        </w:rPr>
        <w:t xml:space="preserve">☐ </w:t>
      </w:r>
      <w:r>
        <w:t>Matriz e filial conferidas separadamente.</w:t>
      </w:r>
    </w:p>
    <w:p>
      <w:r>
        <w:rPr>
          <w:b/>
        </w:rPr>
        <w:t xml:space="preserve">☐ </w:t>
      </w:r>
      <w:r>
        <w:t>Guia consolidada reconciliada por componente, não apenas pelo total.</w:t>
      </w:r>
    </w:p>
    <w:p>
      <w:r>
        <w:rPr>
          <w:b/>
        </w:rPr>
        <w:t xml:space="preserve">☐ </w:t>
      </w:r>
      <w:r>
        <w:t>Empresas do Simples analisadas segundo seu enquadramento.</w:t>
      </w:r>
    </w:p>
    <w:p>
      <w:r>
        <w:rPr>
          <w:b/>
        </w:rPr>
        <w:t xml:space="preserve">☐ </w:t>
      </w:r>
      <w:r>
        <w:t>Divergências classificadas e quantificadas.</w:t>
      </w:r>
    </w:p>
    <w:p>
      <w:r>
        <w:rPr>
          <w:b/>
        </w:rPr>
        <w:t xml:space="preserve">☐ </w:t>
      </w:r>
      <w:r>
        <w:t>Relatório final arquivado com os documentos de suporte.</w:t>
      </w:r>
    </w:p>
    <w:p>
      <w:pPr>
        <w:pStyle w:val="Heading1"/>
      </w:pPr>
      <w:r>
        <w:t>14. Governança e atualização do manual</w:t>
      </w:r>
    </w:p>
    <w:p>
      <w:pPr>
        <w:pStyle w:val="ListBullet"/>
      </w:pPr>
      <w:r>
        <w:t>Atualizar este manual quando houver mudança de regime tributário, CNAE, FAP, lotação tributária ou estrutura societária.</w:t>
      </w:r>
    </w:p>
    <w:p>
      <w:pPr>
        <w:pStyle w:val="ListBullet"/>
      </w:pPr>
      <w:r>
        <w:t>Revalidar anualmente o FAP e os percentuais de Terceiros.</w:t>
      </w:r>
    </w:p>
    <w:p>
      <w:pPr>
        <w:pStyle w:val="ListBullet"/>
      </w:pPr>
      <w:r>
        <w:t>Registrar a versão do sistema de folha e do eSocial quando houver alteração relevante.</w:t>
      </w:r>
    </w:p>
    <w:p>
      <w:pPr>
        <w:pStyle w:val="ListBullet"/>
      </w:pPr>
      <w:r>
        <w:t>Submeter dúvidas jurídicas, fiscais ou previdenciárias ao contador ou consultor responsável antes de corrigir a folha.</w:t>
      </w:r>
    </w:p>
    <w:p>
      <w:pPr>
        <w:pStyle w:val="ListBullet"/>
      </w:pPr>
      <w:r>
        <w:t>Manter histórico mensal das divergências para identificar reincidências e melhorar o processo.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Conamore | Manual de Conferência da Folha de Pagamento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439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85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2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439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