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Custom"/>
      </w:pPr>
      <w:r>
        <w:t>GUIA OPERACIONAL</w:t>
      </w:r>
    </w:p>
    <w:p>
      <w:pPr>
        <w:pStyle w:val="TitleCustom"/>
      </w:pPr>
      <w:r>
        <w:t>Acesso às marcações de ponto — BRG e Conamore Filial</w:t>
      </w:r>
    </w:p>
    <w:p>
      <w:r>
        <w:rPr>
          <w:b/>
        </w:rPr>
        <w:t xml:space="preserve">Destinatária: </w:t>
      </w:r>
      <w:r>
        <w:t>Fabrícia</w:t>
      </w:r>
      <w:r>
        <w:rPr>
          <w:b/>
        </w:rPr>
        <w:t xml:space="preserve">  |  Sistema: </w:t>
      </w:r>
      <w:r>
        <w:t>Secullum RH</w:t>
      </w:r>
      <w:r>
        <w:rPr>
          <w:b/>
        </w:rPr>
        <w:t xml:space="preserve">  |  Versão: </w:t>
      </w:r>
      <w:r>
        <w:t>1.0 — 08/10/2026</w:t>
      </w:r>
    </w:p>
    <w:p>
      <w:r>
        <w:rPr>
          <w:b/>
        </w:rPr>
        <w:t xml:space="preserve">Classificação: </w:t>
      </w:r>
      <w:r>
        <w:t>uso interno e confidencial. O procedimento é somente para consulta e coleta; não autoriza alterações no ponto.</w:t>
      </w:r>
    </w:p>
    <w:p>
      <w:pPr>
        <w:pStyle w:val="Heading1"/>
      </w:pPr>
      <w:r>
        <w:t>1. Objetivo</w:t>
      </w:r>
    </w:p>
    <w:p>
      <w:r>
        <w:t>Orientar a Fabrícia a consultar e coletar as marcações de ponto das unidades BRG e Conamore Filial, com separação correta das empresas e proteção dos dados dos colaboradores.</w:t>
      </w:r>
    </w:p>
    <w:p>
      <w:pPr>
        <w:pStyle w:val="Heading1"/>
      </w:pPr>
      <w:r>
        <w:t>2. Antes de começar</w:t>
      </w:r>
    </w:p>
    <w:p>
      <w:r>
        <w:t>Utilize somente seu próprio usuário do Secullum RH. Não compartilhe senha, não use o acesso de outra pessoa e não envie credenciais por WhatsApp, Telegram ou e-mail.</w:t>
      </w:r>
    </w:p>
    <w:p>
      <w:r>
        <w:t>O perfil precisa ter permissão de consulta para:</w:t>
      </w:r>
    </w:p>
    <w:p>
      <w:pPr>
        <w:pStyle w:val="ListBullet"/>
      </w:pPr>
      <w:r>
        <w:t>BRG: CONAMORE BRG CAMA MESA E BANHO LTDA. — CNPJ 31.970.383/0001-54.</w:t>
      </w:r>
    </w:p>
    <w:p>
      <w:pPr>
        <w:pStyle w:val="ListBullet"/>
      </w:pPr>
      <w:r>
        <w:t>Conamore Filial: CONAMORE SSL CAMA MESA E BANHO LTDA FILIAL — CNPJ 16.499.070/0002-57.</w:t>
      </w:r>
    </w:p>
    <w:p>
      <w:r>
        <w:rPr>
          <w:b/>
        </w:rPr>
        <w:t xml:space="preserve">Se uma empresa não aparecer: </w:t>
      </w:r>
      <w:r>
        <w:t>pare e solicite ao RH/TI a revisão das permissões. Não tente contornar o bloqueio.</w:t>
      </w:r>
    </w:p>
    <w:p>
      <w:pPr>
        <w:pStyle w:val="Heading1"/>
      </w:pPr>
      <w:r>
        <w:t>3. Acessar o Secullum RH</w:t>
      </w:r>
    </w:p>
    <w:p>
      <w:pPr>
        <w:pStyle w:val="ListNumber"/>
      </w:pPr>
      <w:r>
        <w:t>Abra o navegador e acesse o portal oficial do Secullum RH.</w:t>
      </w:r>
    </w:p>
    <w:p>
      <w:pPr>
        <w:pStyle w:val="ListNumber"/>
      </w:pPr>
      <w:r>
        <w:t>Clique em Acessar Secullum RH.</w:t>
      </w:r>
    </w:p>
    <w:p>
      <w:pPr>
        <w:pStyle w:val="ListNumber"/>
      </w:pPr>
      <w:r>
        <w:t>Informe o e-mail do seu usuário e a senha pessoal.</w:t>
      </w:r>
    </w:p>
    <w:p>
      <w:pPr>
        <w:pStyle w:val="ListNumber"/>
      </w:pPr>
      <w:r>
        <w:t>Se o sistema pedir a seleção de banco ou ambiente, escolha o ambiente da Conamore.</w:t>
      </w:r>
    </w:p>
    <w:p>
      <w:pPr>
        <w:pStyle w:val="ListNumber"/>
      </w:pPr>
      <w:r>
        <w:t>Aguarde a abertura da página inicial.</w:t>
      </w:r>
    </w:p>
    <w:p>
      <w:r>
        <w:t>O sistema pode apresentar pequenas diferenças após atualizações. Procure sempre Ponto Diário, Ponto ou Relatórios de Ponto.</w:t>
      </w:r>
    </w:p>
    <w:p>
      <w:pPr>
        <w:pStyle w:val="Heading1"/>
      </w:pPr>
      <w:r>
        <w:t>4. Consultar as marcações</w:t>
      </w:r>
    </w:p>
    <w:p>
      <w:pPr>
        <w:pStyle w:val="ListNumber"/>
      </w:pPr>
      <w:r>
        <w:t>Abra Ponto Diário. Em algumas versões, o caminho pode aparecer como Relatórios &gt; Ponto Diário.</w:t>
      </w:r>
    </w:p>
    <w:p>
      <w:pPr>
        <w:pStyle w:val="ListNumber"/>
      </w:pPr>
      <w:r>
        <w:t>Abra os Filtros, normalmente representados por um botão de filtro ou funil.</w:t>
      </w:r>
    </w:p>
    <w:p>
      <w:pPr>
        <w:pStyle w:val="ListNumber"/>
      </w:pPr>
      <w:r>
        <w:t>Informe a data inicial e a data final desejadas.</w:t>
      </w:r>
    </w:p>
    <w:p>
      <w:pPr>
        <w:pStyle w:val="ListNumber"/>
      </w:pPr>
      <w:r>
        <w:t>No campo Empresa, selecione somente uma unidade por vez.</w:t>
      </w:r>
    </w:p>
    <w:p>
      <w:pPr>
        <w:pStyle w:val="ListNumber"/>
      </w:pPr>
      <w:r>
        <w:t>Primeiro consulte CONAMORE BRG CAMA MESA E BANHO LTDA.</w:t>
      </w:r>
    </w:p>
    <w:p>
      <w:pPr>
        <w:pStyle w:val="ListNumber"/>
      </w:pPr>
      <w:r>
        <w:t>Depois repita o procedimento para CONAMORE SSL CAMA MESA E BANHO LTDA FILIAL.</w:t>
      </w:r>
    </w:p>
    <w:p>
      <w:pPr>
        <w:pStyle w:val="ListNumber"/>
      </w:pPr>
      <w:r>
        <w:t>Para consultar toda a unidade, deixe Funcionário/Colaborador sem seleção.</w:t>
      </w:r>
    </w:p>
    <w:p>
      <w:pPr>
        <w:pStyle w:val="ListNumber"/>
      </w:pPr>
      <w:r>
        <w:t>Clique em Pesquisar, Aplicar, Atualizar ou botão equivalente.</w:t>
      </w:r>
    </w:p>
    <w:p>
      <w:pPr>
        <w:pStyle w:val="ListNumber"/>
      </w:pPr>
      <w:r>
        <w:t>Antes de copiar ou exportar, confira novamente a empresa e o período exibidos no filtro.</w:t>
      </w:r>
    </w:p>
    <w:p>
      <w:pPr>
        <w:pStyle w:val="Heading1"/>
      </w:pPr>
      <w:r>
        <w:t>5. Dados a coletar</w:t>
      </w:r>
    </w:p>
    <w:p>
      <w:r>
        <w:t>Registre somente os dados necessários para a conferência:</w:t>
      </w:r>
    </w:p>
    <w:p>
      <w:pPr>
        <w:pStyle w:val="ListBullet"/>
      </w:pPr>
      <w:r>
        <w:t>empresa/unidade, nome do colaborador e data;</w:t>
      </w:r>
    </w:p>
    <w:p>
      <w:pPr>
        <w:pStyle w:val="ListBullet"/>
      </w:pPr>
      <w:r>
        <w:t>Entrada 1, Saída 1, Entrada 2 e Saída 2;</w:t>
      </w:r>
    </w:p>
    <w:p>
      <w:pPr>
        <w:pStyle w:val="ListBullet"/>
      </w:pPr>
      <w:r>
        <w:t>marcações adicionais, quando houver;</w:t>
      </w:r>
    </w:p>
    <w:p>
      <w:pPr>
        <w:pStyle w:val="ListBullet"/>
      </w:pPr>
      <w:r>
        <w:t>situação exibida: folga, férias, atestado, feriado, compensação ou outra ocorrência;</w:t>
      </w:r>
    </w:p>
    <w:p>
      <w:pPr>
        <w:pStyle w:val="ListBullet"/>
      </w:pPr>
      <w:r>
        <w:t>observação de conferência, quando houver inconsistência.</w:t>
      </w:r>
    </w:p>
    <w:p>
      <w:r>
        <w:rPr>
          <w:b/>
        </w:rPr>
        <w:t xml:space="preserve">Modelo de planilha: </w:t>
      </w:r>
      <w:r>
        <w:t>Empresa | Colaborador | Data | Entrada 1 | Saída 1 | Entrada 2 | Saída 2 | Entrada 3 | Saída 3 | Situação | Observação</w:t>
      </w:r>
    </w:p>
    <w:p>
      <w:r>
        <w:t>Não inclua CPF, PIS, endereço, dados bancários, documentos médicos ou outras informações pessoais desnecessárias.</w:t>
      </w:r>
    </w:p>
    <w:p>
      <w:pPr>
        <w:pStyle w:val="Heading1"/>
      </w:pPr>
      <w:r>
        <w:t>6. Exportar ou salvar</w:t>
      </w:r>
    </w:p>
    <w:p>
      <w:pPr>
        <w:pStyle w:val="ListNumber"/>
      </w:pPr>
      <w:r>
        <w:t>Depois de conferir empresa e período, procure Exportar, Excel, Imprimir ou opção equivalente disponível no perfil.</w:t>
      </w:r>
    </w:p>
    <w:p>
      <w:pPr>
        <w:pStyle w:val="ListNumber"/>
      </w:pPr>
      <w:r>
        <w:t>Escolha preferencialmente Excel/XLSX, quando disponível.</w:t>
      </w:r>
    </w:p>
    <w:p>
      <w:pPr>
        <w:pStyle w:val="ListNumber"/>
      </w:pPr>
      <w:r>
        <w:t>Para BRG, use o nome Ponto_BRG_AAAA-MM-DD_a_AAAA-MM-DD.xlsx.</w:t>
      </w:r>
    </w:p>
    <w:p>
      <w:pPr>
        <w:pStyle w:val="ListNumber"/>
      </w:pPr>
      <w:r>
        <w:t>Para a filial, use Ponto_Conamore_Filial_AAAA-MM-DD_a_AAAA-MM-DD.xlsx.</w:t>
      </w:r>
    </w:p>
    <w:p>
      <w:pPr>
        <w:pStyle w:val="ListNumber"/>
      </w:pPr>
      <w:r>
        <w:t>Salve o arquivo somente na pasta interna autorizada pela empresa.</w:t>
      </w:r>
    </w:p>
    <w:p>
      <w:pPr>
        <w:pStyle w:val="ListNumber"/>
      </w:pPr>
      <w:r>
        <w:t>Não encaminhe planilhas para grupos, contatos externos ou dispositivos pessoais.</w:t>
      </w:r>
    </w:p>
    <w:p>
      <w:pPr>
        <w:pStyle w:val="Heading1"/>
      </w:pPr>
      <w:r>
        <w:t>7. Conferência obrigatória</w:t>
      </w:r>
    </w:p>
    <w:p>
      <w:pPr>
        <w:pStyle w:val="ListBullet"/>
      </w:pPr>
      <w:r>
        <w:t>A empresa selecionada é BRG ou Conamore Filial.</w:t>
      </w:r>
    </w:p>
    <w:p>
      <w:pPr>
        <w:pStyle w:val="ListBullet"/>
      </w:pPr>
      <w:r>
        <w:t>O período está correto.</w:t>
      </w:r>
    </w:p>
    <w:p>
      <w:pPr>
        <w:pStyle w:val="ListBullet"/>
      </w:pPr>
      <w:r>
        <w:t>Todos os colaboradores esperados aparecem.</w:t>
      </w:r>
    </w:p>
    <w:p>
      <w:pPr>
        <w:pStyle w:val="ListBullet"/>
      </w:pPr>
      <w:r>
        <w:t>Os horários estão separados por dia.</w:t>
      </w:r>
    </w:p>
    <w:p>
      <w:pPr>
        <w:pStyle w:val="ListBullet"/>
      </w:pPr>
      <w:r>
        <w:t>Folgas, férias, atestados e feriados estão identificados.</w:t>
      </w:r>
    </w:p>
    <w:p>
      <w:pPr>
        <w:pStyle w:val="ListBullet"/>
      </w:pPr>
      <w:r>
        <w:t>Os arquivos das duas empresas foram gerados separadamente.</w:t>
      </w:r>
    </w:p>
    <w:p>
      <w:pPr>
        <w:pStyle w:val="ListBullet"/>
      </w:pPr>
      <w:r>
        <w:t>Nenhum dado pessoal desnecessário foi incluído.</w:t>
      </w:r>
    </w:p>
    <w:p>
      <w:pPr>
        <w:pStyle w:val="ListBullet"/>
      </w:pPr>
      <w:r>
        <w:t>Nenhuma marcação foi alterada.</w:t>
      </w:r>
    </w:p>
    <w:p>
      <w:pPr>
        <w:pStyle w:val="Heading1"/>
      </w:pPr>
      <w:r>
        <w:t>8. Regras de interpretação</w:t>
      </w:r>
    </w:p>
    <w:p>
      <w:pPr>
        <w:pStyle w:val="ListBullet"/>
      </w:pPr>
      <w:r>
        <w:t>Uma linha sem horário não significa automaticamente falta; pode haver folga, férias, atestado, feriado, afastamento, compensação ou processamento pendente.</w:t>
      </w:r>
    </w:p>
    <w:p>
      <w:pPr>
        <w:pStyle w:val="ListBullet"/>
      </w:pPr>
      <w:r>
        <w:t>Textos como FOLGA, FÉRIAS ou ATESTADO são situações do ponto, não horários de batida.</w:t>
      </w:r>
    </w:p>
    <w:p>
      <w:pPr>
        <w:pStyle w:val="ListBullet"/>
      </w:pPr>
      <w:r>
        <w:t>Uma quantidade ímpar de horários indica pendência para conferência, não irregularidade confirmada.</w:t>
      </w:r>
    </w:p>
    <w:p>
      <w:pPr>
        <w:pStyle w:val="ListBullet"/>
      </w:pPr>
      <w:r>
        <w:t>Marcações do dia atual podem estar incompletas ou aguardando sincronização.</w:t>
      </w:r>
    </w:p>
    <w:p>
      <w:pPr>
        <w:pStyle w:val="ListBullet"/>
      </w:pPr>
      <w:r>
        <w:t>A Fabrícia deve coletar e sinalizar divergências, mas não inserir, excluir ou corrigir batidas sem autorização do RH.</w:t>
      </w:r>
    </w:p>
    <w:p>
      <w:pPr>
        <w:pStyle w:val="Heading1"/>
      </w:pPr>
      <w:r>
        <w:t>9. Quando pedir ajuda</w:t>
      </w:r>
    </w:p>
    <w:p>
      <w:r>
        <w:t>Acione o RH quando uma empresa não aparecer, um colaborador estiver ausente da relação, houver quantidade ímpar de batidas, um dia útil estiver sem horário e sem justificativa, a tela divergir do arquivo exportado ou o sistema solicitar permissão para alterar ou recalcular o ponto.</w:t>
      </w:r>
    </w:p>
    <w:p>
      <w:pPr>
        <w:pStyle w:val="Heading1"/>
      </w:pPr>
      <w:r>
        <w:t>10. Regra final</w:t>
      </w:r>
    </w:p>
    <w:p>
      <w:r>
        <w:rPr>
          <w:b/>
        </w:rPr>
        <w:t xml:space="preserve">O acesso da Fabrícia é somente para consulta e coleta. </w:t>
      </w:r>
      <w:r>
        <w:t>Inclusão, exclusão, ajuste, abono, fechamento ou qualquer alteração das marcações depende de autorização do RH/Departamento Pessoal.</w:t>
      </w:r>
    </w:p>
    <w:p>
      <w:r>
        <w:t>Responsável pelo procedimento: Recursos Humanos — Lojas Conamore.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Uso interno e confidencial — Guia Secullum RH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LOJAS CONAMORE — RECURSOS HUMANOS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rPr>
      <w:rFonts w:ascii="Aptos Display" w:hAnsi="Aptos Display"/>
      <w:b/>
      <w:color w:val="1F4E78"/>
      <w:sz w:val="40"/>
    </w:rPr>
  </w:style>
  <w:style w:type="paragraph" w:customStyle="1" w:styleId="SubtitleCustom">
    <w:name w:val="SubtitleCustom"/>
    <w:basedOn w:val="Normal"/>
    <w:rPr>
      <w:rFonts w:ascii="Aptos" w:hAnsi="Aptos"/>
      <w:i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