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52"/>
        </w:rPr>
        <w:br/>
        <w:br/>
        <w:t>DOSSIÊ MESTRE</w:t>
      </w:r>
    </w:p>
    <w:p>
      <w:pPr>
        <w:jc w:val="center"/>
      </w:pPr>
      <w:r>
        <w:rPr>
          <w:b/>
          <w:sz w:val="48"/>
        </w:rPr>
        <w:t>CASO ÁTILA</w:t>
      </w:r>
    </w:p>
    <w:p>
      <w:pPr>
        <w:jc w:val="center"/>
      </w:pPr>
      <w:r>
        <w:rPr>
          <w:sz w:val="28"/>
        </w:rPr>
        <w:t>Acidente de trabalho, afastamento previdenciário e retorno com restrições</w:t>
      </w:r>
    </w:p>
    <w:p>
      <w:r>
        <w:br/>
      </w:r>
    </w:p>
    <w:p>
      <w:pPr>
        <w:jc w:val="center"/>
      </w:pPr>
      <w:r>
        <w:rPr>
          <w:b/>
          <w:sz w:val="26"/>
        </w:rPr>
        <w:t>CONAMORE BRG CAMA, MESA E BANHO LTDA</w:t>
      </w:r>
    </w:p>
    <w:p>
      <w:pPr>
        <w:jc w:val="center"/>
      </w:pPr>
      <w:r>
        <w:rPr>
          <w:i/>
        </w:rPr>
        <w:t>Documento interno para uso do RH, Jurídico e agente Hermes</w:t>
      </w:r>
    </w:p>
    <w:p>
      <w:r>
        <w:br/>
        <w:br/>
      </w:r>
    </w:p>
    <w:tbl>
      <w:tblPr>
        <w:tblW w:type="auto" w:w="0"/>
        <w:jc w:val="center"/>
        <w:tblLook w:firstColumn="1" w:firstRow="1" w:lastColumn="0" w:lastRow="0" w:noHBand="0" w:noVBand="1" w:val="04A0"/>
      </w:tblPr>
      <w:tblGrid>
        <w:gridCol w:w="9859"/>
      </w:tblGrid>
      <w:tr>
        <w:tc>
          <w:tcPr>
            <w:tcW w:type="dxa" w:w="9859"/>
            <w:shd w:fill="EDEDED"/>
            <w:vAlign w:val="center"/>
          </w:tcPr>
          <w:p>
            <w:pPr>
              <w:jc w:val="center"/>
            </w:pPr>
            <w:r>
              <w:rPr>
                <w:b/>
                <w:sz w:val="20"/>
              </w:rPr>
              <w:t>Documento confidencial. Contém dados pessoais, informações médicas e dados previdenciários. Uso restrito à Conamore e aos profissionais autorizados.</w:t>
            </w:r>
          </w:p>
        </w:tc>
      </w:tr>
    </w:tbl>
    <w:p>
      <w:r>
        <w:br/>
      </w:r>
    </w:p>
    <w:p>
      <w:pPr>
        <w:jc w:val="center"/>
      </w:pPr>
      <w:r>
        <w:t>Versão consolidada em 23/07/2026</w:t>
      </w:r>
    </w:p>
    <w:p>
      <w:r>
        <w:br w:type="page"/>
      </w:r>
    </w:p>
    <w:p>
      <w:pPr>
        <w:pStyle w:val="Heading1"/>
      </w:pPr>
      <w:r>
        <w:t>1. Finalidade e escopo</w:t>
      </w:r>
    </w:p>
    <w:p>
      <w:r>
        <w:t>Este dossiê consolida o histórico conhecido do caso envolvendo o colaborador Antonio Átila Lima Oliveira de Carvalho, desde o acidente de trabalho ocorrido em fevereiro de 2026 até o retorno ao trabalho com restrições médicas temporárias em julho de 2026.</w:t>
      </w:r>
    </w:p>
    <w:p>
      <w:r>
        <w:t>O documento foi estruturado para permitir que o RH, o Jurídico e o agente Hermes retomem o caso sem depender da reconstrução de conversas dispersas. Ele separa fatos documentados, informações relatadas internamente, análises preliminares e pendências ainda não esclarecidas.</w:t>
      </w:r>
    </w:p>
    <w:p>
      <w:r>
        <w:t>Base utilizada: cronologia preparada pela Conamore, CAT, atestados e relatórios médicos, mensagens de WhatsApp, protocolos informados, ASO de retorno ao trabalho e relatório de restrições.</w:t>
      </w:r>
    </w:p>
    <w:p>
      <w:pPr>
        <w:pStyle w:val="Heading1"/>
      </w:pPr>
      <w:r>
        <w:t>2. Identificação das partes</w:t>
      </w:r>
    </w:p>
    <w:tbl>
      <w:tblPr>
        <w:tblStyle w:val="TableGrid"/>
        <w:tblW w:type="auto" w:w="0"/>
        <w:jc w:val="center"/>
        <w:tblLook w:firstColumn="1" w:firstRow="1" w:lastColumn="0" w:lastRow="0" w:noHBand="0" w:noVBand="1" w:val="04A0"/>
      </w:tblPr>
      <w:tblGrid>
        <w:gridCol w:w="4929"/>
        <w:gridCol w:w="4929"/>
      </w:tblGrid>
      <w:tr>
        <w:trPr>
          <w:tblHeader w:val="true"/>
        </w:trPr>
        <w:tc>
          <w:tcPr>
            <w:tcW w:type="dxa" w:w="4929"/>
            <w:shd w:fill="D9E2F3"/>
          </w:tcPr>
          <w:p>
            <w:r>
              <w:t>Campo</w:t>
            </w:r>
          </w:p>
        </w:tc>
        <w:tc>
          <w:tcPr>
            <w:tcW w:type="dxa" w:w="4929"/>
            <w:shd w:fill="D9E2F3"/>
          </w:tcPr>
          <w:p>
            <w:r>
              <w:t>Informação</w:t>
            </w:r>
          </w:p>
        </w:tc>
      </w:tr>
      <w:tr>
        <w:tc>
          <w:tcPr>
            <w:tcW w:type="dxa" w:w="4929"/>
          </w:tcPr>
          <w:p>
            <w:r>
              <w:t>Empresa</w:t>
            </w:r>
          </w:p>
        </w:tc>
        <w:tc>
          <w:tcPr>
            <w:tcW w:type="dxa" w:w="4929"/>
          </w:tcPr>
          <w:p>
            <w:r>
              <w:t>CONAMORE BRG CAMA, MESA E BANHO LTDA</w:t>
            </w:r>
          </w:p>
        </w:tc>
      </w:tr>
      <w:tr>
        <w:tc>
          <w:tcPr>
            <w:tcW w:type="dxa" w:w="4929"/>
          </w:tcPr>
          <w:p>
            <w:r>
              <w:t>CNPJ</w:t>
            </w:r>
          </w:p>
        </w:tc>
        <w:tc>
          <w:tcPr>
            <w:tcW w:type="dxa" w:w="4929"/>
          </w:tcPr>
          <w:p>
            <w:r>
              <w:t>31.970.383/0001-54</w:t>
            </w:r>
          </w:p>
        </w:tc>
      </w:tr>
      <w:tr>
        <w:tc>
          <w:tcPr>
            <w:tcW w:type="dxa" w:w="4929"/>
          </w:tcPr>
          <w:p>
            <w:r>
              <w:t>Colaborador</w:t>
            </w:r>
          </w:p>
        </w:tc>
        <w:tc>
          <w:tcPr>
            <w:tcW w:type="dxa" w:w="4929"/>
          </w:tcPr>
          <w:p>
            <w:r>
              <w:t>ANTONIO ATILA LIMA OLIVEIRA DE CARVALHO</w:t>
            </w:r>
          </w:p>
        </w:tc>
      </w:tr>
      <w:tr>
        <w:tc>
          <w:tcPr>
            <w:tcW w:type="dxa" w:w="4929"/>
          </w:tcPr>
          <w:p>
            <w:r>
              <w:t>Data de nascimento</w:t>
            </w:r>
          </w:p>
        </w:tc>
        <w:tc>
          <w:tcPr>
            <w:tcW w:type="dxa" w:w="4929"/>
          </w:tcPr>
          <w:p>
            <w:r>
              <w:t>22/09/1982</w:t>
            </w:r>
          </w:p>
        </w:tc>
      </w:tr>
      <w:tr>
        <w:tc>
          <w:tcPr>
            <w:tcW w:type="dxa" w:w="4929"/>
          </w:tcPr>
          <w:p>
            <w:r>
              <w:t>Cargo</w:t>
            </w:r>
          </w:p>
        </w:tc>
        <w:tc>
          <w:tcPr>
            <w:tcW w:type="dxa" w:w="4929"/>
          </w:tcPr>
          <w:p>
            <w:r>
              <w:t>Cortador</w:t>
            </w:r>
          </w:p>
        </w:tc>
      </w:tr>
      <w:tr>
        <w:tc>
          <w:tcPr>
            <w:tcW w:type="dxa" w:w="4929"/>
          </w:tcPr>
          <w:p>
            <w:r>
              <w:t>Setor</w:t>
            </w:r>
          </w:p>
        </w:tc>
        <w:tc>
          <w:tcPr>
            <w:tcW w:type="dxa" w:w="4929"/>
          </w:tcPr>
          <w:p>
            <w:r>
              <w:t>Produção – Corte de Tecidos</w:t>
            </w:r>
          </w:p>
        </w:tc>
      </w:tr>
      <w:tr>
        <w:tc>
          <w:tcPr>
            <w:tcW w:type="dxa" w:w="4929"/>
          </w:tcPr>
          <w:p>
            <w:r>
              <w:t>Matrícula</w:t>
            </w:r>
          </w:p>
        </w:tc>
        <w:tc>
          <w:tcPr>
            <w:tcW w:type="dxa" w:w="4929"/>
          </w:tcPr>
          <w:p>
            <w:r>
              <w:t>COL641815883000000012657</w:t>
            </w:r>
          </w:p>
        </w:tc>
      </w:tr>
      <w:tr>
        <w:tc>
          <w:tcPr>
            <w:tcW w:type="dxa" w:w="4929"/>
          </w:tcPr>
          <w:p>
            <w:r>
              <w:t>Médico responsável pelo PCMSO</w:t>
            </w:r>
          </w:p>
        </w:tc>
        <w:tc>
          <w:tcPr>
            <w:tcW w:type="dxa" w:w="4929"/>
          </w:tcPr>
          <w:p>
            <w:r>
              <w:t>Ronyvaldo de Godoy Bueno – CRM/SP 83.879 – RQE 62.610</w:t>
            </w:r>
          </w:p>
        </w:tc>
      </w:tr>
      <w:tr>
        <w:tc>
          <w:tcPr>
            <w:tcW w:type="dxa" w:w="4929"/>
          </w:tcPr>
          <w:p>
            <w:r>
              <w:t>Clínica ocupacional</w:t>
            </w:r>
          </w:p>
        </w:tc>
        <w:tc>
          <w:tcPr>
            <w:tcW w:type="dxa" w:w="4929"/>
          </w:tcPr>
          <w:p>
            <w:r>
              <w:t>Work Medicina Ocupacional Ltda.</w:t>
            </w:r>
          </w:p>
        </w:tc>
      </w:tr>
    </w:tbl>
    <w:p>
      <w:r>
        <w:t>Observação de privacidade: o CPF do colaborador consta nos documentos médicos originais, mas não foi repetido neste dossiê além do estritamente necessário.</w:t>
      </w:r>
    </w:p>
    <w:p>
      <w:pPr>
        <w:pStyle w:val="Heading1"/>
      </w:pPr>
      <w:r>
        <w:t>3. Resumo executivo</w:t>
      </w:r>
    </w:p>
    <w:p>
      <w:r>
        <w:t>Em 24/02/2026, Átila sofreu lesão enquanto carregava um rolo de tecido durante o trabalho. A Conamore emitiu a CAT e recebeu sucessivos atestados médicos. A empresa pagou os primeiros 15 dias de afastamento e, a partir de então, o caso passou para a esfera previdenciária.</w:t>
      </w:r>
    </w:p>
    <w:p>
      <w:r>
        <w:t>O primeiro requerimento de benefício ao INSS foi indeferido após erro no ano informado no pedido. O colaborador solicitou revisão administrativa e, posteriormente, foi feito novo requerimento com base em atestado de 60 dias emitido em 19/05/2026.</w:t>
      </w:r>
    </w:p>
    <w:p>
      <w:r>
        <w:t>Durante o período sem benefício, o RH manteve contato, recebeu protocolos, tentou obter informações pelo telefone 135 e, por impedimento de sigilo, convidou o colaborador a comparecer à empresa para realizar a ligação ao INSS ao lado da Isabel, do RH.</w:t>
      </w:r>
    </w:p>
    <w:p>
      <w:r>
        <w:t>Em julho, o colaborador pediu avaliação de retorno. Em 20/07/2026, o ASO o considerou apto para a função, mas o relatório complementar impôs restrições temporárias por 30 dias: carga zero, ausência de movimentos repetitivos com o membro superior direito e ausência de esforço intenso, com nova avaliação laboral ao final do período.</w:t>
      </w:r>
    </w:p>
    <w:p>
      <w:pPr>
        <w:pStyle w:val="Heading1"/>
      </w:pPr>
      <w:r>
        <w:t>4. Linha do tempo consolidada</w:t>
      </w:r>
    </w:p>
    <w:tbl>
      <w:tblPr>
        <w:tblStyle w:val="TableGrid"/>
        <w:tblW w:type="auto" w:w="0"/>
        <w:jc w:val="center"/>
        <w:tblLook w:firstColumn="1" w:firstRow="1" w:lastColumn="0" w:lastRow="0" w:noHBand="0" w:noVBand="1" w:val="04A0"/>
      </w:tblPr>
      <w:tblGrid>
        <w:gridCol w:w="1814"/>
        <w:gridCol w:w="4929"/>
      </w:tblGrid>
      <w:tr>
        <w:trPr>
          <w:tblHeader w:val="true"/>
        </w:trPr>
        <w:tc>
          <w:tcPr>
            <w:tcW w:type="dxa" w:w="4929"/>
            <w:shd w:fill="D9E2F3"/>
          </w:tcPr>
          <w:p>
            <w:r>
              <w:t>Data</w:t>
            </w:r>
          </w:p>
        </w:tc>
        <w:tc>
          <w:tcPr>
            <w:tcW w:type="dxa" w:w="4929"/>
            <w:shd w:fill="D9E2F3"/>
          </w:tcPr>
          <w:p>
            <w:r>
              <w:t>Fato</w:t>
            </w:r>
          </w:p>
        </w:tc>
      </w:tr>
      <w:tr>
        <w:tc>
          <w:tcPr>
            <w:tcW w:type="dxa" w:w="1814"/>
          </w:tcPr>
          <w:p>
            <w:r>
              <w:t>24/02/2026</w:t>
            </w:r>
          </w:p>
        </w:tc>
        <w:tc>
          <w:tcPr>
            <w:tcW w:type="dxa" w:w="4929"/>
          </w:tcPr>
          <w:p>
            <w:r>
              <w:t>Ocorrência do acidente de trabalho ao carregar rolo de tecido. Emissão de CAT. Primeiro atestado por 7 dias, de 24/02 a 02/03.</w:t>
            </w:r>
          </w:p>
        </w:tc>
      </w:tr>
      <w:tr>
        <w:tc>
          <w:tcPr>
            <w:tcW w:type="dxa" w:w="1814"/>
          </w:tcPr>
          <w:p>
            <w:r>
              <w:t>02/03/2026</w:t>
            </w:r>
          </w:p>
        </w:tc>
        <w:tc>
          <w:tcPr>
            <w:tcW w:type="dxa" w:w="4929"/>
          </w:tcPr>
          <w:p>
            <w:r>
              <w:t>Segundo atestado, por 5 dias, de 02/03 a 06/03.</w:t>
            </w:r>
          </w:p>
        </w:tc>
      </w:tr>
      <w:tr>
        <w:tc>
          <w:tcPr>
            <w:tcW w:type="dxa" w:w="1814"/>
          </w:tcPr>
          <w:p>
            <w:r>
              <w:t>03/03/2026</w:t>
            </w:r>
          </w:p>
        </w:tc>
        <w:tc>
          <w:tcPr>
            <w:tcW w:type="dxa" w:w="4929"/>
          </w:tcPr>
          <w:p>
            <w:r>
              <w:t>Terceiro atestado, por 30 dias, de 03/03 a 01/04.</w:t>
            </w:r>
          </w:p>
        </w:tc>
      </w:tr>
      <w:tr>
        <w:tc>
          <w:tcPr>
            <w:tcW w:type="dxa" w:w="1814"/>
          </w:tcPr>
          <w:p>
            <w:r>
              <w:t>09/03/2026</w:t>
            </w:r>
          </w:p>
        </w:tc>
        <w:tc>
          <w:tcPr>
            <w:tcW w:type="dxa" w:w="4929"/>
          </w:tcPr>
          <w:p>
            <w:r>
              <w:t>Emissão de declaração da empresa destinada ao INSS.</w:t>
            </w:r>
          </w:p>
        </w:tc>
      </w:tr>
      <w:tr>
        <w:tc>
          <w:tcPr>
            <w:tcW w:type="dxa" w:w="1814"/>
          </w:tcPr>
          <w:p>
            <w:r>
              <w:t>12/03/2026</w:t>
            </w:r>
          </w:p>
        </w:tc>
        <w:tc>
          <w:tcPr>
            <w:tcW w:type="dxa" w:w="4929"/>
          </w:tcPr>
          <w:p>
            <w:r>
              <w:t>RH perguntou ao colaborador se o afastamento perante o INSS havia dado certo.</w:t>
            </w:r>
          </w:p>
        </w:tc>
      </w:tr>
      <w:tr>
        <w:tc>
          <w:tcPr>
            <w:tcW w:type="dxa" w:w="1814"/>
          </w:tcPr>
          <w:p>
            <w:r>
              <w:t>31/03/2026</w:t>
            </w:r>
          </w:p>
        </w:tc>
        <w:tc>
          <w:tcPr>
            <w:tcW w:type="dxa" w:w="4929"/>
          </w:tcPr>
          <w:p>
            <w:r>
              <w:t>Colaborador informou por áudio que havia dado entrada no INSS e enviou novo atestado e requisição de fisioterapia. Quarto atestado por 30 dias, de 31/03 a 29/04.</w:t>
            </w:r>
          </w:p>
        </w:tc>
      </w:tr>
      <w:tr>
        <w:tc>
          <w:tcPr>
            <w:tcW w:type="dxa" w:w="1814"/>
          </w:tcPr>
          <w:p>
            <w:r>
              <w:t>04/05/2026</w:t>
            </w:r>
          </w:p>
        </w:tc>
        <w:tc>
          <w:tcPr>
            <w:tcW w:type="dxa" w:w="4929"/>
          </w:tcPr>
          <w:p>
            <w:r>
              <w:t>Colaborador informou dificuldade para renovar atestado, relatou limitações e explicou que o pedido no INSS havia sido prejudicado por erro de data. Após consulta jurídica, foi solicitado registro manuscrito da decisão de aguardar a resposta do INSS.</w:t>
            </w:r>
          </w:p>
        </w:tc>
      </w:tr>
      <w:tr>
        <w:tc>
          <w:tcPr>
            <w:tcW w:type="dxa" w:w="1814"/>
          </w:tcPr>
          <w:p>
            <w:r>
              <w:t>19/05/2026</w:t>
            </w:r>
          </w:p>
        </w:tc>
        <w:tc>
          <w:tcPr>
            <w:tcW w:type="dxa" w:w="4929"/>
          </w:tcPr>
          <w:p>
            <w:r>
              <w:t>Quinto atestado, por 60 dias, com término previsto em 17/07/2026.</w:t>
            </w:r>
          </w:p>
        </w:tc>
      </w:tr>
      <w:tr>
        <w:tc>
          <w:tcPr>
            <w:tcW w:type="dxa" w:w="1814"/>
          </w:tcPr>
          <w:p>
            <w:r>
              <w:t>28/05/2026</w:t>
            </w:r>
          </w:p>
        </w:tc>
        <w:tc>
          <w:tcPr>
            <w:tcW w:type="dxa" w:w="4929"/>
          </w:tcPr>
          <w:p>
            <w:r>
              <w:t>Colaborador enviou mensagem relatando aproximadamente 90 dias sem salário/benefício e solicitando apoio e orientação da empresa.</w:t>
            </w:r>
          </w:p>
        </w:tc>
      </w:tr>
      <w:tr>
        <w:tc>
          <w:tcPr>
            <w:tcW w:type="dxa" w:w="1814"/>
          </w:tcPr>
          <w:p>
            <w:r>
              <w:t>Semana seguinte</w:t>
            </w:r>
          </w:p>
        </w:tc>
        <w:tc>
          <w:tcPr>
            <w:tcW w:type="dxa" w:w="4929"/>
          </w:tcPr>
          <w:p>
            <w:r>
              <w:t>Isabel respondeu por WhatsApp, recebeu os protocolos e tentou obter informações pelo 135. O INSS informou que só poderia prestar detalhes ao próprio titular, por sigilo.</w:t>
            </w:r>
          </w:p>
        </w:tc>
      </w:tr>
      <w:tr>
        <w:tc>
          <w:tcPr>
            <w:tcW w:type="dxa" w:w="1814"/>
          </w:tcPr>
          <w:p>
            <w:r>
              <w:t>Data posterior</w:t>
            </w:r>
          </w:p>
        </w:tc>
        <w:tc>
          <w:tcPr>
            <w:tcW w:type="dxa" w:w="4929"/>
          </w:tcPr>
          <w:p>
            <w:r>
              <w:t>Isabel convidou Átila a comparecer à Conamore para ligar ao 135 na presença do RH, permitindo acompanhamento e auxílio na conversa.</w:t>
            </w:r>
          </w:p>
        </w:tc>
      </w:tr>
      <w:tr>
        <w:tc>
          <w:tcPr>
            <w:tcW w:type="dxa" w:w="1814"/>
          </w:tcPr>
          <w:p>
            <w:r>
              <w:t>10/06/2026</w:t>
            </w:r>
          </w:p>
        </w:tc>
        <w:tc>
          <w:tcPr>
            <w:tcW w:type="dxa" w:w="4929"/>
          </w:tcPr>
          <w:p>
            <w:r>
              <w:t>Segundo relato do cônjuge de Átila, houve novo contato com o INSS e novo pedido de benefício usando o atestado de 60 dias emitido em 19/05/2026. O recurso administrativo do primeiro pedido continuaria em andamento.</w:t>
            </w:r>
          </w:p>
        </w:tc>
      </w:tr>
      <w:tr>
        <w:tc>
          <w:tcPr>
            <w:tcW w:type="dxa" w:w="1814"/>
          </w:tcPr>
          <w:p>
            <w:r>
              <w:t>Data posterior</w:t>
            </w:r>
          </w:p>
        </w:tc>
        <w:tc>
          <w:tcPr>
            <w:tcW w:type="dxa" w:w="4929"/>
          </w:tcPr>
          <w:p>
            <w:r>
              <w:t>O cônjuge questionou a interrupção do recolhimento do INSS em 31/03/2026 e perguntou se teria ocorrido desligamento. Isabel esclareceu que o contrato permanecia ativo e que a interrupção se relacionava ao afastamento após os 15 primeiros dias.</w:t>
            </w:r>
          </w:p>
        </w:tc>
      </w:tr>
      <w:tr>
        <w:tc>
          <w:tcPr>
            <w:tcW w:type="dxa" w:w="1814"/>
          </w:tcPr>
          <w:p>
            <w:r>
              <w:t>Data posterior</w:t>
            </w:r>
          </w:p>
        </w:tc>
        <w:tc>
          <w:tcPr>
            <w:tcW w:type="dxa" w:w="4929"/>
          </w:tcPr>
          <w:p>
            <w:r>
              <w:t>O cônjuge perguntou sobre avaliação pelo médico do trabalho. Isabel respondeu de forma polida, informando que consultaria o médico, sem negar a avaliação.</w:t>
            </w:r>
          </w:p>
        </w:tc>
      </w:tr>
      <w:tr>
        <w:tc>
          <w:tcPr>
            <w:tcW w:type="dxa" w:w="1814"/>
          </w:tcPr>
          <w:p>
            <w:r>
              <w:t>14/07/2026</w:t>
            </w:r>
          </w:p>
        </w:tc>
        <w:tc>
          <w:tcPr>
            <w:tcW w:type="dxa" w:w="4929"/>
          </w:tcPr>
          <w:p>
            <w:r>
              <w:t>Átila enviou áudios solicitando exame de retorno ao trabalho, informou número de processo e apresentou relatório médico.</w:t>
            </w:r>
          </w:p>
        </w:tc>
      </w:tr>
      <w:tr>
        <w:tc>
          <w:tcPr>
            <w:tcW w:type="dxa" w:w="1814"/>
          </w:tcPr>
          <w:p>
            <w:r>
              <w:t>20/07/2026</w:t>
            </w:r>
          </w:p>
        </w:tc>
        <w:tc>
          <w:tcPr>
            <w:tcW w:type="dxa" w:w="4929"/>
          </w:tcPr>
          <w:p>
            <w:r>
              <w:t>Realização do exame de retorno ao trabalho. ASO: apto para função. Relatório complementar: apto com restrições por 30 dias, com carga zero, sem movimentos repetitivos do membro superior direito e sem esforço intenso. Nova avaliação ao final do período.</w:t>
            </w:r>
          </w:p>
        </w:tc>
      </w:tr>
    </w:tbl>
    <w:p>
      <w:pPr>
        <w:pStyle w:val="Heading1"/>
      </w:pPr>
      <w:r>
        <w:t>5. Acidente e evolução médica</w:t>
      </w:r>
    </w:p>
    <w:p>
      <w:pPr>
        <w:pStyle w:val="Heading2"/>
      </w:pPr>
      <w:r>
        <w:t>5.1 Descrição conhecida do acidente</w:t>
      </w:r>
    </w:p>
    <w:p>
      <w:r>
        <w:t>Segundo o histórico fornecido pela empresa, a lesão ocorreu quando Átila carregava um rolo de tecido. A documentação inicial relaciona o evento à atividade laboral e a CAT foi emitida.</w:t>
      </w:r>
    </w:p>
    <w:p>
      <w:r>
        <w:t>A expressão 'Síndrome de Popeye' foi utilizada nas conversas para descrever a deformidade associada à lesão do bíceps. Este dossiê não substitui diagnóstico médico e não amplia a conclusão clínica além do que consta nos documentos apresentados.</w:t>
      </w:r>
    </w:p>
    <w:p>
      <w:pPr>
        <w:pStyle w:val="Heading2"/>
      </w:pPr>
      <w:r>
        <w:t>5.2 Atestados médicos</w:t>
      </w:r>
    </w:p>
    <w:tbl>
      <w:tblPr>
        <w:tblStyle w:val="TableGrid"/>
        <w:tblW w:type="auto" w:w="0"/>
        <w:jc w:val="center"/>
        <w:tblLook w:firstColumn="1" w:firstRow="1" w:lastColumn="0" w:lastRow="0" w:noHBand="0" w:noVBand="1" w:val="04A0"/>
      </w:tblPr>
      <w:tblGrid>
        <w:gridCol w:w="2465"/>
        <w:gridCol w:w="2465"/>
        <w:gridCol w:w="2465"/>
        <w:gridCol w:w="2465"/>
      </w:tblGrid>
      <w:tr>
        <w:trPr>
          <w:tblHeader w:val="true"/>
        </w:trPr>
        <w:tc>
          <w:tcPr>
            <w:tcW w:type="dxa" w:w="2465"/>
            <w:shd w:fill="D9E2F3"/>
          </w:tcPr>
          <w:p>
            <w:r>
              <w:t>Documento</w:t>
            </w:r>
          </w:p>
        </w:tc>
        <w:tc>
          <w:tcPr>
            <w:tcW w:type="dxa" w:w="2465"/>
            <w:shd w:fill="D9E2F3"/>
          </w:tcPr>
          <w:p>
            <w:r>
              <w:t>Início</w:t>
            </w:r>
          </w:p>
        </w:tc>
        <w:tc>
          <w:tcPr>
            <w:tcW w:type="dxa" w:w="2465"/>
            <w:shd w:fill="D9E2F3"/>
          </w:tcPr>
          <w:p>
            <w:r>
              <w:t>Término</w:t>
            </w:r>
          </w:p>
        </w:tc>
        <w:tc>
          <w:tcPr>
            <w:tcW w:type="dxa" w:w="2465"/>
            <w:shd w:fill="D9E2F3"/>
          </w:tcPr>
          <w:p>
            <w:r>
              <w:t>Duração informada</w:t>
            </w:r>
          </w:p>
        </w:tc>
      </w:tr>
      <w:tr>
        <w:tc>
          <w:tcPr>
            <w:tcW w:type="dxa" w:w="2465"/>
          </w:tcPr>
          <w:p>
            <w:r>
              <w:t>1º atestado</w:t>
            </w:r>
          </w:p>
        </w:tc>
        <w:tc>
          <w:tcPr>
            <w:tcW w:type="dxa" w:w="2465"/>
          </w:tcPr>
          <w:p>
            <w:r>
              <w:t>24/02/2026</w:t>
            </w:r>
          </w:p>
        </w:tc>
        <w:tc>
          <w:tcPr>
            <w:tcW w:type="dxa" w:w="2465"/>
          </w:tcPr>
          <w:p>
            <w:r>
              <w:t>02/03/2026</w:t>
            </w:r>
          </w:p>
        </w:tc>
        <w:tc>
          <w:tcPr>
            <w:tcW w:type="dxa" w:w="2465"/>
          </w:tcPr>
          <w:p>
            <w:r>
              <w:t>7 dias</w:t>
            </w:r>
          </w:p>
        </w:tc>
      </w:tr>
      <w:tr>
        <w:tc>
          <w:tcPr>
            <w:tcW w:type="dxa" w:w="2465"/>
          </w:tcPr>
          <w:p>
            <w:r>
              <w:t>2º atestado</w:t>
            </w:r>
          </w:p>
        </w:tc>
        <w:tc>
          <w:tcPr>
            <w:tcW w:type="dxa" w:w="2465"/>
          </w:tcPr>
          <w:p>
            <w:r>
              <w:t>02/03/2026</w:t>
            </w:r>
          </w:p>
        </w:tc>
        <w:tc>
          <w:tcPr>
            <w:tcW w:type="dxa" w:w="2465"/>
          </w:tcPr>
          <w:p>
            <w:r>
              <w:t>06/03/2026</w:t>
            </w:r>
          </w:p>
        </w:tc>
        <w:tc>
          <w:tcPr>
            <w:tcW w:type="dxa" w:w="2465"/>
          </w:tcPr>
          <w:p>
            <w:r>
              <w:t>5 dias</w:t>
            </w:r>
          </w:p>
        </w:tc>
      </w:tr>
      <w:tr>
        <w:tc>
          <w:tcPr>
            <w:tcW w:type="dxa" w:w="2465"/>
          </w:tcPr>
          <w:p>
            <w:r>
              <w:t>3º atestado</w:t>
            </w:r>
          </w:p>
        </w:tc>
        <w:tc>
          <w:tcPr>
            <w:tcW w:type="dxa" w:w="2465"/>
          </w:tcPr>
          <w:p>
            <w:r>
              <w:t>03/03/2026</w:t>
            </w:r>
          </w:p>
        </w:tc>
        <w:tc>
          <w:tcPr>
            <w:tcW w:type="dxa" w:w="2465"/>
          </w:tcPr>
          <w:p>
            <w:r>
              <w:t>01/04/2026</w:t>
            </w:r>
          </w:p>
        </w:tc>
        <w:tc>
          <w:tcPr>
            <w:tcW w:type="dxa" w:w="2465"/>
          </w:tcPr>
          <w:p>
            <w:r>
              <w:t>30 dias</w:t>
            </w:r>
          </w:p>
        </w:tc>
      </w:tr>
      <w:tr>
        <w:tc>
          <w:tcPr>
            <w:tcW w:type="dxa" w:w="2465"/>
          </w:tcPr>
          <w:p>
            <w:r>
              <w:t>4º atestado</w:t>
            </w:r>
          </w:p>
        </w:tc>
        <w:tc>
          <w:tcPr>
            <w:tcW w:type="dxa" w:w="2465"/>
          </w:tcPr>
          <w:p>
            <w:r>
              <w:t>31/03/2026</w:t>
            </w:r>
          </w:p>
        </w:tc>
        <w:tc>
          <w:tcPr>
            <w:tcW w:type="dxa" w:w="2465"/>
          </w:tcPr>
          <w:p>
            <w:r>
              <w:t>29/04/2026</w:t>
            </w:r>
          </w:p>
        </w:tc>
        <w:tc>
          <w:tcPr>
            <w:tcW w:type="dxa" w:w="2465"/>
          </w:tcPr>
          <w:p>
            <w:r>
              <w:t>30 dias</w:t>
            </w:r>
          </w:p>
        </w:tc>
      </w:tr>
      <w:tr>
        <w:tc>
          <w:tcPr>
            <w:tcW w:type="dxa" w:w="2465"/>
          </w:tcPr>
          <w:p>
            <w:r>
              <w:t>5º atestado</w:t>
            </w:r>
          </w:p>
        </w:tc>
        <w:tc>
          <w:tcPr>
            <w:tcW w:type="dxa" w:w="2465"/>
          </w:tcPr>
          <w:p>
            <w:r>
              <w:t>19/05/2026</w:t>
            </w:r>
          </w:p>
        </w:tc>
        <w:tc>
          <w:tcPr>
            <w:tcW w:type="dxa" w:w="2465"/>
          </w:tcPr>
          <w:p>
            <w:r>
              <w:t>17/07/2026</w:t>
            </w:r>
          </w:p>
        </w:tc>
        <w:tc>
          <w:tcPr>
            <w:tcW w:type="dxa" w:w="2465"/>
          </w:tcPr>
          <w:p>
            <w:r>
              <w:t>60 dias</w:t>
            </w:r>
          </w:p>
        </w:tc>
      </w:tr>
    </w:tbl>
    <w:p>
      <w:r>
        <w:t>Nota: os períodos apresentam sobreposições em alguns pontos, conforme os documentos fornecidos. Este dossiê registra as datas tal como apresentadas, sem corrigir ou reinterpretar os atestados.</w:t>
      </w:r>
    </w:p>
    <w:p>
      <w:pPr>
        <w:pStyle w:val="Heading1"/>
      </w:pPr>
      <w:r>
        <w:t>6. Histórico previdenciário – INSS</w:t>
      </w:r>
    </w:p>
    <w:p>
      <w:pPr>
        <w:pStyle w:val="Heading2"/>
      </w:pPr>
      <w:r>
        <w:t>6.1 Primeiro requerimento</w:t>
      </w:r>
    </w:p>
    <w:p>
      <w:r>
        <w:t>O colaborador informou que deu entrada no INSS. Posteriormente, relatou que o pedido foi indeferido porque foi informado o ano incorreto no requerimento. Segundo o próprio relato, ele inseriu uma data equivocada e os documentos ficaram incompatíveis com o pedido.</w:t>
      </w:r>
    </w:p>
    <w:p>
      <w:pPr>
        <w:pStyle w:val="Heading2"/>
      </w:pPr>
      <w:r>
        <w:t>6.2 Recurso administrativo</w:t>
      </w:r>
    </w:p>
    <w:p>
      <w:r>
        <w:t>Após o indeferimento, foi solicitado pedido de revisão/recurso administrativo. Até a última informação consolidada neste dossiê, não consta decisão final documentada do recurso.</w:t>
      </w:r>
    </w:p>
    <w:p>
      <w:pPr>
        <w:pStyle w:val="Heading2"/>
      </w:pPr>
      <w:r>
        <w:t>6.3 Novo requerimento</w:t>
      </w:r>
    </w:p>
    <w:p>
      <w:r>
        <w:t>Segundo informação transmitida pelo cônjuge de Átila, em 10/06/2026 foi feito novo contato com o INSS pelo 135 e apresentado novo pedido de benefício utilizando o atestado de 60 dias emitido em 19/05/2026. O cônjuge informou que o novo pedido não substituiria nem extinguiria o primeiro, que continuaria sob análise recursal.</w:t>
      </w:r>
    </w:p>
    <w:p>
      <w:pPr>
        <w:pStyle w:val="Heading2"/>
      </w:pPr>
      <w:r>
        <w:t>6.4 Situação de renda</w:t>
      </w:r>
    </w:p>
    <w:p>
      <w:r>
        <w:t>Em mensagem enviada à empresa em 28/05/2026, Átila afirmou estar há cerca de três meses sem salário e sem recebimento do benefício previdenciário. Essa manifestação motivou reforço do acompanhamento do RH.</w:t>
      </w:r>
    </w:p>
    <w:p>
      <w:pPr>
        <w:pStyle w:val="Heading1"/>
      </w:pPr>
      <w:r>
        <w:t>7. Atuação da Conamore e do RH</w:t>
      </w:r>
    </w:p>
    <w:p>
      <w:pPr>
        <w:pStyle w:val="ListBullet"/>
        <w:spacing w:after="40"/>
      </w:pPr>
      <w:r>
        <w:t>Emissão da CAT.</w:t>
      </w:r>
    </w:p>
    <w:p>
      <w:pPr>
        <w:pStyle w:val="ListBullet"/>
        <w:spacing w:after="40"/>
      </w:pPr>
      <w:r>
        <w:t>Recebimento e organização dos atestados médicos.</w:t>
      </w:r>
    </w:p>
    <w:p>
      <w:pPr>
        <w:pStyle w:val="ListBullet"/>
        <w:spacing w:after="40"/>
      </w:pPr>
      <w:r>
        <w:t>Pagamento dos primeiros 15 dias de afastamento, conforme informado pela empresa.</w:t>
      </w:r>
    </w:p>
    <w:p>
      <w:pPr>
        <w:pStyle w:val="ListBullet"/>
        <w:spacing w:after="40"/>
      </w:pPr>
      <w:r>
        <w:t>Manutenção do vínculo contratual.</w:t>
      </w:r>
    </w:p>
    <w:p>
      <w:pPr>
        <w:pStyle w:val="ListBullet"/>
        <w:spacing w:after="40"/>
      </w:pPr>
      <w:r>
        <w:t>Emissão de declaração para apresentação ao INSS em 09/03/2026.</w:t>
      </w:r>
    </w:p>
    <w:p>
      <w:pPr>
        <w:pStyle w:val="ListBullet"/>
        <w:spacing w:after="40"/>
      </w:pPr>
      <w:r>
        <w:t>Contato com o colaborador para verificar se o requerimento previdenciário havia sido concluído.</w:t>
      </w:r>
    </w:p>
    <w:p>
      <w:pPr>
        <w:pStyle w:val="ListBullet"/>
        <w:spacing w:after="40"/>
      </w:pPr>
      <w:r>
        <w:t>Recebimento dos protocolos enviados por Átila.</w:t>
      </w:r>
    </w:p>
    <w:p>
      <w:pPr>
        <w:pStyle w:val="ListBullet"/>
        <w:spacing w:after="40"/>
      </w:pPr>
      <w:r>
        <w:t>Tentativa de obter informações pelo telefone 135.</w:t>
      </w:r>
    </w:p>
    <w:p>
      <w:pPr>
        <w:pStyle w:val="ListBullet"/>
        <w:spacing w:after="40"/>
      </w:pPr>
      <w:r>
        <w:t>Registro de que o INSS recusou fornecer detalhes por se tratar de informação confidencial do segurado.</w:t>
      </w:r>
    </w:p>
    <w:p>
      <w:pPr>
        <w:pStyle w:val="ListBullet"/>
        <w:spacing w:after="40"/>
      </w:pPr>
      <w:r>
        <w:t>Convite para que o colaborador comparecesse à empresa e realizasse a ligação ao INSS ao lado da Isabel.</w:t>
      </w:r>
    </w:p>
    <w:p>
      <w:pPr>
        <w:pStyle w:val="ListBullet"/>
        <w:spacing w:after="40"/>
      </w:pPr>
      <w:r>
        <w:t>Contato com o cônjuge do colaborador para esclarecimentos sobre o vínculo e o afastamento.</w:t>
      </w:r>
    </w:p>
    <w:p>
      <w:pPr>
        <w:pStyle w:val="ListBullet"/>
        <w:spacing w:after="40"/>
      </w:pPr>
      <w:r>
        <w:t>Disponibilidade para consultar o médico do trabalho sobre avaliação ocupacional.</w:t>
      </w:r>
    </w:p>
    <w:p>
      <w:pPr>
        <w:pStyle w:val="ListBullet"/>
        <w:spacing w:after="40"/>
      </w:pPr>
      <w:r>
        <w:t>Agendamento e realização do exame de retorno ao trabalho.</w:t>
      </w:r>
    </w:p>
    <w:p>
      <w:pPr>
        <w:pStyle w:val="Heading2"/>
      </w:pPr>
      <w:r>
        <w:t>7.1 Comunicação com o cônjuge</w:t>
      </w:r>
    </w:p>
    <w:p>
      <w:r>
        <w:t>Embora nas conversas tenha sido usado informalmente o termo 'procurador', Sérgio esclareceu que a pessoa era o cônjuge do colaborador. Não foi apresentado, neste material, instrumento formal de procuração. Assim, a atuação deve ser compreendida como apoio familiar, salvo existência de documento formal não anexado.</w:t>
      </w:r>
    </w:p>
    <w:p>
      <w:r>
        <w:t>A Isabel esclareceu que o contrato permanecia ativo e que a interrupção dos recolhimentos se relacionava ao afastamento após os primeiros 15 dias. Ao ser questionada sobre avaliação pelo médico do trabalho, informou que consultaria o médico, mantendo postura colaborativa e sem prometer resultado.</w:t>
      </w:r>
    </w:p>
    <w:p>
      <w:pPr>
        <w:pStyle w:val="Heading1"/>
      </w:pPr>
      <w:r>
        <w:t>8. Comunicações relevantes</w:t>
      </w:r>
    </w:p>
    <w:p>
      <w:pPr>
        <w:pStyle w:val="Heading2"/>
      </w:pPr>
      <w:r>
        <w:t>8.1 Mensagem do colaborador em 28/05/2026</w:t>
      </w:r>
    </w:p>
    <w:p>
      <w:pPr>
        <w:ind w:left="567" w:right="567"/>
      </w:pPr>
      <w:r>
        <w:rPr>
          <w:i/>
        </w:rPr>
        <w:t>“Eu estou há 3 meses sem salário. Aguardando o INSS, com documentos entregues a vocês e com vínculo empregatício, tem algo a mais que a empresa possa me orientar ou fazer para me ajudar nesse processo? Pq estou sem resposta do INSS, sem respaldo, sem salário há quase 90 dias. Se puder me ajudar de alguma forma, mesmo que seja em uma orientação, ou terei que acionar um especialista em direito nesse assunto. Como vcs tem corpo jurídico e experiência imagino que possam me ajudar, já que isso possui custos. Pq não posso voltar ao trabalho, não posso desvincular por ser acidente de trabalho, e não estou com salário há 90 dias. Estou no limite de tudo isso. Preciso de apoio ou orientação de como agir, afinal possuo vínculo com a empresa, poderia me ligar, ou me receber para tratarmos disso o quanto antes? Aguardo!!!”</w:t>
      </w:r>
    </w:p>
    <w:p>
      <w:pPr>
        <w:pStyle w:val="Heading2"/>
      </w:pPr>
      <w:r>
        <w:t>8.2 Resposta e providências subsequentes</w:t>
      </w:r>
    </w:p>
    <w:p>
      <w:r>
        <w:t>A empresa adotou abordagem acolhedora, solicitou protocolos e documentos, tentou contato com o INSS e ofereceu acompanhamento presencial para a ligação. Não há, no material consolidado, registro de resposta defensiva ou de negativa absoluta de apoio.</w:t>
      </w:r>
    </w:p>
    <w:p>
      <w:pPr>
        <w:pStyle w:val="Heading1"/>
      </w:pPr>
      <w:r>
        <w:t>9. Avaliação de retorno ao trabalho</w:t>
      </w:r>
    </w:p>
    <w:p>
      <w:pPr>
        <w:pStyle w:val="Heading2"/>
      </w:pPr>
      <w:r>
        <w:t>9.1 ASO</w:t>
      </w:r>
    </w:p>
    <w:p>
      <w:r>
        <w:t>Em 20/07/2026, a clínica ocupacional realizou exame clínico de retorno ao trabalho. O ASO registrou o parecer 'Apto para função'. O documento identifica o cargo como Cortador e o setor como Produção – Corte de Tecidos.</w:t>
      </w:r>
    </w:p>
    <w:p>
      <w:pPr>
        <w:pStyle w:val="Heading2"/>
      </w:pPr>
      <w:r>
        <w:t>9.2 Relatório complementar de restrições</w:t>
      </w:r>
    </w:p>
    <w:p>
      <w:r>
        <w:t>Na mesma data, foi emitido encaminhamento complementar à empresa com a indicação 'Apto com restrição' por 30 dias, estabelecendo:</w:t>
      </w:r>
    </w:p>
    <w:p>
      <w:pPr>
        <w:pStyle w:val="ListBullet"/>
        <w:spacing w:after="40"/>
      </w:pPr>
      <w:r>
        <w:t>Carga zero.</w:t>
      </w:r>
    </w:p>
    <w:p>
      <w:pPr>
        <w:pStyle w:val="ListBullet"/>
        <w:spacing w:after="40"/>
      </w:pPr>
      <w:r>
        <w:t>Não realizar movimento repetitivo com o membro superior direito.</w:t>
      </w:r>
    </w:p>
    <w:p>
      <w:pPr>
        <w:pStyle w:val="ListBullet"/>
        <w:spacing w:after="40"/>
      </w:pPr>
      <w:r>
        <w:t>Não realizar esforço intenso.</w:t>
      </w:r>
    </w:p>
    <w:p>
      <w:pPr>
        <w:pStyle w:val="ListBullet"/>
        <w:spacing w:after="40"/>
      </w:pPr>
      <w:r>
        <w:t>Passar por nova avaliação laboral após 30 dias.</w:t>
      </w:r>
    </w:p>
    <w:p>
      <w:r>
        <w:t>Os dois documentos devem ser lidos em conjunto: o ASO autoriza o retorno, enquanto o relatório complementar limita temporariamente as atividades que podem ser atribuídas.</w:t>
      </w:r>
    </w:p>
    <w:p>
      <w:pPr>
        <w:pStyle w:val="Heading1"/>
      </w:pPr>
      <w:r>
        <w:t>10. Conduta operacional para o retorno</w:t>
      </w:r>
    </w:p>
    <w:p>
      <w:r>
        <w:t>A Conamore deve designar atividade compatível com as restrições médicas, formalizar a ciência do colaborador e do gestor, impedir tarefas ocasionais incompatíveis e programar nova avaliação ao final dos 30 dias.</w:t>
      </w:r>
    </w:p>
    <w:p>
      <w:pPr>
        <w:pStyle w:val="Heading2"/>
      </w:pPr>
      <w:r>
        <w:t>10.1 Atividades que devem ser evitadas durante a restrição</w:t>
      </w:r>
    </w:p>
    <w:p>
      <w:pPr>
        <w:pStyle w:val="ListBullet"/>
        <w:spacing w:after="40"/>
      </w:pPr>
      <w:r>
        <w:t>Carregar, levantar, transportar, empurrar ou puxar rolos, caixas ou materiais.</w:t>
      </w:r>
    </w:p>
    <w:p>
      <w:pPr>
        <w:pStyle w:val="ListBullet"/>
        <w:spacing w:after="40"/>
      </w:pPr>
      <w:r>
        <w:t>Executar movimentos repetitivos com o membro superior direito.</w:t>
      </w:r>
    </w:p>
    <w:p>
      <w:pPr>
        <w:pStyle w:val="ListBullet"/>
        <w:spacing w:after="40"/>
      </w:pPr>
      <w:r>
        <w:t>Realizar esforço intenso, ainda que por período curto.</w:t>
      </w:r>
    </w:p>
    <w:p>
      <w:pPr>
        <w:pStyle w:val="ListBullet"/>
        <w:spacing w:after="40"/>
      </w:pPr>
      <w:r>
        <w:t>Assumir tarefas informais fora da atividade temporariamente definida.</w:t>
      </w:r>
    </w:p>
    <w:p>
      <w:pPr>
        <w:pStyle w:val="Heading2"/>
      </w:pPr>
      <w:r>
        <w:t>10.2 Controles recomendados</w:t>
      </w:r>
    </w:p>
    <w:p>
      <w:pPr>
        <w:pStyle w:val="ListBullet"/>
        <w:spacing w:after="40"/>
      </w:pPr>
      <w:r>
        <w:t>Termo de ciência de retorno com restrições, assinado por colaborador, RH e gestor.</w:t>
      </w:r>
    </w:p>
    <w:p>
      <w:pPr>
        <w:pStyle w:val="ListBullet"/>
        <w:spacing w:after="40"/>
      </w:pPr>
      <w:r>
        <w:t>Descrição simples da atividade temporária atribuída.</w:t>
      </w:r>
    </w:p>
    <w:p>
      <w:pPr>
        <w:pStyle w:val="ListBullet"/>
        <w:spacing w:after="40"/>
      </w:pPr>
      <w:r>
        <w:t>Orientação escrita ao gestor imediato.</w:t>
      </w:r>
    </w:p>
    <w:p>
      <w:pPr>
        <w:pStyle w:val="ListBullet"/>
        <w:spacing w:after="40"/>
      </w:pPr>
      <w:r>
        <w:t>Canal para comunicação imediata de dor, limitação ou incompatibilidade da tarefa.</w:t>
      </w:r>
    </w:p>
    <w:p>
      <w:pPr>
        <w:pStyle w:val="ListBullet"/>
        <w:spacing w:after="40"/>
      </w:pPr>
      <w:r>
        <w:t>Agendamento antecipado da reavaliação ocupacional.</w:t>
      </w:r>
    </w:p>
    <w:p>
      <w:pPr>
        <w:pStyle w:val="Heading1"/>
      </w:pPr>
      <w:r>
        <w:t>11. Minuta de registro interno</w:t>
      </w:r>
    </w:p>
    <w:p>
      <w:r>
        <w:t>A minuta abaixo pode ser utilizada como base, devendo ser revisada pelo RH e, se necessário, pelo Jurídico.</w:t>
      </w:r>
    </w:p>
    <w:tbl>
      <w:tblPr>
        <w:tblStyle w:val="TableGrid"/>
        <w:tblW w:type="auto" w:w="0"/>
        <w:tblLook w:firstColumn="1" w:firstRow="1" w:lastColumn="0" w:lastRow="0" w:noHBand="0" w:noVBand="1" w:val="04A0"/>
      </w:tblPr>
      <w:tblGrid>
        <w:gridCol w:w="9859"/>
      </w:tblGrid>
      <w:tr>
        <w:tc>
          <w:tcPr>
            <w:tcW w:type="dxa" w:w="9859"/>
            <w:shd w:fill="F7F7F7"/>
          </w:tcPr>
          <w:p>
            <w:r>
              <w:rPr>
                <w:b/>
              </w:rPr>
              <w:t>TERMO DE CIÊNCIA DE RETORNO AO TRABALHO COM RESTRIÇÕES TEMPORÁRIAS</w:t>
            </w:r>
            <w:r>
              <w:br/>
            </w:r>
            <w:r/>
            <w:r>
              <w:br/>
            </w:r>
            <w:r>
              <w:t>EMPRESA: CONAMORE BRG CAMA, MESA E BANHO LTDA</w:t>
            </w:r>
            <w:r>
              <w:br/>
            </w:r>
            <w:r>
              <w:t>COLABORADOR: ANTONIO ATILA LIMA OLIVEIRA DE CARVALHO</w:t>
            </w:r>
            <w:r>
              <w:br/>
            </w:r>
            <w:r>
              <w:t>CARGO: Cortador</w:t>
            </w:r>
            <w:r>
              <w:br/>
            </w:r>
            <w:r>
              <w:t>SETOR: Produção – Corte de Tecidos</w:t>
            </w:r>
            <w:r>
              <w:br/>
            </w:r>
            <w:r>
              <w:t>DATA DO RETORNO: ____/____/________</w:t>
            </w:r>
            <w:r>
              <w:br/>
            </w:r>
            <w:r/>
            <w:r>
              <w:br/>
            </w:r>
            <w:r>
              <w:t>O colaborador retorna às atividades após avaliação ocupacional realizada em 20/07/2026, tendo sido considerado apto para a função, com restrições temporárias registradas em relatório complementar.</w:t>
            </w:r>
            <w:r>
              <w:br/>
            </w:r>
            <w:r/>
            <w:r>
              <w:br/>
            </w:r>
            <w:r>
              <w:t>Pelo período de 30 dias, deverá observar as seguintes restrições: carga zero; ausência de movimentos repetitivos com o membro superior direito; ausência de esforço intenso; e nova avaliação laboral ao final do período.</w:t>
            </w:r>
            <w:r>
              <w:br/>
            </w:r>
            <w:r/>
            <w:r>
              <w:br/>
            </w:r>
            <w:r>
              <w:t>Durante esse período, exercerá somente atividades compatíveis com as restrições, comprometendo-se a empresa a não designá-lo para tarefas incompatíveis. Caso identifique atividade incompatível, dor ou agravamento, deverá comunicar imediatamente ao gestor ou ao RH antes de continuar a execução.</w:t>
            </w:r>
            <w:r>
              <w:br/>
            </w:r>
            <w:r/>
            <w:r>
              <w:br/>
            </w:r>
            <w:r>
              <w:t>Este termo registra a ciência das restrições e não representa renúncia de direitos nem alteração definitiva da função.</w:t>
            </w:r>
            <w:r>
              <w:br/>
            </w:r>
            <w:r/>
            <w:r>
              <w:br/>
            </w:r>
            <w:r>
              <w:t>Campinas, ____ de __________________ de 2026.</w:t>
            </w:r>
            <w:r>
              <w:br/>
            </w:r>
            <w:r/>
            <w:r>
              <w:br/>
            </w:r>
            <w:r>
              <w:t>____________________________________</w:t>
            </w:r>
            <w:r>
              <w:br/>
            </w:r>
            <w:r>
              <w:t>ANTONIO ATILA LIMA OLIVEIRA DE CARVALHO</w:t>
            </w:r>
            <w:r>
              <w:br/>
            </w:r>
            <w:r/>
            <w:r>
              <w:br/>
            </w:r>
            <w:r>
              <w:t>____________________________________</w:t>
            </w:r>
            <w:r>
              <w:br/>
            </w:r>
            <w:r>
              <w:t>Representante da empresa</w:t>
            </w:r>
            <w:r>
              <w:br/>
            </w:r>
            <w:r/>
            <w:r>
              <w:br/>
            </w:r>
            <w:r>
              <w:t>____________________________________</w:t>
            </w:r>
            <w:r>
              <w:br/>
            </w:r>
            <w:r>
              <w:t>Gestor imediato</w:t>
            </w:r>
            <w:r>
              <w:br/>
            </w:r>
          </w:p>
        </w:tc>
      </w:tr>
    </w:tbl>
    <w:p>
      <w:pPr>
        <w:pStyle w:val="Heading1"/>
      </w:pPr>
      <w:r>
        <w:t>12. Análise interna preliminar</w:t>
      </w:r>
    </w:p>
    <w:p>
      <w:r>
        <w:t>Esta seção registra a leitura construída ao longo das conversas e não substitui parecer jurídico formal.</w:t>
      </w:r>
    </w:p>
    <w:p>
      <w:pPr>
        <w:pStyle w:val="Heading2"/>
      </w:pPr>
      <w:r>
        <w:t>12.1 Pontos favoráveis à empresa</w:t>
      </w:r>
    </w:p>
    <w:p>
      <w:pPr>
        <w:pStyle w:val="ListBullet"/>
        <w:spacing w:after="40"/>
      </w:pPr>
      <w:r>
        <w:t>CAT emitida.</w:t>
      </w:r>
    </w:p>
    <w:p>
      <w:pPr>
        <w:pStyle w:val="ListBullet"/>
        <w:spacing w:after="40"/>
      </w:pPr>
      <w:r>
        <w:t>Primeiros 15 dias pagos, conforme relato empresarial.</w:t>
      </w:r>
    </w:p>
    <w:p>
      <w:pPr>
        <w:pStyle w:val="ListBullet"/>
        <w:spacing w:after="40"/>
      </w:pPr>
      <w:r>
        <w:t>Vínculo mantido ativo.</w:t>
      </w:r>
    </w:p>
    <w:p>
      <w:pPr>
        <w:pStyle w:val="ListBullet"/>
        <w:spacing w:after="40"/>
      </w:pPr>
      <w:r>
        <w:t>Documentação fornecida ao colaborador e ao INSS.</w:t>
      </w:r>
    </w:p>
    <w:p>
      <w:pPr>
        <w:pStyle w:val="ListBullet"/>
        <w:spacing w:after="40"/>
      </w:pPr>
      <w:r>
        <w:t>Acompanhamento por parte do RH.</w:t>
      </w:r>
    </w:p>
    <w:p>
      <w:pPr>
        <w:pStyle w:val="ListBullet"/>
        <w:spacing w:after="40"/>
      </w:pPr>
      <w:r>
        <w:t>Tentativa de contato com o 135 e oferta de apoio presencial.</w:t>
      </w:r>
    </w:p>
    <w:p>
      <w:pPr>
        <w:pStyle w:val="ListBullet"/>
        <w:spacing w:after="40"/>
      </w:pPr>
      <w:r>
        <w:t>Comunicação polida com o colaborador e com o cônjuge.</w:t>
      </w:r>
    </w:p>
    <w:p>
      <w:pPr>
        <w:pStyle w:val="ListBullet"/>
        <w:spacing w:after="40"/>
      </w:pPr>
      <w:r>
        <w:t>Realização de avaliação ocupacional antes do retorno.</w:t>
      </w:r>
    </w:p>
    <w:p>
      <w:pPr>
        <w:pStyle w:val="ListBullet"/>
        <w:spacing w:after="40"/>
      </w:pPr>
      <w:r>
        <w:t>Existência de restrições formais e prazo de reavaliação.</w:t>
      </w:r>
    </w:p>
    <w:p>
      <w:pPr>
        <w:pStyle w:val="Heading2"/>
      </w:pPr>
      <w:r>
        <w:t>12.2 Pontos de atenção</w:t>
      </w:r>
    </w:p>
    <w:p>
      <w:pPr>
        <w:pStyle w:val="ListBullet"/>
        <w:spacing w:after="40"/>
      </w:pPr>
      <w:r>
        <w:t>Ainda não consta decisão final do recurso administrativo do primeiro pedido.</w:t>
      </w:r>
    </w:p>
    <w:p>
      <w:pPr>
        <w:pStyle w:val="ListBullet"/>
        <w:spacing w:after="40"/>
      </w:pPr>
      <w:r>
        <w:t>Ainda não consta decisão final do novo requerimento previdenciário.</w:t>
      </w:r>
    </w:p>
    <w:p>
      <w:pPr>
        <w:pStyle w:val="ListBullet"/>
        <w:spacing w:after="40"/>
      </w:pPr>
      <w:r>
        <w:t>Há referência a processo judicial, mas a íntegra da ação não foi anexada ao material analisado.</w:t>
      </w:r>
    </w:p>
    <w:p>
      <w:pPr>
        <w:pStyle w:val="ListBullet"/>
        <w:spacing w:after="40"/>
      </w:pPr>
      <w:r>
        <w:t>O retorno deve observar rigorosamente as restrições, inclusive em tarefas ocasionais.</w:t>
      </w:r>
    </w:p>
    <w:p>
      <w:pPr>
        <w:pStyle w:val="ListBullet"/>
        <w:spacing w:after="40"/>
      </w:pPr>
      <w:r>
        <w:t>A empresa deve guardar prova da atividade temporária atribuída e da orientação ao gestor.</w:t>
      </w:r>
    </w:p>
    <w:p>
      <w:pPr>
        <w:pStyle w:val="ListBullet"/>
        <w:spacing w:after="40"/>
      </w:pPr>
      <w:r>
        <w:t>A nova avaliação após 30 dias deve ser efetivamente realizada e documentada.</w:t>
      </w:r>
    </w:p>
    <w:p>
      <w:pPr>
        <w:pStyle w:val="Heading2"/>
      </w:pPr>
      <w:r>
        <w:t>12.3 Leitura relacional</w:t>
      </w:r>
    </w:p>
    <w:p>
      <w:r>
        <w:t>A mensagem do colaborador demonstrou forte pressão financeira e emocional. A postura adotada pelo RH — acolhimento, tentativa de auxílio e comunicação sem confronto — contribuiu para reduzir a percepção de abandono e preservar a relação.</w:t>
      </w:r>
    </w:p>
    <w:p>
      <w:pPr>
        <w:pStyle w:val="Heading1"/>
      </w:pPr>
      <w:r>
        <w:t>13. Pendências para atualização do dossiê</w:t>
      </w:r>
    </w:p>
    <w:p>
      <w:pPr>
        <w:pStyle w:val="ListBullet"/>
        <w:spacing w:after="40"/>
      </w:pPr>
      <w:r>
        <w:t>Resultado do recurso administrativo do primeiro requerimento do INSS.</w:t>
      </w:r>
    </w:p>
    <w:p>
      <w:pPr>
        <w:pStyle w:val="ListBullet"/>
        <w:spacing w:after="40"/>
      </w:pPr>
      <w:r>
        <w:t>Resultado do novo pedido protocolado com o atestado de 19/05/2026.</w:t>
      </w:r>
    </w:p>
    <w:p>
      <w:pPr>
        <w:pStyle w:val="ListBullet"/>
        <w:spacing w:after="40"/>
      </w:pPr>
      <w:r>
        <w:t>Cópia integral de eventual processo judicial e respectivas decisões.</w:t>
      </w:r>
    </w:p>
    <w:p>
      <w:pPr>
        <w:pStyle w:val="ListBullet"/>
        <w:spacing w:after="40"/>
      </w:pPr>
      <w:r>
        <w:t>Data efetiva de retorno ao trabalho e atividade adaptada atribuída.</w:t>
      </w:r>
    </w:p>
    <w:p>
      <w:pPr>
        <w:pStyle w:val="ListBullet"/>
        <w:spacing w:after="40"/>
      </w:pPr>
      <w:r>
        <w:t>Termo de ciência assinado.</w:t>
      </w:r>
    </w:p>
    <w:p>
      <w:pPr>
        <w:pStyle w:val="ListBullet"/>
        <w:spacing w:after="40"/>
      </w:pPr>
      <w:r>
        <w:t>Registro de orientação ao gestor imediato.</w:t>
      </w:r>
    </w:p>
    <w:p>
      <w:pPr>
        <w:pStyle w:val="ListBullet"/>
        <w:spacing w:after="40"/>
      </w:pPr>
      <w:r>
        <w:t>Resultado da reavaliação médica após 30 dias.</w:t>
      </w:r>
    </w:p>
    <w:p>
      <w:pPr>
        <w:pStyle w:val="ListBullet"/>
        <w:spacing w:after="40"/>
      </w:pPr>
      <w:r>
        <w:t>Eventual manutenção, alteração ou encerramento das restrições.</w:t>
      </w:r>
    </w:p>
    <w:p>
      <w:pPr>
        <w:pStyle w:val="Heading1"/>
      </w:pPr>
      <w:r>
        <w:t>14. Orientações de uso pelo agente Hermes</w:t>
      </w:r>
    </w:p>
    <w:p>
      <w:r>
        <w:t>Ao responder sobre este caso, o agente deve distinguir claramente:</w:t>
      </w:r>
    </w:p>
    <w:p>
      <w:pPr>
        <w:pStyle w:val="ListBullet"/>
        <w:spacing w:after="40"/>
      </w:pPr>
      <w:r>
        <w:t>Fato documentado.</w:t>
      </w:r>
    </w:p>
    <w:p>
      <w:pPr>
        <w:pStyle w:val="ListBullet"/>
        <w:spacing w:after="40"/>
      </w:pPr>
      <w:r>
        <w:t>Informação relatada por Sérgio, Isabel, Átila ou seu cônjuge.</w:t>
      </w:r>
    </w:p>
    <w:p>
      <w:pPr>
        <w:pStyle w:val="ListBullet"/>
        <w:spacing w:after="40"/>
      </w:pPr>
      <w:r>
        <w:t>Inferência ou avaliação preliminar.</w:t>
      </w:r>
    </w:p>
    <w:p>
      <w:pPr>
        <w:pStyle w:val="ListBullet"/>
        <w:spacing w:after="40"/>
      </w:pPr>
      <w:r>
        <w:t>Questão ainda pendente de documento.</w:t>
      </w:r>
    </w:p>
    <w:p>
      <w:r>
        <w:t>O agente não deve presumir decisão do INSS, conteúdo de processo judicial, incapacidade clínica ou obrigação financeira não comprovada. Diante de nova informação, deve atualizar primeiro a linha do tempo e depois reavaliar riscos e próximos passos.</w:t>
      </w:r>
    </w:p>
    <w:p>
      <w:r>
        <w:t>Prioridades permanentes: proteção da saúde do colaborador, cumprimento das restrições médicas, documentação das providências, comunicação respeitosa e validação jurídica quando houver risco trabalhista ou previdenciário.</w:t>
      </w:r>
    </w:p>
    <w:p>
      <w:pPr>
        <w:pStyle w:val="Heading1"/>
      </w:pPr>
      <w:r>
        <w:t>15. Inventário de documentos utilizados</w:t>
      </w:r>
    </w:p>
    <w:tbl>
      <w:tblPr>
        <w:tblStyle w:val="TableGrid"/>
        <w:tblW w:type="auto" w:w="0"/>
        <w:jc w:val="center"/>
        <w:tblLook w:firstColumn="1" w:firstRow="1" w:lastColumn="0" w:lastRow="0" w:noHBand="0" w:noVBand="1" w:val="04A0"/>
      </w:tblPr>
      <w:tblGrid>
        <w:gridCol w:w="4929"/>
        <w:gridCol w:w="4929"/>
      </w:tblGrid>
      <w:tr>
        <w:tc>
          <w:tcPr>
            <w:tcW w:type="dxa" w:w="4929"/>
            <w:shd w:fill="D9E2F3"/>
          </w:tcPr>
          <w:p>
            <w:r>
              <w:t>Documento/Fonte</w:t>
            </w:r>
          </w:p>
        </w:tc>
        <w:tc>
          <w:tcPr>
            <w:tcW w:type="dxa" w:w="4929"/>
            <w:shd w:fill="D9E2F3"/>
          </w:tcPr>
          <w:p>
            <w:r>
              <w:t>Conteúdo</w:t>
            </w:r>
          </w:p>
        </w:tc>
      </w:tr>
      <w:tr>
        <w:tc>
          <w:tcPr>
            <w:tcW w:type="dxa" w:w="4929"/>
          </w:tcPr>
          <w:p>
            <w:r>
              <w:t>Cronologia Átila</w:t>
            </w:r>
          </w:p>
        </w:tc>
        <w:tc>
          <w:tcPr>
            <w:tcW w:type="dxa" w:w="4929"/>
          </w:tcPr>
          <w:p>
            <w:r>
              <w:t>Documento de 7 páginas com atestados, CAT, declaração ao INSS, mensagens e registros do acompanhamento.</w:t>
            </w:r>
          </w:p>
        </w:tc>
      </w:tr>
      <w:tr>
        <w:tc>
          <w:tcPr>
            <w:tcW w:type="dxa" w:w="4929"/>
          </w:tcPr>
          <w:p>
            <w:r>
              <w:t>ASO de retorno ao trabalho</w:t>
            </w:r>
          </w:p>
        </w:tc>
        <w:tc>
          <w:tcPr>
            <w:tcW w:type="dxa" w:w="4929"/>
          </w:tcPr>
          <w:p>
            <w:r>
              <w:t>Emitido em 20/07/2026, com parecer 'Apto para função'.</w:t>
            </w:r>
          </w:p>
        </w:tc>
      </w:tr>
      <w:tr>
        <w:tc>
          <w:tcPr>
            <w:tcW w:type="dxa" w:w="4929"/>
          </w:tcPr>
          <w:p>
            <w:r>
              <w:t>Relatório de restrição</w:t>
            </w:r>
          </w:p>
        </w:tc>
        <w:tc>
          <w:tcPr>
            <w:tcW w:type="dxa" w:w="4929"/>
          </w:tcPr>
          <w:p>
            <w:r>
              <w:t>Emitido em 20/07/2026, com restrições por 30 dias e indicação de nova avaliação.</w:t>
            </w:r>
          </w:p>
        </w:tc>
      </w:tr>
      <w:tr>
        <w:tc>
          <w:tcPr>
            <w:tcW w:type="dxa" w:w="4929"/>
          </w:tcPr>
          <w:p>
            <w:r>
              <w:t>Mensagens e relatos internos</w:t>
            </w:r>
          </w:p>
        </w:tc>
        <w:tc>
          <w:tcPr>
            <w:tcW w:type="dxa" w:w="4929"/>
          </w:tcPr>
          <w:p>
            <w:r>
              <w:t>Informações fornecidas por Sérgio sobre a atuação de Isabel, contatos com o 135 e conversas com o cônjuge.</w:t>
            </w:r>
          </w:p>
        </w:tc>
      </w:tr>
    </w:tbl>
    <w:p>
      <w:pPr>
        <w:pStyle w:val="Heading1"/>
      </w:pPr>
      <w:r>
        <w:t>16. Encerramento</w:t>
      </w:r>
    </w:p>
    <w:p>
      <w:r>
        <w:t>Este dossiê representa o estado consolidado das informações disponíveis até 23/07/2026. Deve ser atualizado sempre que houver nova decisão do INSS, documento judicial, alteração das restrições ou nova avaliação médica.</w:t>
      </w:r>
    </w:p>
    <w:sectPr w:rsidR="00FC693F" w:rsidRPr="0006063C" w:rsidSect="00034616">
      <w:footerReference w:type="default" r:id="rId9"/>
      <w:pgSz w:w="12240" w:h="15840"/>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Conamore – Dossiê Mestre Caso Átila – Documento confidencial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